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FB2" w:rsidRPr="004B42D2" w:rsidRDefault="00C614B3" w:rsidP="0023263B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96.8pt;margin-top:-56.35pt;width:851.05pt;height:44.4pt;z-index:251658240" filled="f" fillcolor="#92d050" strokecolor="#92d050">
            <v:textbox style="mso-next-textbox:#_x0000_s1028">
              <w:txbxContent>
                <w:p w:rsidR="00E003CD" w:rsidRDefault="00E003CD" w:rsidP="00D232D2">
                  <w:pPr>
                    <w:jc w:val="center"/>
                  </w:pP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3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32D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72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263B" w:rsidRPr="004B42D2">
        <w:rPr>
          <w:rFonts w:ascii="Arial" w:hAnsi="Arial" w:cs="Arial"/>
          <w:b/>
          <w:noProof/>
          <w:sz w:val="30"/>
          <w:szCs w:val="30"/>
          <w:lang w:eastAsia="fr-FR"/>
        </w:rPr>
        <w:t>Institut</w:t>
      </w:r>
      <w:r w:rsidR="0023263B" w:rsidRPr="004B42D2">
        <w:rPr>
          <w:rFonts w:ascii="Arial" w:hAnsi="Arial" w:cs="Arial"/>
          <w:b/>
          <w:sz w:val="30"/>
          <w:szCs w:val="30"/>
        </w:rPr>
        <w:t xml:space="preserve"> de Statistiques et d’Etudes Economiques du Burundi</w:t>
      </w:r>
    </w:p>
    <w:p w:rsidR="0023263B" w:rsidRPr="004B42D2" w:rsidRDefault="00C614B3" w:rsidP="0023263B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noProof/>
          <w:lang w:eastAsia="fr-FR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040" type="#_x0000_t16" style="position:absolute;left:0;text-align:left;margin-left:130.9pt;margin-top:24.55pt;width:126pt;height:90.05pt;z-index:251666432" fillcolor="white [3212]" stroked="f">
            <v:fill opacity=".5"/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23950" cy="843452"/>
                        <wp:effectExtent l="19050" t="0" r="0" b="0"/>
                        <wp:docPr id="162" name="Image 161" descr="Alimentation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imentation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9084" cy="8398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3263B" w:rsidRPr="004B42D2">
        <w:rPr>
          <w:rFonts w:ascii="Arial" w:hAnsi="Arial" w:cs="Arial"/>
          <w:b/>
          <w:sz w:val="30"/>
          <w:szCs w:val="30"/>
        </w:rPr>
        <w:t>Direction Générale</w:t>
      </w:r>
    </w:p>
    <w:p w:rsidR="00111FB2" w:rsidRDefault="00C614B3">
      <w:r>
        <w:rPr>
          <w:noProof/>
          <w:lang w:eastAsia="fr-FR"/>
        </w:rPr>
        <w:pict>
          <v:shape id="_x0000_s1034" type="#_x0000_t16" style="position:absolute;margin-left:14.5pt;margin-top:17.15pt;width:151.7pt;height:118.85pt;z-index:251660288" adj="6699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2550" cy="1014665"/>
                        <wp:effectExtent l="19050" t="0" r="0" b="0"/>
                        <wp:docPr id="22" name="Image 21" descr="Alimentation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imentation 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310" cy="101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1FB2" w:rsidRDefault="00C614B3">
      <w:r>
        <w:rPr>
          <w:noProof/>
          <w:lang w:eastAsia="fr-FR"/>
        </w:rPr>
        <w:pict>
          <v:shape id="_x0000_s1035" type="#_x0000_t16" style="position:absolute;margin-left:273.45pt;margin-top:4.55pt;width:130.45pt;height:87pt;z-index:251661312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3758" cy="820319"/>
                        <wp:effectExtent l="19050" t="0" r="0" b="0"/>
                        <wp:docPr id="164" name="Image 163" descr="Boissons alcoolisé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issons alcoolisé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3402" cy="820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36777" w:rsidRDefault="00C614B3">
      <w:r>
        <w:rPr>
          <w:noProof/>
          <w:lang w:eastAsia="fr-FR"/>
        </w:rPr>
        <w:pict>
          <v:shape id="_x0000_s1036" type="#_x0000_t16" style="position:absolute;margin-left:160.1pt;margin-top:4.25pt;width:109.35pt;height:83.55pt;z-index:251662336" fillcolor="white [3212]" stroked="f">
            <v:fill opacity=".5"/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38482" cy="910299"/>
                        <wp:effectExtent l="19050" t="0" r="0" b="0"/>
                        <wp:docPr id="163" name="Image 162" descr="Biens et services div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ens et services divers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5012" cy="9069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1FB2" w:rsidRDefault="00111FB2"/>
    <w:p w:rsidR="00121C0D" w:rsidRDefault="00121C0D"/>
    <w:p w:rsidR="00D232D2" w:rsidRDefault="00C614B3" w:rsidP="0039191A">
      <w:pPr>
        <w:tabs>
          <w:tab w:val="left" w:pos="6100"/>
        </w:tabs>
      </w:pPr>
      <w:r>
        <w:rPr>
          <w:noProof/>
          <w:lang w:eastAsia="fr-FR"/>
        </w:rPr>
        <w:pict>
          <v:shape id="_x0000_s1048" type="#_x0000_t202" style="position:absolute;margin-left:-70.85pt;margin-top:4.5pt;width:595.7pt;height:58.15pt;z-index:251672576" fillcolor="#f2f2f2 [3052]" stroked="f">
            <v:fill opacity="55706f"/>
            <v:textbox>
              <w:txbxContent>
                <w:p w:rsidR="00E003CD" w:rsidRPr="0039191A" w:rsidRDefault="00E003CD" w:rsidP="00821C7A">
                  <w:pPr>
                    <w:pStyle w:val="Sansinterligne"/>
                    <w:spacing w:line="276" w:lineRule="auto"/>
                    <w:jc w:val="center"/>
                    <w:rPr>
                      <w:rFonts w:ascii="Arial Black" w:hAnsi="Arial Black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sz w:val="28"/>
                      <w:szCs w:val="28"/>
                    </w:rPr>
                    <w:t>Indice des Prix à la C</w:t>
                  </w:r>
                  <w:r w:rsidRPr="0039191A">
                    <w:rPr>
                      <w:rFonts w:ascii="Arial Black" w:hAnsi="Arial Black"/>
                      <w:sz w:val="28"/>
                      <w:szCs w:val="28"/>
                    </w:rPr>
                    <w:t>onsommation des ménages au Burundi</w:t>
                  </w:r>
                  <w:r>
                    <w:rPr>
                      <w:rFonts w:ascii="Arial Black" w:hAnsi="Arial Black"/>
                      <w:sz w:val="28"/>
                      <w:szCs w:val="28"/>
                    </w:rPr>
                    <w:t> </w:t>
                  </w:r>
                </w:p>
                <w:p w:rsidR="00E003CD" w:rsidRPr="00821C7A" w:rsidRDefault="00F87779" w:rsidP="00821C7A">
                  <w:pPr>
                    <w:pStyle w:val="Sansinterligne"/>
                    <w:spacing w:line="276" w:lineRule="auto"/>
                    <w:jc w:val="center"/>
                    <w:rPr>
                      <w:rFonts w:ascii="Arial Black" w:hAnsi="Arial Black"/>
                      <w:sz w:val="24"/>
                      <w:szCs w:val="28"/>
                    </w:rPr>
                  </w:pPr>
                  <w:r>
                    <w:rPr>
                      <w:rFonts w:ascii="Arial Black" w:hAnsi="Arial Black"/>
                      <w:sz w:val="24"/>
                      <w:szCs w:val="28"/>
                    </w:rPr>
                    <w:t>mois de m</w:t>
                  </w:r>
                  <w:r w:rsidR="00E003CD">
                    <w:rPr>
                      <w:rFonts w:ascii="Arial Black" w:hAnsi="Arial Black"/>
                      <w:sz w:val="24"/>
                      <w:szCs w:val="28"/>
                    </w:rPr>
                    <w:t xml:space="preserve">ai </w:t>
                  </w:r>
                  <w:r w:rsidR="00E003CD" w:rsidRPr="00C6158D">
                    <w:rPr>
                      <w:rFonts w:ascii="Arial Black" w:hAnsi="Arial Black"/>
                      <w:sz w:val="24"/>
                      <w:szCs w:val="28"/>
                    </w:rPr>
                    <w:t>201</w:t>
                  </w:r>
                  <w:r w:rsidR="00E003CD">
                    <w:rPr>
                      <w:rFonts w:ascii="Arial Black" w:hAnsi="Arial Black"/>
                      <w:sz w:val="24"/>
                      <w:szCs w:val="28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9" type="#_x0000_t16" style="position:absolute;margin-left:204.4pt;margin-top:23.4pt;width:131pt;height:108pt;z-index:251665408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0921" cy="962025"/>
                        <wp:effectExtent l="19050" t="0" r="1579" b="0"/>
                        <wp:docPr id="175" name="Image 174" descr="Fournitu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urnitures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9534" cy="9707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191A">
        <w:tab/>
      </w:r>
    </w:p>
    <w:p w:rsidR="00D232D2" w:rsidRDefault="00C614B3">
      <w:r>
        <w:rPr>
          <w:noProof/>
          <w:lang w:eastAsia="fr-FR"/>
        </w:rPr>
        <w:pict>
          <v:shape id="_x0000_s1046" type="#_x0000_t16" style="position:absolute;margin-left:300pt;margin-top:6.3pt;width:130.45pt;height:122.15pt;z-index:251671552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8391" cy="1052423"/>
                        <wp:effectExtent l="19050" t="0" r="4609" b="0"/>
                        <wp:docPr id="179" name="Image 178" descr="Salon de coiffu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lon de coiffure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5013" cy="1058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16" style="position:absolute;margin-left:83.65pt;margin-top:7.35pt;width:161.25pt;height:130.5pt;z-index:251663360" filled="f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21841" cy="1066800"/>
                        <wp:effectExtent l="19050" t="0" r="6909" b="0"/>
                        <wp:docPr id="174" name="Image 173" descr="Chaussur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ussure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646" cy="1063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32D2" w:rsidRDefault="00C614B3">
      <w:r>
        <w:rPr>
          <w:noProof/>
          <w:lang w:eastAsia="fr-FR"/>
        </w:rPr>
        <w:pict>
          <v:shape id="_x0000_s1038" type="#_x0000_t16" style="position:absolute;margin-left:-23pt;margin-top:14.15pt;width:106.65pt;height:100.95pt;z-index:251664384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2518" cy="819150"/>
                        <wp:effectExtent l="19050" t="0" r="0" b="0"/>
                        <wp:docPr id="143" name="Image 142" descr="Alimentation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imentation 2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524" cy="821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32D2" w:rsidRDefault="00D232D2"/>
    <w:p w:rsidR="00D232D2" w:rsidRDefault="00C614B3">
      <w:r>
        <w:rPr>
          <w:noProof/>
          <w:lang w:eastAsia="fr-FR"/>
        </w:rPr>
        <w:pict>
          <v:shape id="_x0000_s1045" type="#_x0000_t16" style="position:absolute;margin-left:248.25pt;margin-top:23.25pt;width:151.15pt;height:119pt;z-index:251670528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34698" cy="1076325"/>
                        <wp:effectExtent l="19050" t="0" r="0" b="0"/>
                        <wp:docPr id="178" name="Image 177" descr="Sacoch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coches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3130" cy="1067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32D2" w:rsidRDefault="00C614B3">
      <w:r>
        <w:rPr>
          <w:noProof/>
          <w:lang w:eastAsia="fr-FR"/>
        </w:rPr>
        <w:pict>
          <v:shape id="_x0000_s1043" type="#_x0000_t16" style="position:absolute;margin-left:-1.4pt;margin-top:20.05pt;width:160.8pt;height:116.8pt;z-index:251668480" fillcolor="white [3212]" stroked="f">
            <v:textbox>
              <w:txbxContent>
                <w:p w:rsidR="00E003CD" w:rsidRPr="0023263B" w:rsidRDefault="00E003CD" w:rsidP="0023263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25955" cy="1219200"/>
                        <wp:effectExtent l="19050" t="0" r="0" b="0"/>
                        <wp:docPr id="176" name="Image 175" descr="Habilleme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billement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086" cy="12245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32D2" w:rsidRDefault="00C614B3">
      <w:r>
        <w:rPr>
          <w:noProof/>
          <w:lang w:eastAsia="fr-FR"/>
        </w:rPr>
        <w:pict>
          <v:shape id="_x0000_s1044" type="#_x0000_t16" style="position:absolute;margin-left:120.65pt;margin-top:6.1pt;width:148.8pt;height:122.9pt;z-index:251669504" fillcolor="white [3212]" stroked="f">
            <v:textbox>
              <w:txbxContent>
                <w:p w:rsidR="00E003CD" w:rsidRDefault="00E003C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09701" cy="1057275"/>
                        <wp:effectExtent l="19050" t="0" r="0" b="0"/>
                        <wp:docPr id="177" name="Image 176" descr="Informa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formation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4990" cy="10687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32D2" w:rsidRDefault="00D232D2"/>
    <w:p w:rsidR="00111FB2" w:rsidRDefault="00111FB2"/>
    <w:p w:rsidR="00D232D2" w:rsidRDefault="00D232D2"/>
    <w:p w:rsidR="00D232D2" w:rsidRDefault="00D232D2"/>
    <w:p w:rsidR="00D232D2" w:rsidRDefault="00C614B3">
      <w:r>
        <w:rPr>
          <w:noProof/>
          <w:lang w:eastAsia="fr-FR"/>
        </w:rPr>
        <w:pict>
          <v:shape id="_x0000_s1049" type="#_x0000_t202" style="position:absolute;margin-left:-3.05pt;margin-top:9.8pt;width:452.9pt;height:56.55pt;z-index:251673600" stroked="f">
            <v:textbox>
              <w:txbxContent>
                <w:p w:rsidR="00E003CD" w:rsidRDefault="00E003CD" w:rsidP="004B42D2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E003CD" w:rsidRDefault="00E003CD" w:rsidP="004B42D2">
                  <w:pPr>
                    <w:jc w:val="center"/>
                  </w:pPr>
                  <w:r w:rsidRPr="00F73F46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ate de publication </w:t>
                  </w:r>
                  <w:r w:rsidRPr="00F73F46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11 juin 2018</w:t>
                  </w:r>
                </w:p>
              </w:txbxContent>
            </v:textbox>
          </v:shape>
        </w:pict>
      </w:r>
    </w:p>
    <w:p w:rsidR="00D232D2" w:rsidRDefault="00D232D2"/>
    <w:p w:rsidR="00D232D2" w:rsidRDefault="00D232D2"/>
    <w:p w:rsidR="00D232D2" w:rsidRDefault="00D232D2"/>
    <w:p w:rsidR="00D232D2" w:rsidRDefault="00D232D2"/>
    <w:p w:rsidR="00D232D2" w:rsidRDefault="00C614B3">
      <w:r>
        <w:rPr>
          <w:noProof/>
          <w:lang w:eastAsia="fr-FR"/>
        </w:rPr>
        <w:pict>
          <v:shape id="_x0000_s1050" type="#_x0000_t202" style="position:absolute;margin-left:21.1pt;margin-top:3.1pt;width:446.45pt;height:107.6pt;z-index:251674624" stroked="f">
            <v:textbox>
              <w:txbxContent>
                <w:p w:rsidR="00E003CD" w:rsidRPr="00F20C74" w:rsidRDefault="00E003CD" w:rsidP="004B42D2">
                  <w:pPr>
                    <w:pStyle w:val="Pieddepage"/>
                    <w:pBdr>
                      <w:bottom w:val="single" w:sz="4" w:space="1" w:color="auto"/>
                    </w:pBdr>
                    <w:jc w:val="center"/>
                    <w:rPr>
                      <w:rFonts w:ascii="Arial" w:hAnsi="Arial" w:cs="Arial"/>
                      <w:b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  <w:r w:rsidRPr="00F20C74">
                    <w:rPr>
                      <w:rFonts w:ascii="Arial" w:hAnsi="Arial" w:cs="Arial"/>
                      <w:b/>
                      <w:bCs/>
                      <w:snapToGrid w:val="0"/>
                      <w:sz w:val="16"/>
                      <w:szCs w:val="16"/>
                      <w:lang w:val="fr-BE"/>
                    </w:rPr>
                    <w:t>ISTEEBU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>Zone Rohero, Quartier INSS, Avenue de l’Aviation, N°06,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>B.P. 1156 BUJUMBURA,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>Tél. : (+257) 22 22 2149/22 22 67 29, 22 21 67 34/35,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</w:pPr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>FAX : (+257) 22-222 635,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</w:pPr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 xml:space="preserve">E-Mail : </w:t>
                  </w:r>
                  <w:hyperlink r:id="rId20" w:history="1">
                    <w:r w:rsidRPr="00F00508">
                      <w:rPr>
                        <w:rStyle w:val="Lienhypertexte"/>
                        <w:rFonts w:ascii="Arial" w:hAnsi="Arial" w:cs="Arial"/>
                        <w:bCs/>
                        <w:snapToGrid w:val="0"/>
                        <w:color w:val="auto"/>
                        <w:sz w:val="16"/>
                        <w:szCs w:val="16"/>
                        <w:lang w:val="fr-BE"/>
                      </w:rPr>
                      <w:t>isteebu@isteebu.bi</w:t>
                    </w:r>
                  </w:hyperlink>
                  <w:r w:rsidRPr="00F00508">
                    <w:rPr>
                      <w:rFonts w:ascii="Arial" w:hAnsi="Arial" w:cs="Arial"/>
                      <w:bCs/>
                      <w:snapToGrid w:val="0"/>
                      <w:sz w:val="16"/>
                      <w:szCs w:val="16"/>
                      <w:lang w:val="fr-BE"/>
                    </w:rPr>
                    <w:t xml:space="preserve">, </w:t>
                  </w:r>
                  <w:hyperlink r:id="rId21" w:history="1">
                    <w:r w:rsidRPr="00F00508">
                      <w:rPr>
                        <w:rStyle w:val="Lienhypertexte"/>
                        <w:rFonts w:ascii="Arial" w:hAnsi="Arial" w:cs="Arial"/>
                        <w:bCs/>
                        <w:snapToGrid w:val="0"/>
                        <w:color w:val="auto"/>
                        <w:sz w:val="16"/>
                        <w:szCs w:val="16"/>
                        <w:lang w:val="fr-BE"/>
                      </w:rPr>
                      <w:t>isteebubdi@gmail.com</w:t>
                    </w:r>
                  </w:hyperlink>
                  <w:r w:rsidRPr="00F00508">
                    <w:rPr>
                      <w:rFonts w:ascii="Arial" w:hAnsi="Arial" w:cs="Arial"/>
                      <w:sz w:val="16"/>
                      <w:szCs w:val="16"/>
                      <w:lang w:val="fr-BE"/>
                    </w:rPr>
                    <w:t>,</w:t>
                  </w:r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00508">
                    <w:rPr>
                      <w:rFonts w:ascii="Arial" w:hAnsi="Arial" w:cs="Arial"/>
                      <w:bCs/>
                      <w:sz w:val="16"/>
                      <w:szCs w:val="16"/>
                      <w:lang w:val="it-IT"/>
                    </w:rPr>
                    <w:t xml:space="preserve">Site Web : </w:t>
                  </w:r>
                  <w:hyperlink r:id="rId22" w:history="1">
                    <w:r w:rsidRPr="00F00508">
                      <w:rPr>
                        <w:rStyle w:val="Lienhypertexte"/>
                        <w:rFonts w:ascii="Arial" w:hAnsi="Arial" w:cs="Arial"/>
                        <w:bCs/>
                        <w:color w:val="auto"/>
                        <w:sz w:val="16"/>
                        <w:szCs w:val="16"/>
                        <w:lang w:val="it-IT"/>
                      </w:rPr>
                      <w:t>www.isteebu.bi</w:t>
                    </w:r>
                  </w:hyperlink>
                </w:p>
                <w:p w:rsidR="00E003CD" w:rsidRPr="00F00508" w:rsidRDefault="00E003CD" w:rsidP="004B42D2">
                  <w:pPr>
                    <w:pStyle w:val="Pieddepage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E003CD" w:rsidRPr="00F00508" w:rsidRDefault="00E003CD" w:rsidP="004B42D2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00508">
                    <w:rPr>
                      <w:rFonts w:ascii="Arial" w:hAnsi="Arial" w:cs="Arial"/>
                      <w:bCs/>
                      <w:sz w:val="16"/>
                      <w:szCs w:val="16"/>
                      <w:lang w:val="it-IT"/>
                    </w:rPr>
                    <w:t xml:space="preserve">Devise: </w:t>
                  </w:r>
                  <w:r w:rsidRPr="00F00508">
                    <w:rPr>
                      <w:rFonts w:ascii="Arial" w:hAnsi="Arial" w:cs="Arial"/>
                      <w:bCs/>
                      <w:i/>
                      <w:color w:val="222AD0"/>
                      <w:sz w:val="16"/>
                      <w:szCs w:val="16"/>
                      <w:lang w:val="it-IT"/>
                    </w:rPr>
                    <w:t>” En marche avec des statistiques fiables au service du développement”</w:t>
                  </w:r>
                </w:p>
              </w:txbxContent>
            </v:textbox>
          </v:shape>
        </w:pict>
      </w:r>
    </w:p>
    <w:p w:rsidR="00D232D2" w:rsidRDefault="00D232D2"/>
    <w:p w:rsidR="00D232D2" w:rsidRDefault="00D232D2"/>
    <w:p w:rsidR="00D232D2" w:rsidRDefault="00C614B3">
      <w:r>
        <w:rPr>
          <w:noProof/>
          <w:lang w:eastAsia="fr-FR"/>
        </w:rPr>
        <w:pict>
          <v:shape id="_x0000_s1030" type="#_x0000_t202" style="position:absolute;margin-left:-206.55pt;margin-top:35.4pt;width:851.05pt;height:43.5pt;z-index:251659264" fillcolor="white [3212]" strokecolor="#92d050">
            <v:textbox style="mso-next-textbox:#_x0000_s1030">
              <w:txbxContent>
                <w:p w:rsidR="00E003CD" w:rsidRDefault="00E003CD" w:rsidP="00D232D2">
                  <w:pPr>
                    <w:jc w:val="center"/>
                  </w:pP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65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66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67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6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69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70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21C0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71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232D2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13900" cy="474453"/>
                        <wp:effectExtent l="19050" t="0" r="0" b="0"/>
                        <wp:docPr id="17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605" cy="4757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4DD0" w:rsidRPr="00F80057" w:rsidRDefault="001145E9" w:rsidP="00F20C74">
      <w:pPr>
        <w:jc w:val="both"/>
        <w:rPr>
          <w:rFonts w:ascii="Arial" w:hAnsi="Arial" w:cs="Arial"/>
          <w:szCs w:val="24"/>
        </w:rPr>
      </w:pPr>
      <w:r w:rsidRPr="00F80057">
        <w:rPr>
          <w:rFonts w:ascii="Arial" w:hAnsi="Arial" w:cs="Arial"/>
          <w:szCs w:val="24"/>
        </w:rPr>
        <w:lastRenderedPageBreak/>
        <w:t xml:space="preserve">L’Institut de Statistiques et d’Etudes Economiques du Burundi a le plaisir de mettre à la disposition des utilisateurs, l’Indice </w:t>
      </w:r>
      <w:r w:rsidR="00094DD0" w:rsidRPr="00F80057">
        <w:rPr>
          <w:rFonts w:ascii="Arial" w:hAnsi="Arial" w:cs="Arial"/>
          <w:szCs w:val="24"/>
        </w:rPr>
        <w:t xml:space="preserve">National </w:t>
      </w:r>
      <w:r w:rsidRPr="00F80057">
        <w:rPr>
          <w:rFonts w:ascii="Arial" w:hAnsi="Arial" w:cs="Arial"/>
          <w:szCs w:val="24"/>
        </w:rPr>
        <w:t xml:space="preserve">des Prix à la Consommation </w:t>
      </w:r>
      <w:r w:rsidR="00094DD0" w:rsidRPr="00F80057">
        <w:rPr>
          <w:rFonts w:ascii="Arial" w:hAnsi="Arial" w:cs="Arial"/>
          <w:szCs w:val="24"/>
        </w:rPr>
        <w:t>des ménages au Burundi</w:t>
      </w:r>
      <w:r w:rsidR="00506BEB">
        <w:rPr>
          <w:rFonts w:ascii="Arial" w:hAnsi="Arial" w:cs="Arial"/>
          <w:szCs w:val="24"/>
        </w:rPr>
        <w:t xml:space="preserve"> du mois </w:t>
      </w:r>
      <w:r w:rsidR="00B92574">
        <w:rPr>
          <w:rFonts w:ascii="Arial" w:hAnsi="Arial" w:cs="Arial"/>
          <w:szCs w:val="24"/>
        </w:rPr>
        <w:t>d</w:t>
      </w:r>
      <w:r w:rsidR="00A84DFE">
        <w:rPr>
          <w:rFonts w:ascii="Arial" w:hAnsi="Arial" w:cs="Arial"/>
          <w:szCs w:val="24"/>
        </w:rPr>
        <w:t>e mai</w:t>
      </w:r>
      <w:r w:rsidR="007C63E5">
        <w:rPr>
          <w:rFonts w:ascii="Arial" w:hAnsi="Arial" w:cs="Arial"/>
          <w:szCs w:val="24"/>
        </w:rPr>
        <w:t xml:space="preserve"> </w:t>
      </w:r>
      <w:r w:rsidR="00506BEB">
        <w:rPr>
          <w:rFonts w:ascii="Arial" w:hAnsi="Arial" w:cs="Arial"/>
          <w:szCs w:val="24"/>
        </w:rPr>
        <w:t>201</w:t>
      </w:r>
      <w:r w:rsidR="004B7C4E">
        <w:rPr>
          <w:rFonts w:ascii="Arial" w:hAnsi="Arial" w:cs="Arial"/>
          <w:szCs w:val="24"/>
        </w:rPr>
        <w:t>8</w:t>
      </w:r>
      <w:r w:rsidR="00094DD0" w:rsidRPr="00F80057">
        <w:rPr>
          <w:rFonts w:ascii="Arial" w:hAnsi="Arial" w:cs="Arial"/>
          <w:szCs w:val="24"/>
        </w:rPr>
        <w:t>.</w:t>
      </w:r>
    </w:p>
    <w:p w:rsidR="00094DD0" w:rsidRPr="00F80057" w:rsidRDefault="00094DD0" w:rsidP="00F20C74">
      <w:pPr>
        <w:jc w:val="both"/>
        <w:rPr>
          <w:rFonts w:ascii="Arial" w:hAnsi="Arial" w:cs="Arial"/>
          <w:szCs w:val="24"/>
        </w:rPr>
      </w:pPr>
      <w:r w:rsidRPr="00F80057">
        <w:rPr>
          <w:rFonts w:ascii="Arial" w:hAnsi="Arial" w:cs="Arial"/>
          <w:szCs w:val="24"/>
        </w:rPr>
        <w:t xml:space="preserve">Le présent indice base 100 en 2016/2017 est une rénovation de l’ancien </w:t>
      </w:r>
      <w:r w:rsidR="00AD7A6E">
        <w:rPr>
          <w:rFonts w:ascii="Arial" w:hAnsi="Arial" w:cs="Arial"/>
          <w:szCs w:val="24"/>
        </w:rPr>
        <w:t xml:space="preserve">indice </w:t>
      </w:r>
      <w:r w:rsidRPr="00F80057">
        <w:rPr>
          <w:rFonts w:ascii="Arial" w:hAnsi="Arial" w:cs="Arial"/>
          <w:szCs w:val="24"/>
        </w:rPr>
        <w:t xml:space="preserve">qui a comme base 100 en décembre 2013. </w:t>
      </w:r>
      <w:r w:rsidR="00AD7A6E">
        <w:rPr>
          <w:rFonts w:ascii="Arial" w:hAnsi="Arial" w:cs="Arial"/>
          <w:szCs w:val="24"/>
        </w:rPr>
        <w:t xml:space="preserve">Il </w:t>
      </w:r>
      <w:r w:rsidRPr="00F80057">
        <w:rPr>
          <w:rFonts w:ascii="Arial" w:hAnsi="Arial" w:cs="Arial"/>
          <w:szCs w:val="24"/>
        </w:rPr>
        <w:t>couvre tout le territoire national (provinces Bubanza, Bujumbura, Bururi, Cankuzo, Cibitoke, Gitega, Karusi, Kayanza, Kirundo, Makamba, Muramvya, Muyinga, Mwaro, Ngozi, Rumonge, Rutana, Ruyigi et Bujumbura Mairie) tan</w:t>
      </w:r>
      <w:r w:rsidR="00AD7A6E">
        <w:rPr>
          <w:rFonts w:ascii="Arial" w:hAnsi="Arial" w:cs="Arial"/>
          <w:szCs w:val="24"/>
        </w:rPr>
        <w:t>t en milieu urbain que rural. Les</w:t>
      </w:r>
      <w:r w:rsidRPr="00F80057">
        <w:rPr>
          <w:rFonts w:ascii="Arial" w:hAnsi="Arial" w:cs="Arial"/>
          <w:szCs w:val="24"/>
        </w:rPr>
        <w:t xml:space="preserve"> pondération</w:t>
      </w:r>
      <w:r w:rsidR="00AD7A6E">
        <w:rPr>
          <w:rFonts w:ascii="Arial" w:hAnsi="Arial" w:cs="Arial"/>
          <w:szCs w:val="24"/>
        </w:rPr>
        <w:t>s</w:t>
      </w:r>
      <w:r w:rsidRPr="00F80057">
        <w:rPr>
          <w:rFonts w:ascii="Arial" w:hAnsi="Arial" w:cs="Arial"/>
          <w:szCs w:val="24"/>
        </w:rPr>
        <w:t xml:space="preserve"> dérive</w:t>
      </w:r>
      <w:r w:rsidR="00AD7A6E">
        <w:rPr>
          <w:rFonts w:ascii="Arial" w:hAnsi="Arial" w:cs="Arial"/>
          <w:szCs w:val="24"/>
        </w:rPr>
        <w:t>nt</w:t>
      </w:r>
      <w:r w:rsidRPr="00F80057">
        <w:rPr>
          <w:rFonts w:ascii="Arial" w:hAnsi="Arial" w:cs="Arial"/>
          <w:szCs w:val="24"/>
        </w:rPr>
        <w:t xml:space="preserve"> de l’enquête sur les conditions de vie des ménages (ECVMB2013/2014-Volet dépenses).</w:t>
      </w:r>
    </w:p>
    <w:p w:rsidR="00094DD0" w:rsidRPr="00F80057" w:rsidRDefault="00094DD0" w:rsidP="00F20C74">
      <w:pPr>
        <w:jc w:val="both"/>
        <w:rPr>
          <w:rFonts w:ascii="Arial" w:hAnsi="Arial" w:cs="Arial"/>
          <w:szCs w:val="24"/>
        </w:rPr>
      </w:pPr>
      <w:r w:rsidRPr="00F80057">
        <w:rPr>
          <w:rFonts w:ascii="Arial" w:hAnsi="Arial" w:cs="Arial"/>
          <w:szCs w:val="24"/>
        </w:rPr>
        <w:t>Les indices d’agrégat</w:t>
      </w:r>
      <w:r w:rsidR="00AD7A6E">
        <w:rPr>
          <w:rFonts w:ascii="Arial" w:hAnsi="Arial" w:cs="Arial"/>
          <w:szCs w:val="24"/>
        </w:rPr>
        <w:t>s</w:t>
      </w:r>
      <w:r w:rsidRPr="00F80057">
        <w:rPr>
          <w:rFonts w:ascii="Arial" w:hAnsi="Arial" w:cs="Arial"/>
          <w:szCs w:val="24"/>
        </w:rPr>
        <w:t xml:space="preserve"> élémentaires sont des indices de Jevons. Les indices de niveau supérieurs sont des indices de Laspeyres. L’indice national est un indice pondéré des indices provinciaux des 18 provinces du Burundi.</w:t>
      </w:r>
      <w:r w:rsidR="00960F98" w:rsidRPr="00F80057">
        <w:rPr>
          <w:rFonts w:ascii="Arial" w:hAnsi="Arial" w:cs="Arial"/>
          <w:szCs w:val="24"/>
        </w:rPr>
        <w:t xml:space="preserve"> Les indices nationaux sont disponibles à partir des indices des postes de consommation.</w:t>
      </w: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417280" w:rsidRDefault="00417280" w:rsidP="00A3182C">
      <w:pPr>
        <w:jc w:val="both"/>
      </w:pPr>
    </w:p>
    <w:p w:rsidR="00644BEA" w:rsidRDefault="00644BEA" w:rsidP="00A3182C">
      <w:pPr>
        <w:jc w:val="both"/>
        <w:rPr>
          <w:rFonts w:ascii="Arial" w:hAnsi="Arial" w:cs="Arial"/>
          <w:b/>
          <w:color w:val="1F497D" w:themeColor="text2"/>
          <w:sz w:val="28"/>
        </w:rPr>
      </w:pPr>
    </w:p>
    <w:p w:rsidR="00642D28" w:rsidRDefault="00642D28" w:rsidP="00A3182C">
      <w:pPr>
        <w:jc w:val="both"/>
        <w:rPr>
          <w:rFonts w:ascii="Arial" w:hAnsi="Arial" w:cs="Arial"/>
          <w:b/>
          <w:color w:val="1F497D" w:themeColor="text2"/>
          <w:sz w:val="28"/>
        </w:rPr>
      </w:pPr>
      <w:r>
        <w:rPr>
          <w:rFonts w:ascii="Arial" w:hAnsi="Arial" w:cs="Arial"/>
          <w:b/>
          <w:color w:val="1F497D" w:themeColor="text2"/>
          <w:sz w:val="28"/>
        </w:rPr>
        <w:lastRenderedPageBreak/>
        <w:t>1 Inflation annuel</w:t>
      </w:r>
      <w:r w:rsidR="00EB7FAD">
        <w:rPr>
          <w:rFonts w:ascii="Arial" w:hAnsi="Arial" w:cs="Arial"/>
          <w:b/>
          <w:color w:val="1F497D" w:themeColor="text2"/>
          <w:sz w:val="28"/>
        </w:rPr>
        <w:t>le</w:t>
      </w:r>
    </w:p>
    <w:p w:rsidR="00A3182C" w:rsidRPr="00642D28" w:rsidRDefault="00642D28" w:rsidP="00317250">
      <w:pPr>
        <w:jc w:val="both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L</w:t>
      </w:r>
      <w:r w:rsidR="00A3182C" w:rsidRPr="00642D28">
        <w:rPr>
          <w:rFonts w:ascii="Arial" w:hAnsi="Arial" w:cs="Arial"/>
          <w:b/>
          <w:color w:val="1F497D" w:themeColor="text2"/>
        </w:rPr>
        <w:t xml:space="preserve">e taux d’inflation annuel s’établit à </w:t>
      </w:r>
      <w:r w:rsidR="00E20334">
        <w:rPr>
          <w:rFonts w:ascii="Arial" w:hAnsi="Arial" w:cs="Arial"/>
          <w:b/>
          <w:color w:val="1F497D" w:themeColor="text2"/>
        </w:rPr>
        <w:t xml:space="preserve">7,8 </w:t>
      </w:r>
      <w:r w:rsidR="00A33560">
        <w:rPr>
          <w:rFonts w:ascii="Arial" w:hAnsi="Arial" w:cs="Arial"/>
          <w:b/>
          <w:color w:val="1F497D" w:themeColor="text2"/>
        </w:rPr>
        <w:t>%</w:t>
      </w:r>
      <w:r w:rsidR="00DF2152">
        <w:rPr>
          <w:rFonts w:ascii="Arial" w:hAnsi="Arial" w:cs="Arial"/>
          <w:b/>
          <w:color w:val="1F497D" w:themeColor="text2"/>
        </w:rPr>
        <w:t xml:space="preserve"> </w:t>
      </w:r>
      <w:r w:rsidR="00A33560">
        <w:rPr>
          <w:rFonts w:ascii="Arial" w:hAnsi="Arial" w:cs="Arial"/>
          <w:b/>
          <w:color w:val="1F497D" w:themeColor="text2"/>
        </w:rPr>
        <w:t xml:space="preserve">en </w:t>
      </w:r>
      <w:r w:rsidR="00E20334">
        <w:rPr>
          <w:rFonts w:ascii="Arial" w:hAnsi="Arial" w:cs="Arial"/>
          <w:b/>
          <w:color w:val="1F497D" w:themeColor="text2"/>
        </w:rPr>
        <w:t xml:space="preserve">mai </w:t>
      </w:r>
      <w:r w:rsidR="00A33560">
        <w:rPr>
          <w:rFonts w:ascii="Arial" w:hAnsi="Arial" w:cs="Arial"/>
          <w:b/>
          <w:color w:val="1F497D" w:themeColor="text2"/>
        </w:rPr>
        <w:t>201</w:t>
      </w:r>
      <w:r w:rsidR="004B7C4E">
        <w:rPr>
          <w:rFonts w:ascii="Arial" w:hAnsi="Arial" w:cs="Arial"/>
          <w:b/>
          <w:color w:val="1F497D" w:themeColor="text2"/>
        </w:rPr>
        <w:t>8</w:t>
      </w:r>
    </w:p>
    <w:p w:rsidR="0014263B" w:rsidRDefault="0014263B" w:rsidP="0014263B">
      <w:pPr>
        <w:jc w:val="both"/>
        <w:rPr>
          <w:rFonts w:ascii="Arial" w:hAnsi="Arial" w:cs="Arial"/>
        </w:rPr>
      </w:pPr>
      <w:r w:rsidRPr="00183034">
        <w:rPr>
          <w:rFonts w:ascii="Arial" w:hAnsi="Arial" w:cs="Arial"/>
        </w:rPr>
        <w:t>Au cours de l’année ayant pris fin en</w:t>
      </w:r>
      <w:r w:rsidR="00E20334">
        <w:rPr>
          <w:rFonts w:ascii="Arial" w:hAnsi="Arial" w:cs="Arial"/>
        </w:rPr>
        <w:t xml:space="preserve"> mai</w:t>
      </w:r>
      <w:r>
        <w:rPr>
          <w:rFonts w:ascii="Arial" w:hAnsi="Arial" w:cs="Arial"/>
        </w:rPr>
        <w:t xml:space="preserve"> 201</w:t>
      </w:r>
      <w:r w:rsidR="004B7C4E">
        <w:rPr>
          <w:rFonts w:ascii="Arial" w:hAnsi="Arial" w:cs="Arial"/>
        </w:rPr>
        <w:t>8</w:t>
      </w:r>
      <w:r w:rsidRPr="0018303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l’inflation annue</w:t>
      </w:r>
      <w:r w:rsidR="00E20334">
        <w:rPr>
          <w:rFonts w:ascii="Arial" w:hAnsi="Arial" w:cs="Arial"/>
        </w:rPr>
        <w:t>lle globale s’élève 7,8% contre 9,4</w:t>
      </w:r>
      <w:r>
        <w:rPr>
          <w:rFonts w:ascii="Arial" w:hAnsi="Arial" w:cs="Arial"/>
        </w:rPr>
        <w:t xml:space="preserve">% le mois précédent. </w:t>
      </w:r>
      <w:r w:rsidRPr="00183034">
        <w:rPr>
          <w:rFonts w:ascii="Arial" w:hAnsi="Arial" w:cs="Arial"/>
        </w:rPr>
        <w:t xml:space="preserve">En glissement annuel, l’indice des prix à la consommation est en </w:t>
      </w:r>
      <w:r w:rsidR="00CC4E43">
        <w:rPr>
          <w:rFonts w:ascii="Arial" w:hAnsi="Arial" w:cs="Arial"/>
        </w:rPr>
        <w:t>baisse</w:t>
      </w:r>
      <w:r w:rsidRPr="00183034">
        <w:rPr>
          <w:rFonts w:ascii="Arial" w:hAnsi="Arial" w:cs="Arial"/>
        </w:rPr>
        <w:t xml:space="preserve"> de </w:t>
      </w:r>
      <w:r w:rsidR="00E20334">
        <w:rPr>
          <w:rFonts w:ascii="Arial" w:hAnsi="Arial" w:cs="Arial"/>
        </w:rPr>
        <w:t>1,0</w:t>
      </w:r>
      <w:r w:rsidR="00B4493E">
        <w:rPr>
          <w:rFonts w:ascii="Arial" w:hAnsi="Arial" w:cs="Arial"/>
        </w:rPr>
        <w:t xml:space="preserve"> </w:t>
      </w:r>
      <w:r w:rsidRPr="00183034">
        <w:rPr>
          <w:rFonts w:ascii="Arial" w:hAnsi="Arial" w:cs="Arial"/>
        </w:rPr>
        <w:t xml:space="preserve">% pour le mois </w:t>
      </w:r>
      <w:r w:rsidR="00BB1249">
        <w:rPr>
          <w:rFonts w:ascii="Arial" w:hAnsi="Arial" w:cs="Arial"/>
        </w:rPr>
        <w:t>d</w:t>
      </w:r>
      <w:r w:rsidR="00E20334">
        <w:rPr>
          <w:rFonts w:ascii="Arial" w:hAnsi="Arial" w:cs="Arial"/>
        </w:rPr>
        <w:t>e mai</w:t>
      </w:r>
      <w:r w:rsidR="00745A4F">
        <w:rPr>
          <w:rFonts w:ascii="Arial" w:hAnsi="Arial" w:cs="Arial"/>
        </w:rPr>
        <w:t xml:space="preserve"> </w:t>
      </w:r>
      <w:r w:rsidRPr="00183034">
        <w:rPr>
          <w:rFonts w:ascii="Arial" w:hAnsi="Arial" w:cs="Arial"/>
        </w:rPr>
        <w:t>201</w:t>
      </w:r>
      <w:r w:rsidR="004B7C4E">
        <w:rPr>
          <w:rFonts w:ascii="Arial" w:hAnsi="Arial" w:cs="Arial"/>
        </w:rPr>
        <w:t>8</w:t>
      </w:r>
      <w:r w:rsidRPr="00183034">
        <w:rPr>
          <w:rFonts w:ascii="Arial" w:hAnsi="Arial" w:cs="Arial"/>
        </w:rPr>
        <w:t xml:space="preserve"> contre une </w:t>
      </w:r>
      <w:r w:rsidR="00B4493E">
        <w:rPr>
          <w:rFonts w:ascii="Arial" w:hAnsi="Arial" w:cs="Arial"/>
        </w:rPr>
        <w:t>bai</w:t>
      </w:r>
      <w:r w:rsidRPr="00183034">
        <w:rPr>
          <w:rFonts w:ascii="Arial" w:hAnsi="Arial" w:cs="Arial"/>
        </w:rPr>
        <w:t xml:space="preserve">sse de </w:t>
      </w:r>
      <w:r w:rsidR="00E20334">
        <w:rPr>
          <w:rFonts w:ascii="Arial" w:hAnsi="Arial" w:cs="Arial"/>
        </w:rPr>
        <w:t>1,7</w:t>
      </w:r>
      <w:r w:rsidRPr="0069395A">
        <w:rPr>
          <w:rFonts w:ascii="Arial" w:hAnsi="Arial" w:cs="Arial"/>
        </w:rPr>
        <w:t>%</w:t>
      </w:r>
      <w:r w:rsidR="00EC0999">
        <w:rPr>
          <w:rFonts w:ascii="Arial" w:hAnsi="Arial" w:cs="Arial"/>
        </w:rPr>
        <w:t xml:space="preserve"> </w:t>
      </w:r>
      <w:r w:rsidRPr="00183034">
        <w:rPr>
          <w:rFonts w:ascii="Arial" w:hAnsi="Arial" w:cs="Arial"/>
        </w:rPr>
        <w:t xml:space="preserve">le mois précédent. </w:t>
      </w:r>
    </w:p>
    <w:p w:rsidR="008B55D4" w:rsidRDefault="0014263B" w:rsidP="0014263B">
      <w:pPr>
        <w:jc w:val="both"/>
        <w:rPr>
          <w:rFonts w:ascii="Arial" w:hAnsi="Arial" w:cs="Arial"/>
          <w:bCs/>
          <w:szCs w:val="24"/>
        </w:rPr>
      </w:pPr>
      <w:r w:rsidRPr="00995916">
        <w:rPr>
          <w:rFonts w:ascii="Arial" w:hAnsi="Arial" w:cs="Arial"/>
          <w:szCs w:val="24"/>
        </w:rPr>
        <w:t>Les douze fonctions de la classification internationale des fonctions de la consommation individuelle (COICOP) qui composent l’IPC ont enregistré les variations moyennes annuelles suivantes : Produits alimentaires</w:t>
      </w:r>
      <w:r>
        <w:rPr>
          <w:rFonts w:ascii="Arial" w:hAnsi="Arial" w:cs="Arial"/>
          <w:szCs w:val="24"/>
        </w:rPr>
        <w:t xml:space="preserve"> et boissons non alcoolisées (+</w:t>
      </w:r>
      <w:r w:rsidR="00E20334">
        <w:rPr>
          <w:rFonts w:ascii="Arial" w:hAnsi="Arial" w:cs="Arial"/>
          <w:szCs w:val="24"/>
        </w:rPr>
        <w:t>7</w:t>
      </w:r>
      <w:r w:rsidRPr="008B55D4">
        <w:rPr>
          <w:rFonts w:ascii="Arial" w:hAnsi="Arial" w:cs="Arial"/>
          <w:szCs w:val="24"/>
        </w:rPr>
        <w:t>,</w:t>
      </w:r>
      <w:r w:rsidR="00E20334">
        <w:rPr>
          <w:rFonts w:ascii="Arial" w:hAnsi="Arial" w:cs="Arial"/>
          <w:szCs w:val="24"/>
        </w:rPr>
        <w:t>7</w:t>
      </w:r>
      <w:r w:rsidRPr="00995916">
        <w:rPr>
          <w:rFonts w:ascii="Arial" w:hAnsi="Arial" w:cs="Arial"/>
          <w:szCs w:val="24"/>
        </w:rPr>
        <w:t>%) ; Bo</w:t>
      </w:r>
      <w:r>
        <w:rPr>
          <w:rFonts w:ascii="Arial" w:hAnsi="Arial" w:cs="Arial"/>
          <w:szCs w:val="24"/>
        </w:rPr>
        <w:t>issons alcoolisées et Tabac (+</w:t>
      </w:r>
      <w:r w:rsidR="00E20334">
        <w:rPr>
          <w:rFonts w:ascii="Arial" w:hAnsi="Arial" w:cs="Arial"/>
          <w:szCs w:val="24"/>
        </w:rPr>
        <w:t>6,5</w:t>
      </w:r>
      <w:r w:rsidRPr="00995916">
        <w:rPr>
          <w:rFonts w:ascii="Arial" w:hAnsi="Arial" w:cs="Arial"/>
          <w:szCs w:val="24"/>
        </w:rPr>
        <w:t>%) </w:t>
      </w:r>
      <w:r>
        <w:rPr>
          <w:rFonts w:ascii="Arial" w:hAnsi="Arial" w:cs="Arial"/>
          <w:szCs w:val="24"/>
        </w:rPr>
        <w:t>; Habillement et Chaussures (+</w:t>
      </w:r>
      <w:r w:rsidR="00E20334">
        <w:rPr>
          <w:rFonts w:ascii="Arial" w:hAnsi="Arial" w:cs="Arial"/>
          <w:szCs w:val="24"/>
        </w:rPr>
        <w:t>6,8</w:t>
      </w:r>
      <w:r w:rsidRPr="00995916">
        <w:rPr>
          <w:rFonts w:ascii="Arial" w:hAnsi="Arial" w:cs="Arial"/>
          <w:szCs w:val="24"/>
        </w:rPr>
        <w:t xml:space="preserve">%) ; </w:t>
      </w:r>
      <w:r w:rsidRPr="00995916">
        <w:rPr>
          <w:rFonts w:ascii="Arial" w:hAnsi="Arial" w:cs="Arial"/>
          <w:bCs/>
          <w:szCs w:val="24"/>
        </w:rPr>
        <w:t xml:space="preserve">Logement, eau, électricité, </w:t>
      </w:r>
      <w:r>
        <w:rPr>
          <w:rFonts w:ascii="Arial" w:hAnsi="Arial" w:cs="Arial"/>
          <w:bCs/>
          <w:szCs w:val="24"/>
        </w:rPr>
        <w:t>gaz et autres combustibles (+</w:t>
      </w:r>
      <w:r w:rsidR="00E20334">
        <w:rPr>
          <w:rFonts w:ascii="Arial" w:hAnsi="Arial" w:cs="Arial"/>
          <w:bCs/>
          <w:szCs w:val="24"/>
        </w:rPr>
        <w:t>9,1</w:t>
      </w:r>
      <w:r w:rsidRPr="00995916">
        <w:rPr>
          <w:rFonts w:ascii="Arial" w:hAnsi="Arial" w:cs="Arial"/>
          <w:bCs/>
          <w:szCs w:val="24"/>
        </w:rPr>
        <w:t>%) ; Ameublement, équipement ménager et entr</w:t>
      </w:r>
      <w:r>
        <w:rPr>
          <w:rFonts w:ascii="Arial" w:hAnsi="Arial" w:cs="Arial"/>
          <w:bCs/>
          <w:szCs w:val="24"/>
        </w:rPr>
        <w:t>etien courant d</w:t>
      </w:r>
      <w:r w:rsidR="003D46B2">
        <w:rPr>
          <w:rFonts w:ascii="Arial" w:hAnsi="Arial" w:cs="Arial"/>
          <w:bCs/>
          <w:szCs w:val="24"/>
        </w:rPr>
        <w:t>e la maison (+</w:t>
      </w:r>
      <w:r w:rsidR="00E20334">
        <w:rPr>
          <w:rFonts w:ascii="Arial" w:hAnsi="Arial" w:cs="Arial"/>
          <w:bCs/>
          <w:szCs w:val="24"/>
        </w:rPr>
        <w:t>7,7</w:t>
      </w:r>
      <w:r w:rsidR="003D46B2">
        <w:rPr>
          <w:rFonts w:ascii="Arial" w:hAnsi="Arial" w:cs="Arial"/>
          <w:bCs/>
          <w:szCs w:val="24"/>
        </w:rPr>
        <w:t>%) ; Santé (+</w:t>
      </w:r>
      <w:r w:rsidR="00F87779">
        <w:rPr>
          <w:rFonts w:ascii="Arial" w:hAnsi="Arial" w:cs="Arial"/>
          <w:bCs/>
          <w:szCs w:val="24"/>
        </w:rPr>
        <w:t>4,5</w:t>
      </w:r>
      <w:r w:rsidR="003D46B2">
        <w:rPr>
          <w:rFonts w:ascii="Arial" w:hAnsi="Arial" w:cs="Arial"/>
          <w:bCs/>
          <w:szCs w:val="24"/>
        </w:rPr>
        <w:t>%) ; Transport (+</w:t>
      </w:r>
      <w:r w:rsidR="00E20334">
        <w:rPr>
          <w:rFonts w:ascii="Arial" w:hAnsi="Arial" w:cs="Arial"/>
          <w:bCs/>
          <w:szCs w:val="24"/>
        </w:rPr>
        <w:t>9,6</w:t>
      </w:r>
      <w:r>
        <w:rPr>
          <w:rFonts w:ascii="Arial" w:hAnsi="Arial" w:cs="Arial"/>
          <w:bCs/>
          <w:szCs w:val="24"/>
        </w:rPr>
        <w:t>%) ; Communication (+</w:t>
      </w:r>
      <w:r w:rsidR="00B232AE">
        <w:rPr>
          <w:rFonts w:ascii="Arial" w:hAnsi="Arial" w:cs="Arial"/>
          <w:bCs/>
          <w:szCs w:val="24"/>
        </w:rPr>
        <w:t>0</w:t>
      </w:r>
      <w:r>
        <w:rPr>
          <w:rFonts w:ascii="Arial" w:hAnsi="Arial" w:cs="Arial"/>
          <w:bCs/>
          <w:szCs w:val="24"/>
        </w:rPr>
        <w:t>,</w:t>
      </w:r>
      <w:r w:rsidR="003A659C">
        <w:rPr>
          <w:rFonts w:ascii="Arial" w:hAnsi="Arial" w:cs="Arial"/>
          <w:bCs/>
          <w:szCs w:val="24"/>
        </w:rPr>
        <w:t>6</w:t>
      </w:r>
      <w:r>
        <w:rPr>
          <w:rFonts w:ascii="Arial" w:hAnsi="Arial" w:cs="Arial"/>
          <w:bCs/>
          <w:szCs w:val="24"/>
        </w:rPr>
        <w:t>%) ; loisirs et culture (+</w:t>
      </w:r>
      <w:r w:rsidR="00CC4E43">
        <w:rPr>
          <w:rFonts w:ascii="Arial" w:hAnsi="Arial" w:cs="Arial"/>
          <w:bCs/>
          <w:szCs w:val="24"/>
        </w:rPr>
        <w:t>8</w:t>
      </w:r>
      <w:r>
        <w:rPr>
          <w:rFonts w:ascii="Arial" w:hAnsi="Arial" w:cs="Arial"/>
          <w:bCs/>
          <w:szCs w:val="24"/>
        </w:rPr>
        <w:t>,</w:t>
      </w:r>
      <w:r w:rsidR="00E20334">
        <w:rPr>
          <w:rFonts w:ascii="Arial" w:hAnsi="Arial" w:cs="Arial"/>
          <w:bCs/>
          <w:szCs w:val="24"/>
        </w:rPr>
        <w:t>3</w:t>
      </w:r>
      <w:r w:rsidRPr="00995916">
        <w:rPr>
          <w:rFonts w:ascii="Arial" w:hAnsi="Arial" w:cs="Arial"/>
          <w:bCs/>
          <w:szCs w:val="24"/>
        </w:rPr>
        <w:t>%)</w:t>
      </w:r>
      <w:r>
        <w:rPr>
          <w:rFonts w:ascii="Arial" w:hAnsi="Arial" w:cs="Arial"/>
          <w:bCs/>
          <w:szCs w:val="24"/>
        </w:rPr>
        <w:t> ; Enseignement, éducation (+</w:t>
      </w:r>
      <w:r w:rsidR="00E20334">
        <w:rPr>
          <w:rFonts w:ascii="Arial" w:hAnsi="Arial" w:cs="Arial"/>
          <w:bCs/>
          <w:szCs w:val="24"/>
        </w:rPr>
        <w:t>26,5</w:t>
      </w:r>
      <w:r w:rsidRPr="00995916">
        <w:rPr>
          <w:rFonts w:ascii="Arial" w:hAnsi="Arial" w:cs="Arial"/>
          <w:bCs/>
          <w:szCs w:val="24"/>
        </w:rPr>
        <w:t>%) ; Hôt</w:t>
      </w:r>
      <w:r>
        <w:rPr>
          <w:rFonts w:ascii="Arial" w:hAnsi="Arial" w:cs="Arial"/>
          <w:bCs/>
          <w:szCs w:val="24"/>
        </w:rPr>
        <w:t>ellerie, cafés,</w:t>
      </w:r>
      <w:r w:rsidR="000508A4">
        <w:rPr>
          <w:rFonts w:ascii="Arial" w:hAnsi="Arial" w:cs="Arial"/>
          <w:bCs/>
          <w:szCs w:val="24"/>
        </w:rPr>
        <w:t xml:space="preserve"> restauration (+</w:t>
      </w:r>
      <w:r w:rsidR="00A52F60">
        <w:rPr>
          <w:rFonts w:ascii="Arial" w:hAnsi="Arial" w:cs="Arial"/>
          <w:bCs/>
          <w:szCs w:val="24"/>
        </w:rPr>
        <w:t>6,7</w:t>
      </w:r>
      <w:r w:rsidRPr="00995916">
        <w:rPr>
          <w:rFonts w:ascii="Arial" w:hAnsi="Arial" w:cs="Arial"/>
          <w:bCs/>
          <w:szCs w:val="24"/>
        </w:rPr>
        <w:t>%) e</w:t>
      </w:r>
      <w:r>
        <w:rPr>
          <w:rFonts w:ascii="Arial" w:hAnsi="Arial" w:cs="Arial"/>
          <w:bCs/>
          <w:szCs w:val="24"/>
        </w:rPr>
        <w:t>t Autres biens et services (+</w:t>
      </w:r>
      <w:r w:rsidR="00173B70">
        <w:rPr>
          <w:rFonts w:ascii="Arial" w:hAnsi="Arial" w:cs="Arial"/>
          <w:bCs/>
          <w:szCs w:val="24"/>
        </w:rPr>
        <w:t>7</w:t>
      </w:r>
      <w:r>
        <w:rPr>
          <w:rFonts w:ascii="Arial" w:hAnsi="Arial" w:cs="Arial"/>
          <w:bCs/>
          <w:szCs w:val="24"/>
        </w:rPr>
        <w:t>,</w:t>
      </w:r>
      <w:r w:rsidR="003A659C">
        <w:rPr>
          <w:rFonts w:ascii="Arial" w:hAnsi="Arial" w:cs="Arial"/>
          <w:bCs/>
          <w:szCs w:val="24"/>
        </w:rPr>
        <w:t>4</w:t>
      </w:r>
      <w:r w:rsidRPr="00995916">
        <w:rPr>
          <w:rFonts w:ascii="Arial" w:hAnsi="Arial" w:cs="Arial"/>
          <w:bCs/>
          <w:szCs w:val="24"/>
        </w:rPr>
        <w:t>%).</w:t>
      </w:r>
    </w:p>
    <w:p w:rsidR="00582E60" w:rsidRPr="00706155" w:rsidRDefault="0014263B" w:rsidP="0014263B">
      <w:pPr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Cette </w:t>
      </w:r>
      <w:r w:rsidR="00FA22D4">
        <w:rPr>
          <w:rFonts w:ascii="Arial" w:hAnsi="Arial" w:cs="Arial"/>
        </w:rPr>
        <w:t xml:space="preserve">l’inflation annuelle </w:t>
      </w:r>
      <w:r w:rsidR="00A52F60">
        <w:rPr>
          <w:rFonts w:ascii="Arial" w:hAnsi="Arial" w:cs="Arial"/>
          <w:bCs/>
          <w:szCs w:val="24"/>
        </w:rPr>
        <w:t>de 7,8</w:t>
      </w:r>
      <w:r>
        <w:rPr>
          <w:rFonts w:ascii="Arial" w:hAnsi="Arial" w:cs="Arial"/>
          <w:bCs/>
          <w:szCs w:val="24"/>
        </w:rPr>
        <w:t xml:space="preserve">% est due principalement aux prix des produits alimentaires qui enregistrent une </w:t>
      </w:r>
      <w:r w:rsidR="00E3276B">
        <w:rPr>
          <w:rFonts w:ascii="Arial" w:hAnsi="Arial" w:cs="Arial"/>
          <w:bCs/>
          <w:szCs w:val="24"/>
        </w:rPr>
        <w:t>hausse</w:t>
      </w:r>
      <w:r>
        <w:rPr>
          <w:rFonts w:ascii="Arial" w:hAnsi="Arial" w:cs="Arial"/>
          <w:bCs/>
          <w:szCs w:val="24"/>
        </w:rPr>
        <w:t xml:space="preserve"> de </w:t>
      </w:r>
      <w:r w:rsidR="00A52F60">
        <w:rPr>
          <w:rFonts w:ascii="Arial" w:hAnsi="Arial" w:cs="Arial"/>
          <w:bCs/>
          <w:szCs w:val="24"/>
        </w:rPr>
        <w:t>7,7</w:t>
      </w:r>
      <w:r w:rsidRPr="00C6158D">
        <w:rPr>
          <w:rFonts w:ascii="Arial" w:hAnsi="Arial" w:cs="Arial"/>
          <w:bCs/>
          <w:szCs w:val="24"/>
        </w:rPr>
        <w:t>%.</w:t>
      </w:r>
    </w:p>
    <w:p w:rsidR="0014263B" w:rsidRDefault="0014263B" w:rsidP="0014263B">
      <w:pPr>
        <w:jc w:val="both"/>
        <w:rPr>
          <w:rFonts w:ascii="Arial" w:hAnsi="Arial" w:cs="Arial"/>
          <w:b/>
          <w:color w:val="1F497D" w:themeColor="text2"/>
        </w:rPr>
      </w:pPr>
      <w:r w:rsidRPr="00642D28">
        <w:rPr>
          <w:rFonts w:ascii="Arial" w:hAnsi="Arial" w:cs="Arial"/>
          <w:b/>
          <w:color w:val="1F497D" w:themeColor="text2"/>
        </w:rPr>
        <w:t xml:space="preserve">Le taux d’inflation annuel </w:t>
      </w:r>
      <w:r>
        <w:rPr>
          <w:rFonts w:ascii="Arial" w:hAnsi="Arial" w:cs="Arial"/>
          <w:b/>
          <w:color w:val="1F497D" w:themeColor="text2"/>
        </w:rPr>
        <w:t>sou</w:t>
      </w:r>
      <w:r w:rsidR="00B92574">
        <w:rPr>
          <w:rFonts w:ascii="Arial" w:hAnsi="Arial" w:cs="Arial"/>
          <w:b/>
          <w:color w:val="1F497D" w:themeColor="text2"/>
        </w:rPr>
        <w:t>s-</w:t>
      </w:r>
      <w:r>
        <w:rPr>
          <w:rFonts w:ascii="Arial" w:hAnsi="Arial" w:cs="Arial"/>
          <w:b/>
          <w:color w:val="1F497D" w:themeColor="text2"/>
        </w:rPr>
        <w:t xml:space="preserve"> jacent </w:t>
      </w:r>
      <w:r w:rsidRPr="00642D28">
        <w:rPr>
          <w:rFonts w:ascii="Arial" w:hAnsi="Arial" w:cs="Arial"/>
          <w:b/>
          <w:color w:val="1F497D" w:themeColor="text2"/>
        </w:rPr>
        <w:t xml:space="preserve">s’établit à </w:t>
      </w:r>
      <w:r w:rsidR="00A52F60">
        <w:rPr>
          <w:rFonts w:ascii="Arial" w:hAnsi="Arial" w:cs="Arial"/>
          <w:b/>
          <w:color w:val="1F497D" w:themeColor="text2"/>
        </w:rPr>
        <w:t>7,0</w:t>
      </w:r>
      <w:r>
        <w:rPr>
          <w:rFonts w:ascii="Arial" w:hAnsi="Arial" w:cs="Arial"/>
          <w:b/>
          <w:color w:val="1F497D" w:themeColor="text2"/>
        </w:rPr>
        <w:t xml:space="preserve">% en </w:t>
      </w:r>
      <w:r w:rsidR="00A52F60">
        <w:rPr>
          <w:rFonts w:ascii="Arial" w:hAnsi="Arial" w:cs="Arial"/>
          <w:b/>
          <w:color w:val="1F497D" w:themeColor="text2"/>
        </w:rPr>
        <w:t>mai</w:t>
      </w:r>
      <w:r>
        <w:rPr>
          <w:rFonts w:ascii="Arial" w:hAnsi="Arial" w:cs="Arial"/>
          <w:b/>
          <w:color w:val="1F497D" w:themeColor="text2"/>
        </w:rPr>
        <w:t xml:space="preserve"> 201</w:t>
      </w:r>
      <w:r w:rsidR="004B7C4E">
        <w:rPr>
          <w:rFonts w:ascii="Arial" w:hAnsi="Arial" w:cs="Arial"/>
          <w:b/>
          <w:color w:val="1F497D" w:themeColor="text2"/>
        </w:rPr>
        <w:t>8</w:t>
      </w:r>
    </w:p>
    <w:p w:rsidR="0014263B" w:rsidRDefault="0014263B" w:rsidP="0014263B">
      <w:pPr>
        <w:jc w:val="both"/>
        <w:rPr>
          <w:rFonts w:ascii="Arial" w:hAnsi="Arial" w:cs="Arial"/>
        </w:rPr>
      </w:pPr>
      <w:r w:rsidRPr="00183034">
        <w:rPr>
          <w:rFonts w:ascii="Arial" w:hAnsi="Arial" w:cs="Arial"/>
        </w:rPr>
        <w:t xml:space="preserve">Au cours de l’année ayant pris fin en </w:t>
      </w:r>
      <w:r w:rsidR="00A52F60">
        <w:rPr>
          <w:rFonts w:ascii="Arial" w:hAnsi="Arial" w:cs="Arial"/>
        </w:rPr>
        <w:t>mai</w:t>
      </w:r>
      <w:r>
        <w:rPr>
          <w:rFonts w:ascii="Arial" w:hAnsi="Arial" w:cs="Arial"/>
        </w:rPr>
        <w:t xml:space="preserve"> 201</w:t>
      </w:r>
      <w:r w:rsidR="004B7C4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, </w:t>
      </w:r>
      <w:r w:rsidRPr="004623EF">
        <w:rPr>
          <w:rFonts w:ascii="Arial" w:hAnsi="Arial" w:cs="Arial"/>
        </w:rPr>
        <w:t xml:space="preserve">le taux d’inflation moyen annuel mesuré par l’indice </w:t>
      </w:r>
      <w:r>
        <w:rPr>
          <w:rFonts w:ascii="Arial" w:hAnsi="Arial" w:cs="Arial"/>
        </w:rPr>
        <w:t>sous-jacent (i</w:t>
      </w:r>
      <w:r w:rsidRPr="004623EF">
        <w:rPr>
          <w:rFonts w:ascii="Arial" w:hAnsi="Arial" w:cs="Arial"/>
        </w:rPr>
        <w:t>ndice hors carburant, énergie et produ</w:t>
      </w:r>
      <w:r>
        <w:rPr>
          <w:rFonts w:ascii="Arial" w:hAnsi="Arial" w:cs="Arial"/>
        </w:rPr>
        <w:t xml:space="preserve">its frais) s’établit à </w:t>
      </w:r>
      <w:r w:rsidR="00A52F60">
        <w:rPr>
          <w:rFonts w:ascii="Arial" w:hAnsi="Arial" w:cs="Arial"/>
        </w:rPr>
        <w:t>7,0</w:t>
      </w:r>
      <w:r w:rsidRPr="004623EF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 xml:space="preserve">contre </w:t>
      </w:r>
      <w:r w:rsidR="00A52F60">
        <w:rPr>
          <w:rFonts w:ascii="Arial" w:hAnsi="Arial" w:cs="Arial"/>
        </w:rPr>
        <w:t>7,9</w:t>
      </w:r>
      <w:r w:rsidRPr="0069395A">
        <w:rPr>
          <w:rFonts w:ascii="Arial" w:hAnsi="Arial" w:cs="Arial"/>
        </w:rPr>
        <w:t>%</w:t>
      </w:r>
      <w:r w:rsidR="00AA468F">
        <w:rPr>
          <w:rFonts w:ascii="Arial" w:hAnsi="Arial" w:cs="Arial"/>
        </w:rPr>
        <w:t xml:space="preserve"> </w:t>
      </w:r>
      <w:r w:rsidRPr="008B55D4">
        <w:rPr>
          <w:rFonts w:ascii="Arial" w:hAnsi="Arial" w:cs="Arial"/>
        </w:rPr>
        <w:t xml:space="preserve">le </w:t>
      </w:r>
      <w:r>
        <w:rPr>
          <w:rFonts w:ascii="Arial" w:hAnsi="Arial" w:cs="Arial"/>
        </w:rPr>
        <w:t>mois précédent</w:t>
      </w:r>
      <w:r w:rsidRPr="004623EF">
        <w:rPr>
          <w:rFonts w:ascii="Arial" w:hAnsi="Arial" w:cs="Arial"/>
        </w:rPr>
        <w:t>. En glissement annuel, l’indice s</w:t>
      </w:r>
      <w:r>
        <w:rPr>
          <w:rFonts w:ascii="Arial" w:hAnsi="Arial" w:cs="Arial"/>
        </w:rPr>
        <w:t xml:space="preserve">ous-jacent est en hausse de </w:t>
      </w:r>
      <w:r w:rsidR="00A52F60">
        <w:rPr>
          <w:rFonts w:ascii="Arial" w:hAnsi="Arial" w:cs="Arial"/>
        </w:rPr>
        <w:t>2,0</w:t>
      </w:r>
      <w:r w:rsidR="00AA468F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 xml:space="preserve">au mois </w:t>
      </w:r>
      <w:r w:rsidR="00A52F60">
        <w:rPr>
          <w:rFonts w:ascii="Arial" w:hAnsi="Arial" w:cs="Arial"/>
        </w:rPr>
        <w:t>de mai</w:t>
      </w:r>
      <w:r>
        <w:rPr>
          <w:rFonts w:ascii="Arial" w:hAnsi="Arial" w:cs="Arial"/>
        </w:rPr>
        <w:t xml:space="preserve"> 201</w:t>
      </w:r>
      <w:r w:rsidR="004B7C4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contre une hausse de </w:t>
      </w:r>
      <w:r w:rsidR="00A52F60">
        <w:rPr>
          <w:rFonts w:ascii="Arial" w:hAnsi="Arial" w:cs="Arial"/>
        </w:rPr>
        <w:t>2,5</w:t>
      </w:r>
      <w:r w:rsidR="00AA468F">
        <w:rPr>
          <w:rFonts w:ascii="Arial" w:hAnsi="Arial" w:cs="Arial"/>
        </w:rPr>
        <w:t xml:space="preserve">% </w:t>
      </w:r>
      <w:r>
        <w:rPr>
          <w:rFonts w:ascii="Arial" w:hAnsi="Arial" w:cs="Arial"/>
        </w:rPr>
        <w:t>le mois précédent</w:t>
      </w:r>
      <w:r w:rsidRPr="004623EF">
        <w:rPr>
          <w:rFonts w:ascii="Arial" w:hAnsi="Arial" w:cs="Arial"/>
        </w:rPr>
        <w:t xml:space="preserve">. </w:t>
      </w:r>
    </w:p>
    <w:p w:rsidR="005D4A4E" w:rsidRDefault="0014263B" w:rsidP="001428F9">
      <w:pPr>
        <w:jc w:val="both"/>
        <w:rPr>
          <w:rFonts w:ascii="Arial" w:hAnsi="Arial" w:cs="Arial"/>
          <w:b/>
          <w:color w:val="1F497D" w:themeColor="text2"/>
        </w:rPr>
      </w:pPr>
      <w:r w:rsidRPr="00642D28">
        <w:rPr>
          <w:rFonts w:ascii="Arial" w:hAnsi="Arial" w:cs="Arial"/>
          <w:b/>
          <w:color w:val="1F497D" w:themeColor="text2"/>
        </w:rPr>
        <w:t xml:space="preserve">Le taux d’inflation annuel </w:t>
      </w:r>
      <w:r>
        <w:rPr>
          <w:rFonts w:ascii="Arial" w:hAnsi="Arial" w:cs="Arial"/>
          <w:b/>
          <w:color w:val="1F497D" w:themeColor="text2"/>
        </w:rPr>
        <w:t>des pro</w:t>
      </w:r>
      <w:r w:rsidR="002E2D68">
        <w:rPr>
          <w:rFonts w:ascii="Arial" w:hAnsi="Arial" w:cs="Arial"/>
          <w:b/>
          <w:color w:val="1F497D" w:themeColor="text2"/>
        </w:rPr>
        <w:t xml:space="preserve">duits alimentaires s’établit à </w:t>
      </w:r>
      <w:r w:rsidR="00A52F60">
        <w:rPr>
          <w:rFonts w:ascii="Arial" w:hAnsi="Arial" w:cs="Arial"/>
          <w:b/>
          <w:color w:val="1F497D" w:themeColor="text2"/>
        </w:rPr>
        <w:t>7,7</w:t>
      </w:r>
      <w:r w:rsidRPr="00642D28">
        <w:rPr>
          <w:rFonts w:ascii="Arial" w:hAnsi="Arial" w:cs="Arial"/>
          <w:b/>
          <w:color w:val="1F497D" w:themeColor="text2"/>
        </w:rPr>
        <w:t xml:space="preserve">% </w:t>
      </w:r>
      <w:r>
        <w:rPr>
          <w:rFonts w:ascii="Arial" w:hAnsi="Arial" w:cs="Arial"/>
          <w:b/>
          <w:color w:val="1F497D" w:themeColor="text2"/>
        </w:rPr>
        <w:t xml:space="preserve">en </w:t>
      </w:r>
      <w:r w:rsidR="00A52F60">
        <w:rPr>
          <w:rFonts w:ascii="Arial" w:hAnsi="Arial" w:cs="Arial"/>
          <w:b/>
          <w:color w:val="1F497D" w:themeColor="text2"/>
        </w:rPr>
        <w:t>mai</w:t>
      </w:r>
      <w:r w:rsidR="00AA468F">
        <w:rPr>
          <w:rFonts w:ascii="Arial" w:hAnsi="Arial" w:cs="Arial"/>
          <w:b/>
          <w:color w:val="1F497D" w:themeColor="text2"/>
        </w:rPr>
        <w:t xml:space="preserve"> </w:t>
      </w:r>
      <w:r>
        <w:rPr>
          <w:rFonts w:ascii="Arial" w:hAnsi="Arial" w:cs="Arial"/>
          <w:b/>
          <w:color w:val="1F497D" w:themeColor="text2"/>
        </w:rPr>
        <w:t>201</w:t>
      </w:r>
      <w:r w:rsidR="002241EA">
        <w:rPr>
          <w:rFonts w:ascii="Arial" w:hAnsi="Arial" w:cs="Arial"/>
          <w:b/>
          <w:color w:val="1F497D" w:themeColor="text2"/>
        </w:rPr>
        <w:t>8</w:t>
      </w:r>
    </w:p>
    <w:p w:rsidR="001428F9" w:rsidRPr="004B639E" w:rsidRDefault="0014263B" w:rsidP="001428F9">
      <w:pPr>
        <w:jc w:val="both"/>
        <w:rPr>
          <w:rFonts w:ascii="Arial" w:hAnsi="Arial" w:cs="Arial"/>
        </w:rPr>
      </w:pPr>
      <w:r w:rsidRPr="00183034">
        <w:rPr>
          <w:rFonts w:ascii="Arial" w:hAnsi="Arial" w:cs="Arial"/>
        </w:rPr>
        <w:t xml:space="preserve">Au cours de l’année ayant pris fin en </w:t>
      </w:r>
      <w:r w:rsidR="00A52F60">
        <w:rPr>
          <w:rFonts w:ascii="Arial" w:hAnsi="Arial" w:cs="Arial"/>
        </w:rPr>
        <w:t>mai</w:t>
      </w:r>
      <w:r w:rsidR="00AA468F">
        <w:rPr>
          <w:rFonts w:ascii="Arial" w:hAnsi="Arial" w:cs="Arial"/>
        </w:rPr>
        <w:t xml:space="preserve"> </w:t>
      </w:r>
      <w:r w:rsidR="002241EA">
        <w:rPr>
          <w:rFonts w:ascii="Arial" w:hAnsi="Arial" w:cs="Arial"/>
        </w:rPr>
        <w:t>2018</w:t>
      </w:r>
      <w:r>
        <w:rPr>
          <w:rFonts w:ascii="Arial" w:hAnsi="Arial" w:cs="Arial"/>
        </w:rPr>
        <w:t xml:space="preserve">, </w:t>
      </w:r>
      <w:r w:rsidRPr="004623EF">
        <w:rPr>
          <w:rFonts w:ascii="Arial" w:hAnsi="Arial" w:cs="Arial"/>
        </w:rPr>
        <w:t xml:space="preserve">le taux d’inflation moyen annuel mesuré par l’indice </w:t>
      </w:r>
      <w:r>
        <w:rPr>
          <w:rFonts w:ascii="Arial" w:hAnsi="Arial" w:cs="Arial"/>
        </w:rPr>
        <w:t>des produits alimentaires (</w:t>
      </w:r>
      <w:r w:rsidRPr="0064549B">
        <w:rPr>
          <w:rFonts w:ascii="Arial" w:hAnsi="Arial" w:cs="Arial"/>
        </w:rPr>
        <w:t>non compris les boissons non alcoolisées et service des restaurations</w:t>
      </w:r>
      <w:r>
        <w:rPr>
          <w:rFonts w:ascii="Arial" w:hAnsi="Arial" w:cs="Arial"/>
        </w:rPr>
        <w:t>)</w:t>
      </w:r>
      <w:r w:rsidR="0011650E">
        <w:rPr>
          <w:rFonts w:ascii="Arial" w:hAnsi="Arial" w:cs="Arial"/>
        </w:rPr>
        <w:t xml:space="preserve"> </w:t>
      </w:r>
      <w:r w:rsidR="00BD4107">
        <w:rPr>
          <w:rFonts w:ascii="Arial" w:hAnsi="Arial" w:cs="Arial"/>
        </w:rPr>
        <w:t xml:space="preserve">s’établit à </w:t>
      </w:r>
      <w:r w:rsidR="00A52F60">
        <w:rPr>
          <w:rFonts w:ascii="Arial" w:hAnsi="Arial" w:cs="Arial"/>
        </w:rPr>
        <w:t>7,7</w:t>
      </w:r>
      <w:r>
        <w:rPr>
          <w:rFonts w:ascii="Arial" w:hAnsi="Arial" w:cs="Arial"/>
        </w:rPr>
        <w:t xml:space="preserve">% contre </w:t>
      </w:r>
      <w:r w:rsidR="00A52F60">
        <w:rPr>
          <w:rFonts w:ascii="Arial" w:hAnsi="Arial" w:cs="Arial"/>
        </w:rPr>
        <w:t>10,8</w:t>
      </w:r>
      <w:r w:rsidRPr="0069395A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le mois précédent.</w:t>
      </w:r>
    </w:p>
    <w:p w:rsidR="00A52F60" w:rsidRDefault="001145E9" w:rsidP="004B639E">
      <w:pPr>
        <w:rPr>
          <w:rFonts w:ascii="Arial" w:hAnsi="Arial" w:cs="Arial"/>
          <w:color w:val="0070C0"/>
        </w:rPr>
      </w:pPr>
      <w:r w:rsidRPr="00744A14">
        <w:rPr>
          <w:rFonts w:ascii="Arial" w:hAnsi="Arial" w:cs="Arial"/>
          <w:color w:val="0070C0"/>
        </w:rPr>
        <w:t xml:space="preserve">Graphique </w:t>
      </w:r>
      <w:r w:rsidR="00E7206A" w:rsidRPr="00744A14">
        <w:rPr>
          <w:rFonts w:ascii="Arial" w:hAnsi="Arial" w:cs="Arial"/>
          <w:color w:val="0070C0"/>
        </w:rPr>
        <w:fldChar w:fldCharType="begin"/>
      </w:r>
      <w:r w:rsidRPr="00744A14">
        <w:rPr>
          <w:rFonts w:ascii="Arial" w:hAnsi="Arial" w:cs="Arial"/>
          <w:color w:val="0070C0"/>
        </w:rPr>
        <w:instrText xml:space="preserve"> SEQ Graphique \* ARABIC </w:instrText>
      </w:r>
      <w:r w:rsidR="00E7206A" w:rsidRPr="00744A14">
        <w:rPr>
          <w:rFonts w:ascii="Arial" w:hAnsi="Arial" w:cs="Arial"/>
          <w:color w:val="0070C0"/>
        </w:rPr>
        <w:fldChar w:fldCharType="separate"/>
      </w:r>
      <w:r w:rsidR="00EA71A6">
        <w:rPr>
          <w:rFonts w:ascii="Arial" w:hAnsi="Arial" w:cs="Arial"/>
          <w:noProof/>
          <w:color w:val="0070C0"/>
        </w:rPr>
        <w:t>1</w:t>
      </w:r>
      <w:r w:rsidR="00E7206A" w:rsidRPr="00744A14">
        <w:rPr>
          <w:rFonts w:ascii="Arial" w:hAnsi="Arial" w:cs="Arial"/>
          <w:color w:val="0070C0"/>
        </w:rPr>
        <w:fldChar w:fldCharType="end"/>
      </w:r>
      <w:r w:rsidRPr="00744A14">
        <w:rPr>
          <w:rFonts w:ascii="Arial" w:hAnsi="Arial" w:cs="Arial"/>
          <w:color w:val="0070C0"/>
        </w:rPr>
        <w:t xml:space="preserve"> : Taux d’inflation annuel des </w:t>
      </w:r>
      <w:r w:rsidR="002241EA">
        <w:rPr>
          <w:rFonts w:ascii="Arial" w:hAnsi="Arial" w:cs="Arial"/>
          <w:color w:val="0070C0"/>
        </w:rPr>
        <w:t>quatre</w:t>
      </w:r>
      <w:r w:rsidRPr="00744A14">
        <w:rPr>
          <w:rFonts w:ascii="Arial" w:hAnsi="Arial" w:cs="Arial"/>
          <w:color w:val="0070C0"/>
        </w:rPr>
        <w:t xml:space="preserve"> dernières années </w:t>
      </w:r>
    </w:p>
    <w:p w:rsidR="004B639E" w:rsidRDefault="00A52F60" w:rsidP="004B639E">
      <w:pPr>
        <w:rPr>
          <w:rFonts w:ascii="Arial" w:hAnsi="Arial" w:cs="Arial"/>
          <w:color w:val="0070C0"/>
        </w:rPr>
      </w:pPr>
      <w:r w:rsidRPr="00A52F60">
        <w:rPr>
          <w:rFonts w:ascii="Arial" w:hAnsi="Arial" w:cs="Arial"/>
          <w:noProof/>
          <w:lang w:eastAsia="fr-FR"/>
        </w:rPr>
        <w:drawing>
          <wp:inline distT="0" distB="0" distL="0" distR="0">
            <wp:extent cx="6438900" cy="2619375"/>
            <wp:effectExtent l="19050" t="0" r="19050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4B639E">
        <w:rPr>
          <w:rFonts w:ascii="Arial" w:hAnsi="Arial" w:cs="Arial"/>
        </w:rPr>
        <w:tab/>
      </w:r>
    </w:p>
    <w:p w:rsidR="008F05DF" w:rsidRPr="002241EA" w:rsidRDefault="008F05DF" w:rsidP="008F05DF">
      <w:pPr>
        <w:jc w:val="both"/>
        <w:rPr>
          <w:rFonts w:ascii="Arial" w:hAnsi="Arial" w:cs="Arial"/>
          <w:color w:val="0070C0"/>
        </w:rPr>
      </w:pPr>
      <w:r>
        <w:rPr>
          <w:rFonts w:ascii="Arial" w:hAnsi="Arial" w:cs="Arial"/>
          <w:b/>
          <w:color w:val="1F497D" w:themeColor="text2"/>
          <w:sz w:val="28"/>
        </w:rPr>
        <w:lastRenderedPageBreak/>
        <w:t>2 Inflation mensuel</w:t>
      </w:r>
      <w:r w:rsidR="00EB7FAD">
        <w:rPr>
          <w:rFonts w:ascii="Arial" w:hAnsi="Arial" w:cs="Arial"/>
          <w:b/>
          <w:color w:val="1F497D" w:themeColor="text2"/>
          <w:sz w:val="28"/>
        </w:rPr>
        <w:t>le</w:t>
      </w:r>
    </w:p>
    <w:p w:rsidR="002004AC" w:rsidRPr="00642D28" w:rsidRDefault="002004AC" w:rsidP="002004AC">
      <w:pPr>
        <w:jc w:val="both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color w:val="1F497D" w:themeColor="text2"/>
        </w:rPr>
        <w:t>L</w:t>
      </w:r>
      <w:r w:rsidRPr="00642D28">
        <w:rPr>
          <w:rFonts w:ascii="Arial" w:hAnsi="Arial" w:cs="Arial"/>
          <w:b/>
          <w:color w:val="1F497D" w:themeColor="text2"/>
        </w:rPr>
        <w:t xml:space="preserve">e taux d’inflation </w:t>
      </w:r>
      <w:r w:rsidR="00D26AE6">
        <w:rPr>
          <w:rFonts w:ascii="Arial" w:hAnsi="Arial" w:cs="Arial"/>
          <w:b/>
          <w:color w:val="1F497D" w:themeColor="text2"/>
        </w:rPr>
        <w:t>mensuel s’établit à</w:t>
      </w:r>
      <w:r w:rsidR="002D354B">
        <w:rPr>
          <w:rFonts w:ascii="Arial" w:hAnsi="Arial" w:cs="Arial"/>
          <w:b/>
          <w:color w:val="1F497D" w:themeColor="text2"/>
        </w:rPr>
        <w:t xml:space="preserve"> 0,7</w:t>
      </w:r>
      <w:r w:rsidRPr="00642D28">
        <w:rPr>
          <w:rFonts w:ascii="Arial" w:hAnsi="Arial" w:cs="Arial"/>
          <w:b/>
          <w:color w:val="1F497D" w:themeColor="text2"/>
        </w:rPr>
        <w:t xml:space="preserve">% </w:t>
      </w:r>
      <w:r>
        <w:rPr>
          <w:rFonts w:ascii="Arial" w:hAnsi="Arial" w:cs="Arial"/>
          <w:b/>
          <w:color w:val="1F497D" w:themeColor="text2"/>
        </w:rPr>
        <w:t xml:space="preserve">en </w:t>
      </w:r>
      <w:r w:rsidR="00A52F60">
        <w:rPr>
          <w:rFonts w:ascii="Arial" w:hAnsi="Arial" w:cs="Arial"/>
          <w:b/>
          <w:color w:val="1F497D" w:themeColor="text2"/>
        </w:rPr>
        <w:t>mai</w:t>
      </w:r>
      <w:r>
        <w:rPr>
          <w:rFonts w:ascii="Arial" w:hAnsi="Arial" w:cs="Arial"/>
          <w:b/>
          <w:color w:val="1F497D" w:themeColor="text2"/>
        </w:rPr>
        <w:t xml:space="preserve"> 201</w:t>
      </w:r>
      <w:r w:rsidR="00687108">
        <w:rPr>
          <w:rFonts w:ascii="Arial" w:hAnsi="Arial" w:cs="Arial"/>
          <w:b/>
          <w:color w:val="1F497D" w:themeColor="text2"/>
        </w:rPr>
        <w:t>8</w:t>
      </w:r>
      <w:r w:rsidRPr="00642D28">
        <w:rPr>
          <w:rFonts w:ascii="Arial" w:hAnsi="Arial" w:cs="Arial"/>
          <w:b/>
          <w:color w:val="1F497D" w:themeColor="text2"/>
        </w:rPr>
        <w:t>.</w:t>
      </w:r>
    </w:p>
    <w:p w:rsidR="002004AC" w:rsidRPr="00F20C74" w:rsidRDefault="002004AC" w:rsidP="002004AC">
      <w:pPr>
        <w:pStyle w:val="Default"/>
        <w:spacing w:line="276" w:lineRule="auto"/>
        <w:jc w:val="both"/>
        <w:rPr>
          <w:sz w:val="22"/>
          <w:szCs w:val="22"/>
        </w:rPr>
      </w:pPr>
      <w:r w:rsidRPr="00F20C74">
        <w:rPr>
          <w:sz w:val="22"/>
          <w:szCs w:val="22"/>
        </w:rPr>
        <w:t xml:space="preserve">En </w:t>
      </w:r>
      <w:r w:rsidR="00A52F60">
        <w:rPr>
          <w:sz w:val="22"/>
          <w:szCs w:val="22"/>
        </w:rPr>
        <w:t>mai</w:t>
      </w:r>
      <w:r w:rsidRPr="00F20C74">
        <w:rPr>
          <w:sz w:val="22"/>
          <w:szCs w:val="22"/>
        </w:rPr>
        <w:t xml:space="preserve"> 201</w:t>
      </w:r>
      <w:r w:rsidR="00687108">
        <w:rPr>
          <w:sz w:val="22"/>
          <w:szCs w:val="22"/>
        </w:rPr>
        <w:t>8</w:t>
      </w:r>
      <w:r w:rsidRPr="00F20C74">
        <w:rPr>
          <w:sz w:val="22"/>
          <w:szCs w:val="22"/>
        </w:rPr>
        <w:t>, l’indice national des prix à la consommation des mé</w:t>
      </w:r>
      <w:r>
        <w:rPr>
          <w:sz w:val="22"/>
          <w:szCs w:val="22"/>
        </w:rPr>
        <w:t xml:space="preserve">nages enregistre une </w:t>
      </w:r>
      <w:r w:rsidR="004B639E">
        <w:rPr>
          <w:sz w:val="22"/>
          <w:szCs w:val="22"/>
        </w:rPr>
        <w:t>hau</w:t>
      </w:r>
      <w:r w:rsidR="004F3247">
        <w:rPr>
          <w:sz w:val="22"/>
          <w:szCs w:val="22"/>
        </w:rPr>
        <w:t>sse</w:t>
      </w:r>
      <w:r>
        <w:rPr>
          <w:sz w:val="22"/>
          <w:szCs w:val="22"/>
        </w:rPr>
        <w:t xml:space="preserve">  de </w:t>
      </w:r>
      <w:r w:rsidR="002D354B">
        <w:rPr>
          <w:sz w:val="22"/>
          <w:szCs w:val="22"/>
        </w:rPr>
        <w:t>0,7</w:t>
      </w:r>
      <w:r w:rsidRPr="00F20C74">
        <w:rPr>
          <w:sz w:val="22"/>
          <w:szCs w:val="22"/>
        </w:rPr>
        <w:t xml:space="preserve">% contre une </w:t>
      </w:r>
      <w:r w:rsidR="00E24BB6">
        <w:rPr>
          <w:sz w:val="22"/>
          <w:szCs w:val="22"/>
        </w:rPr>
        <w:t>hausse</w:t>
      </w:r>
      <w:r>
        <w:rPr>
          <w:sz w:val="22"/>
          <w:szCs w:val="22"/>
        </w:rPr>
        <w:t xml:space="preserve"> de </w:t>
      </w:r>
      <w:r w:rsidR="00A52F60">
        <w:rPr>
          <w:sz w:val="22"/>
          <w:szCs w:val="22"/>
        </w:rPr>
        <w:t>0,6</w:t>
      </w:r>
      <w:r w:rsidRPr="004165FC">
        <w:rPr>
          <w:sz w:val="22"/>
          <w:szCs w:val="22"/>
        </w:rPr>
        <w:t>%</w:t>
      </w:r>
      <w:r w:rsidR="00B711F6">
        <w:rPr>
          <w:sz w:val="22"/>
          <w:szCs w:val="22"/>
        </w:rPr>
        <w:t xml:space="preserve"> </w:t>
      </w:r>
      <w:r w:rsidRPr="00F20C74">
        <w:rPr>
          <w:sz w:val="22"/>
          <w:szCs w:val="22"/>
        </w:rPr>
        <w:t xml:space="preserve">le mois </w:t>
      </w:r>
      <w:r w:rsidR="00B554B9" w:rsidRPr="00F20C74">
        <w:rPr>
          <w:sz w:val="22"/>
          <w:szCs w:val="22"/>
        </w:rPr>
        <w:t>p</w:t>
      </w:r>
      <w:r w:rsidR="00B554B9">
        <w:rPr>
          <w:sz w:val="22"/>
          <w:szCs w:val="22"/>
        </w:rPr>
        <w:t>récédent</w:t>
      </w:r>
      <w:r w:rsidRPr="00F20C74">
        <w:rPr>
          <w:sz w:val="22"/>
          <w:szCs w:val="22"/>
        </w:rPr>
        <w:t xml:space="preserve">. </w:t>
      </w:r>
    </w:p>
    <w:p w:rsidR="00360E20" w:rsidRPr="00F20C74" w:rsidRDefault="00360E20" w:rsidP="00F20C74">
      <w:pPr>
        <w:pStyle w:val="Default"/>
        <w:spacing w:line="276" w:lineRule="auto"/>
        <w:rPr>
          <w:sz w:val="22"/>
          <w:szCs w:val="22"/>
        </w:rPr>
      </w:pPr>
    </w:p>
    <w:p w:rsidR="00892F5E" w:rsidRDefault="00360E20" w:rsidP="00B73D75">
      <w:pPr>
        <w:pStyle w:val="Default"/>
        <w:spacing w:line="276" w:lineRule="auto"/>
        <w:jc w:val="both"/>
        <w:rPr>
          <w:sz w:val="22"/>
          <w:szCs w:val="22"/>
        </w:rPr>
      </w:pPr>
      <w:r w:rsidRPr="00F20C74">
        <w:rPr>
          <w:sz w:val="22"/>
          <w:szCs w:val="22"/>
        </w:rPr>
        <w:t>Les douze divisions de la classification internationale des fonctions de la consommation individuelle qui composent l’I</w:t>
      </w:r>
      <w:r w:rsidR="00F766A5">
        <w:rPr>
          <w:sz w:val="22"/>
          <w:szCs w:val="22"/>
        </w:rPr>
        <w:t>N</w:t>
      </w:r>
      <w:r w:rsidRPr="00F20C74">
        <w:rPr>
          <w:sz w:val="22"/>
          <w:szCs w:val="22"/>
        </w:rPr>
        <w:t>PC ont enregistré les variations mensuelles suivantes</w:t>
      </w:r>
      <w:r w:rsidR="007A05BB">
        <w:rPr>
          <w:sz w:val="22"/>
          <w:szCs w:val="22"/>
        </w:rPr>
        <w:t xml:space="preserve"> : </w:t>
      </w:r>
      <w:r w:rsidRPr="00F20C74">
        <w:rPr>
          <w:sz w:val="22"/>
          <w:szCs w:val="22"/>
        </w:rPr>
        <w:t>Produits alimentai</w:t>
      </w:r>
      <w:r w:rsidR="007A05BB">
        <w:rPr>
          <w:sz w:val="22"/>
          <w:szCs w:val="22"/>
        </w:rPr>
        <w:t xml:space="preserve">res et boissons non alcoolisées </w:t>
      </w:r>
      <w:r w:rsidRPr="00F20C74">
        <w:rPr>
          <w:sz w:val="22"/>
          <w:szCs w:val="22"/>
        </w:rPr>
        <w:t>(</w:t>
      </w:r>
      <w:r w:rsidR="00E24BB6">
        <w:rPr>
          <w:sz w:val="22"/>
          <w:szCs w:val="22"/>
        </w:rPr>
        <w:t>+1,2</w:t>
      </w:r>
      <w:r w:rsidR="00D2769C">
        <w:rPr>
          <w:sz w:val="22"/>
          <w:szCs w:val="22"/>
        </w:rPr>
        <w:t>%)</w:t>
      </w:r>
      <w:r w:rsidRPr="00F20C74">
        <w:rPr>
          <w:sz w:val="22"/>
          <w:szCs w:val="22"/>
        </w:rPr>
        <w:t xml:space="preserve">; </w:t>
      </w:r>
      <w:r w:rsidR="00D2769C">
        <w:rPr>
          <w:sz w:val="22"/>
          <w:szCs w:val="22"/>
        </w:rPr>
        <w:t xml:space="preserve">boissons alcoolisés et Tabac </w:t>
      </w:r>
      <w:r w:rsidR="00E6140E">
        <w:rPr>
          <w:sz w:val="22"/>
          <w:szCs w:val="22"/>
        </w:rPr>
        <w:t>(</w:t>
      </w:r>
      <w:r w:rsidR="00E24BB6">
        <w:rPr>
          <w:sz w:val="22"/>
          <w:szCs w:val="22"/>
        </w:rPr>
        <w:t>+1,0</w:t>
      </w:r>
      <w:r w:rsidR="00E6140E">
        <w:rPr>
          <w:sz w:val="22"/>
          <w:szCs w:val="22"/>
        </w:rPr>
        <w:t>%)</w:t>
      </w:r>
      <w:r w:rsidRPr="00F20C74">
        <w:rPr>
          <w:sz w:val="22"/>
          <w:szCs w:val="22"/>
        </w:rPr>
        <w:t>;</w:t>
      </w:r>
      <w:r w:rsidR="00D2769C">
        <w:rPr>
          <w:sz w:val="22"/>
          <w:szCs w:val="22"/>
        </w:rPr>
        <w:t xml:space="preserve"> habillement et chaussures</w:t>
      </w:r>
      <w:r w:rsidR="00FA11DD">
        <w:rPr>
          <w:sz w:val="22"/>
          <w:szCs w:val="22"/>
        </w:rPr>
        <w:t>(</w:t>
      </w:r>
      <w:r w:rsidR="00E24BB6">
        <w:rPr>
          <w:sz w:val="22"/>
          <w:szCs w:val="22"/>
        </w:rPr>
        <w:t>+0,9</w:t>
      </w:r>
      <w:r w:rsidR="007A05BB">
        <w:rPr>
          <w:sz w:val="22"/>
          <w:szCs w:val="22"/>
        </w:rPr>
        <w:t>%)</w:t>
      </w:r>
      <w:r w:rsidRPr="00F20C74">
        <w:rPr>
          <w:sz w:val="22"/>
          <w:szCs w:val="22"/>
        </w:rPr>
        <w:t>; logement, eau, électricité</w:t>
      </w:r>
      <w:r w:rsidR="00D2769C">
        <w:rPr>
          <w:sz w:val="22"/>
          <w:szCs w:val="22"/>
        </w:rPr>
        <w:t xml:space="preserve">, gaz et autres combustibles </w:t>
      </w:r>
      <w:r w:rsidR="00FA11DD">
        <w:rPr>
          <w:sz w:val="22"/>
          <w:szCs w:val="22"/>
        </w:rPr>
        <w:t>(</w:t>
      </w:r>
      <w:r w:rsidR="00157EF5">
        <w:rPr>
          <w:sz w:val="22"/>
          <w:szCs w:val="22"/>
        </w:rPr>
        <w:t>+</w:t>
      </w:r>
      <w:r w:rsidR="00E24BB6">
        <w:rPr>
          <w:sz w:val="22"/>
          <w:szCs w:val="22"/>
        </w:rPr>
        <w:t>2,4</w:t>
      </w:r>
      <w:r w:rsidR="007A05BB">
        <w:rPr>
          <w:sz w:val="22"/>
          <w:szCs w:val="22"/>
        </w:rPr>
        <w:t xml:space="preserve">%) </w:t>
      </w:r>
      <w:r w:rsidRPr="00F20C74">
        <w:rPr>
          <w:sz w:val="22"/>
          <w:szCs w:val="22"/>
        </w:rPr>
        <w:t>; ameublement, équipement ménager et entr</w:t>
      </w:r>
      <w:r w:rsidR="00E24BB6">
        <w:rPr>
          <w:sz w:val="22"/>
          <w:szCs w:val="22"/>
        </w:rPr>
        <w:t>etien courant de la maison (-0,4</w:t>
      </w:r>
      <w:r w:rsidR="00D2769C">
        <w:rPr>
          <w:sz w:val="22"/>
          <w:szCs w:val="22"/>
        </w:rPr>
        <w:t>%)</w:t>
      </w:r>
      <w:r w:rsidR="00FA11DD">
        <w:rPr>
          <w:sz w:val="22"/>
          <w:szCs w:val="22"/>
        </w:rPr>
        <w:t xml:space="preserve">; </w:t>
      </w:r>
      <w:r w:rsidR="00D2769C">
        <w:rPr>
          <w:sz w:val="22"/>
          <w:szCs w:val="22"/>
        </w:rPr>
        <w:t xml:space="preserve">la Santé </w:t>
      </w:r>
      <w:r w:rsidR="00FA11DD">
        <w:rPr>
          <w:sz w:val="22"/>
          <w:szCs w:val="22"/>
        </w:rPr>
        <w:t>(</w:t>
      </w:r>
      <w:r w:rsidR="00E24BB6">
        <w:rPr>
          <w:sz w:val="22"/>
          <w:szCs w:val="22"/>
        </w:rPr>
        <w:t>-1,2</w:t>
      </w:r>
      <w:r w:rsidRPr="00F20C74">
        <w:rPr>
          <w:sz w:val="22"/>
          <w:szCs w:val="22"/>
        </w:rPr>
        <w:t>%) ; le transpo</w:t>
      </w:r>
      <w:r w:rsidR="00FA11DD">
        <w:rPr>
          <w:sz w:val="22"/>
          <w:szCs w:val="22"/>
        </w:rPr>
        <w:t>rt (</w:t>
      </w:r>
      <w:r w:rsidR="00E24BB6">
        <w:rPr>
          <w:sz w:val="22"/>
          <w:szCs w:val="22"/>
        </w:rPr>
        <w:t>-0,5</w:t>
      </w:r>
      <w:r w:rsidR="00FA11DD">
        <w:rPr>
          <w:sz w:val="22"/>
          <w:szCs w:val="22"/>
        </w:rPr>
        <w:t>%) ; la Communication (</w:t>
      </w:r>
      <w:r w:rsidR="00383561">
        <w:rPr>
          <w:sz w:val="22"/>
          <w:szCs w:val="22"/>
        </w:rPr>
        <w:t>+</w:t>
      </w:r>
      <w:r w:rsidR="00725806">
        <w:rPr>
          <w:sz w:val="22"/>
          <w:szCs w:val="22"/>
        </w:rPr>
        <w:t>0</w:t>
      </w:r>
      <w:r w:rsidR="00FA11DD">
        <w:rPr>
          <w:sz w:val="22"/>
          <w:szCs w:val="22"/>
        </w:rPr>
        <w:t>,</w:t>
      </w:r>
      <w:r w:rsidR="00B711F6">
        <w:rPr>
          <w:sz w:val="22"/>
          <w:szCs w:val="22"/>
        </w:rPr>
        <w:t>0</w:t>
      </w:r>
      <w:r w:rsidR="00D2769C">
        <w:rPr>
          <w:sz w:val="22"/>
          <w:szCs w:val="22"/>
        </w:rPr>
        <w:t xml:space="preserve">%); </w:t>
      </w:r>
      <w:r w:rsidR="00FA11DD">
        <w:rPr>
          <w:sz w:val="22"/>
          <w:szCs w:val="22"/>
        </w:rPr>
        <w:t>loisirs et culture (</w:t>
      </w:r>
      <w:r w:rsidR="00383561">
        <w:rPr>
          <w:sz w:val="22"/>
          <w:szCs w:val="22"/>
        </w:rPr>
        <w:t>+</w:t>
      </w:r>
      <w:r w:rsidR="00687108">
        <w:rPr>
          <w:sz w:val="22"/>
          <w:szCs w:val="22"/>
        </w:rPr>
        <w:t>0</w:t>
      </w:r>
      <w:r w:rsidR="00FA11DD">
        <w:rPr>
          <w:sz w:val="22"/>
          <w:szCs w:val="22"/>
        </w:rPr>
        <w:t>,</w:t>
      </w:r>
      <w:r w:rsidR="00E24BB6">
        <w:rPr>
          <w:sz w:val="22"/>
          <w:szCs w:val="22"/>
        </w:rPr>
        <w:t>2</w:t>
      </w:r>
      <w:r w:rsidR="007A05BB">
        <w:rPr>
          <w:sz w:val="22"/>
          <w:szCs w:val="22"/>
        </w:rPr>
        <w:t xml:space="preserve">%) </w:t>
      </w:r>
      <w:r w:rsidR="00FA11DD">
        <w:rPr>
          <w:sz w:val="22"/>
          <w:szCs w:val="22"/>
        </w:rPr>
        <w:t>; enseignement, éducation (</w:t>
      </w:r>
      <w:r w:rsidR="00E24BB6">
        <w:rPr>
          <w:sz w:val="22"/>
          <w:szCs w:val="22"/>
        </w:rPr>
        <w:t>+</w:t>
      </w:r>
      <w:r w:rsidR="00006015">
        <w:rPr>
          <w:sz w:val="22"/>
          <w:szCs w:val="22"/>
        </w:rPr>
        <w:t>0</w:t>
      </w:r>
      <w:r w:rsidR="003D46B2">
        <w:rPr>
          <w:sz w:val="22"/>
          <w:szCs w:val="22"/>
        </w:rPr>
        <w:t>,</w:t>
      </w:r>
      <w:r w:rsidR="00E24BB6">
        <w:rPr>
          <w:sz w:val="22"/>
          <w:szCs w:val="22"/>
        </w:rPr>
        <w:t>0</w:t>
      </w:r>
      <w:r w:rsidRPr="00F20C74">
        <w:rPr>
          <w:sz w:val="22"/>
          <w:szCs w:val="22"/>
        </w:rPr>
        <w:t>%) ; hôt</w:t>
      </w:r>
      <w:r w:rsidR="00FA11DD">
        <w:rPr>
          <w:sz w:val="22"/>
          <w:szCs w:val="22"/>
        </w:rPr>
        <w:t>ellerie, cafés, restauration (</w:t>
      </w:r>
      <w:r w:rsidR="00383561">
        <w:rPr>
          <w:sz w:val="22"/>
          <w:szCs w:val="22"/>
        </w:rPr>
        <w:t>+0</w:t>
      </w:r>
      <w:r w:rsidR="00C25BD4" w:rsidRPr="00F20C74">
        <w:rPr>
          <w:sz w:val="22"/>
          <w:szCs w:val="22"/>
        </w:rPr>
        <w:t>,</w:t>
      </w:r>
      <w:r w:rsidR="00E24BB6">
        <w:rPr>
          <w:sz w:val="22"/>
          <w:szCs w:val="22"/>
        </w:rPr>
        <w:t>1</w:t>
      </w:r>
      <w:r w:rsidRPr="00F20C74">
        <w:rPr>
          <w:sz w:val="22"/>
          <w:szCs w:val="22"/>
        </w:rPr>
        <w:t>%) e</w:t>
      </w:r>
      <w:r w:rsidR="00FA11DD">
        <w:rPr>
          <w:sz w:val="22"/>
          <w:szCs w:val="22"/>
        </w:rPr>
        <w:t>t autres biens et services (</w:t>
      </w:r>
      <w:r w:rsidR="00E24BB6">
        <w:rPr>
          <w:sz w:val="22"/>
          <w:szCs w:val="22"/>
        </w:rPr>
        <w:t>-</w:t>
      </w:r>
      <w:r w:rsidR="00B711F6">
        <w:rPr>
          <w:sz w:val="22"/>
          <w:szCs w:val="22"/>
        </w:rPr>
        <w:t>0,</w:t>
      </w:r>
      <w:r w:rsidR="00E24BB6">
        <w:rPr>
          <w:sz w:val="22"/>
          <w:szCs w:val="22"/>
        </w:rPr>
        <w:t>2</w:t>
      </w:r>
      <w:r w:rsidRPr="00F20C74">
        <w:rPr>
          <w:sz w:val="22"/>
          <w:szCs w:val="22"/>
        </w:rPr>
        <w:t xml:space="preserve">%). </w:t>
      </w:r>
    </w:p>
    <w:p w:rsidR="00383561" w:rsidRPr="00B73D75" w:rsidRDefault="00383561" w:rsidP="00B73D75">
      <w:pPr>
        <w:pStyle w:val="Default"/>
        <w:spacing w:line="276" w:lineRule="auto"/>
        <w:jc w:val="both"/>
        <w:rPr>
          <w:sz w:val="22"/>
          <w:szCs w:val="22"/>
        </w:rPr>
      </w:pPr>
    </w:p>
    <w:p w:rsidR="00157EF5" w:rsidRPr="00157EF5" w:rsidRDefault="00A96663" w:rsidP="00360E20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La </w:t>
      </w:r>
      <w:r w:rsidR="00B711F6">
        <w:rPr>
          <w:rFonts w:ascii="Arial" w:hAnsi="Arial" w:cs="Arial"/>
          <w:color w:val="000000"/>
        </w:rPr>
        <w:t>hau</w:t>
      </w:r>
      <w:r w:rsidR="0062575E">
        <w:rPr>
          <w:rFonts w:ascii="Arial" w:hAnsi="Arial" w:cs="Arial"/>
          <w:color w:val="000000"/>
        </w:rPr>
        <w:t>sse</w:t>
      </w:r>
      <w:r w:rsidR="00B711F6">
        <w:rPr>
          <w:rFonts w:ascii="Arial" w:hAnsi="Arial" w:cs="Arial"/>
          <w:color w:val="000000"/>
        </w:rPr>
        <w:t xml:space="preserve"> </w:t>
      </w:r>
      <w:r w:rsidR="00360E20" w:rsidRPr="00F20C74">
        <w:rPr>
          <w:rFonts w:ascii="Arial" w:hAnsi="Arial" w:cs="Arial"/>
          <w:color w:val="000000"/>
        </w:rPr>
        <w:t xml:space="preserve">mensuelle de l’indice </w:t>
      </w:r>
      <w:r w:rsidR="00BF1D21">
        <w:rPr>
          <w:rFonts w:ascii="Arial" w:hAnsi="Arial" w:cs="Arial"/>
          <w:color w:val="000000"/>
        </w:rPr>
        <w:t xml:space="preserve">des prix à la consommation de </w:t>
      </w:r>
      <w:r w:rsidR="002D354B">
        <w:rPr>
          <w:rFonts w:ascii="Arial" w:hAnsi="Arial" w:cs="Arial"/>
          <w:color w:val="000000"/>
        </w:rPr>
        <w:t>0,7</w:t>
      </w:r>
      <w:r w:rsidR="004F3247">
        <w:rPr>
          <w:rFonts w:ascii="Arial" w:hAnsi="Arial" w:cs="Arial"/>
          <w:color w:val="000000"/>
        </w:rPr>
        <w:t>%</w:t>
      </w:r>
      <w:r w:rsidR="00360E20" w:rsidRPr="00F20C74">
        <w:rPr>
          <w:rFonts w:ascii="Arial" w:hAnsi="Arial" w:cs="Arial"/>
          <w:color w:val="000000"/>
        </w:rPr>
        <w:t xml:space="preserve"> est imputable principalement </w:t>
      </w:r>
      <w:r w:rsidR="00B73D75" w:rsidRPr="00F20C74">
        <w:rPr>
          <w:rFonts w:ascii="Arial" w:hAnsi="Arial" w:cs="Arial"/>
          <w:color w:val="000000"/>
        </w:rPr>
        <w:t xml:space="preserve">à la </w:t>
      </w:r>
      <w:r w:rsidR="00B711F6">
        <w:rPr>
          <w:rFonts w:ascii="Arial" w:hAnsi="Arial" w:cs="Arial"/>
          <w:color w:val="000000"/>
        </w:rPr>
        <w:t>hau</w:t>
      </w:r>
      <w:r w:rsidR="00B73D75">
        <w:rPr>
          <w:rFonts w:ascii="Arial" w:hAnsi="Arial" w:cs="Arial"/>
          <w:color w:val="000000"/>
        </w:rPr>
        <w:t xml:space="preserve">sse </w:t>
      </w:r>
      <w:r w:rsidR="00B73D75" w:rsidRPr="00F20C74">
        <w:rPr>
          <w:rFonts w:ascii="Arial" w:hAnsi="Arial" w:cs="Arial"/>
          <w:color w:val="000000"/>
        </w:rPr>
        <w:t>des prix</w:t>
      </w:r>
      <w:r w:rsidR="00B73D75">
        <w:rPr>
          <w:rFonts w:ascii="Arial" w:hAnsi="Arial" w:cs="Arial"/>
          <w:color w:val="000000"/>
        </w:rPr>
        <w:t xml:space="preserve"> des produits alimentaires </w:t>
      </w:r>
      <w:r w:rsidR="00E24BB6">
        <w:rPr>
          <w:rFonts w:ascii="Arial" w:hAnsi="Arial" w:cs="Arial"/>
          <w:color w:val="000000"/>
        </w:rPr>
        <w:t>1,2</w:t>
      </w:r>
      <w:r w:rsidR="00B50C45">
        <w:rPr>
          <w:rFonts w:ascii="Arial" w:hAnsi="Arial" w:cs="Arial"/>
          <w:color w:val="000000"/>
        </w:rPr>
        <w:t>%</w:t>
      </w:r>
      <w:r w:rsidR="00F82038">
        <w:rPr>
          <w:rFonts w:ascii="Arial" w:hAnsi="Arial" w:cs="Arial"/>
          <w:color w:val="000000"/>
        </w:rPr>
        <w:t>.</w:t>
      </w:r>
    </w:p>
    <w:p w:rsidR="008F05DF" w:rsidRPr="00642D28" w:rsidRDefault="008F05DF" w:rsidP="00360E20">
      <w:pPr>
        <w:jc w:val="both"/>
        <w:rPr>
          <w:rFonts w:ascii="Arial" w:hAnsi="Arial" w:cs="Arial"/>
          <w:b/>
          <w:color w:val="1F497D" w:themeColor="text2"/>
        </w:rPr>
      </w:pPr>
      <w:r w:rsidRPr="00642D28">
        <w:rPr>
          <w:rFonts w:ascii="Arial" w:hAnsi="Arial" w:cs="Arial"/>
          <w:b/>
          <w:color w:val="1F497D" w:themeColor="text2"/>
        </w:rPr>
        <w:t xml:space="preserve">Le taux d’inflation </w:t>
      </w:r>
      <w:r>
        <w:rPr>
          <w:rFonts w:ascii="Arial" w:hAnsi="Arial" w:cs="Arial"/>
          <w:b/>
          <w:color w:val="1F497D" w:themeColor="text2"/>
        </w:rPr>
        <w:t>mensuel</w:t>
      </w:r>
      <w:r w:rsidR="00B711F6">
        <w:rPr>
          <w:rFonts w:ascii="Arial" w:hAnsi="Arial" w:cs="Arial"/>
          <w:b/>
          <w:color w:val="1F497D" w:themeColor="text2"/>
        </w:rPr>
        <w:t xml:space="preserve"> </w:t>
      </w:r>
      <w:r>
        <w:rPr>
          <w:rFonts w:ascii="Arial" w:hAnsi="Arial" w:cs="Arial"/>
          <w:b/>
          <w:color w:val="1F497D" w:themeColor="text2"/>
        </w:rPr>
        <w:t>sou</w:t>
      </w:r>
      <w:r w:rsidR="00F004DE">
        <w:rPr>
          <w:rFonts w:ascii="Arial" w:hAnsi="Arial" w:cs="Arial"/>
          <w:b/>
          <w:color w:val="1F497D" w:themeColor="text2"/>
        </w:rPr>
        <w:t>s-</w:t>
      </w:r>
      <w:r>
        <w:rPr>
          <w:rFonts w:ascii="Arial" w:hAnsi="Arial" w:cs="Arial"/>
          <w:b/>
          <w:color w:val="1F497D" w:themeColor="text2"/>
        </w:rPr>
        <w:t xml:space="preserve">jacent </w:t>
      </w:r>
      <w:r w:rsidR="00FA404F">
        <w:rPr>
          <w:rFonts w:ascii="Arial" w:hAnsi="Arial" w:cs="Arial"/>
          <w:b/>
          <w:color w:val="1F497D" w:themeColor="text2"/>
        </w:rPr>
        <w:t>s’établit à</w:t>
      </w:r>
      <w:r w:rsidR="00B711F6">
        <w:rPr>
          <w:rFonts w:ascii="Arial" w:hAnsi="Arial" w:cs="Arial"/>
          <w:b/>
          <w:color w:val="1F497D" w:themeColor="text2"/>
        </w:rPr>
        <w:t xml:space="preserve"> </w:t>
      </w:r>
      <w:r w:rsidR="00E24BB6">
        <w:rPr>
          <w:rFonts w:ascii="Arial" w:hAnsi="Arial" w:cs="Arial"/>
          <w:b/>
          <w:color w:val="1F497D" w:themeColor="text2"/>
        </w:rPr>
        <w:t>0,3</w:t>
      </w:r>
      <w:r w:rsidRPr="00642D28">
        <w:rPr>
          <w:rFonts w:ascii="Arial" w:hAnsi="Arial" w:cs="Arial"/>
          <w:b/>
          <w:color w:val="1F497D" w:themeColor="text2"/>
        </w:rPr>
        <w:t xml:space="preserve">% </w:t>
      </w:r>
      <w:r w:rsidR="00D34302">
        <w:rPr>
          <w:rFonts w:ascii="Arial" w:hAnsi="Arial" w:cs="Arial"/>
          <w:b/>
          <w:color w:val="1F497D" w:themeColor="text2"/>
        </w:rPr>
        <w:t xml:space="preserve">en </w:t>
      </w:r>
      <w:r w:rsidR="00E24BB6">
        <w:rPr>
          <w:rFonts w:ascii="Arial" w:hAnsi="Arial" w:cs="Arial"/>
          <w:b/>
          <w:color w:val="1F497D" w:themeColor="text2"/>
        </w:rPr>
        <w:t>mai</w:t>
      </w:r>
      <w:r w:rsidR="007C63E5">
        <w:rPr>
          <w:rFonts w:ascii="Arial" w:hAnsi="Arial" w:cs="Arial"/>
          <w:b/>
          <w:color w:val="1F497D" w:themeColor="text2"/>
        </w:rPr>
        <w:t xml:space="preserve"> </w:t>
      </w:r>
      <w:r w:rsidR="00D34302">
        <w:rPr>
          <w:rFonts w:ascii="Arial" w:hAnsi="Arial" w:cs="Arial"/>
          <w:b/>
          <w:color w:val="1F497D" w:themeColor="text2"/>
        </w:rPr>
        <w:t>201</w:t>
      </w:r>
      <w:r w:rsidR="008F5123">
        <w:rPr>
          <w:rFonts w:ascii="Arial" w:hAnsi="Arial" w:cs="Arial"/>
          <w:b/>
          <w:color w:val="1F497D" w:themeColor="text2"/>
        </w:rPr>
        <w:t>8</w:t>
      </w:r>
      <w:r w:rsidRPr="00642D28">
        <w:rPr>
          <w:rFonts w:ascii="Arial" w:hAnsi="Arial" w:cs="Arial"/>
          <w:b/>
          <w:color w:val="1F497D" w:themeColor="text2"/>
        </w:rPr>
        <w:t>.</w:t>
      </w:r>
    </w:p>
    <w:p w:rsidR="00FA404F" w:rsidRDefault="00FA404F" w:rsidP="00F20C74">
      <w:pPr>
        <w:pStyle w:val="Default"/>
        <w:spacing w:line="276" w:lineRule="auto"/>
        <w:jc w:val="both"/>
        <w:rPr>
          <w:sz w:val="22"/>
        </w:rPr>
      </w:pPr>
      <w:r w:rsidRPr="00FA404F">
        <w:rPr>
          <w:sz w:val="22"/>
          <w:szCs w:val="23"/>
        </w:rPr>
        <w:t xml:space="preserve">En </w:t>
      </w:r>
      <w:r w:rsidR="00E24BB6">
        <w:rPr>
          <w:sz w:val="22"/>
          <w:szCs w:val="23"/>
        </w:rPr>
        <w:t>mai</w:t>
      </w:r>
      <w:r w:rsidRPr="00FA404F">
        <w:rPr>
          <w:sz w:val="22"/>
          <w:szCs w:val="23"/>
        </w:rPr>
        <w:t xml:space="preserve"> 201</w:t>
      </w:r>
      <w:r w:rsidR="008F5123">
        <w:rPr>
          <w:sz w:val="22"/>
          <w:szCs w:val="23"/>
        </w:rPr>
        <w:t>8</w:t>
      </w:r>
      <w:r w:rsidRPr="00FA404F">
        <w:rPr>
          <w:sz w:val="22"/>
          <w:szCs w:val="23"/>
        </w:rPr>
        <w:t xml:space="preserve">, </w:t>
      </w:r>
      <w:r w:rsidRPr="00FA404F">
        <w:rPr>
          <w:sz w:val="22"/>
        </w:rPr>
        <w:t xml:space="preserve">le taux d’inflation mensuel mesuré par l’indice </w:t>
      </w:r>
      <w:r w:rsidR="00D2769C" w:rsidRPr="00FA404F">
        <w:rPr>
          <w:sz w:val="22"/>
        </w:rPr>
        <w:t>sou</w:t>
      </w:r>
      <w:r w:rsidR="00D2769C">
        <w:rPr>
          <w:sz w:val="22"/>
        </w:rPr>
        <w:t>s</w:t>
      </w:r>
      <w:r w:rsidR="00D2769C" w:rsidRPr="00FA404F">
        <w:rPr>
          <w:sz w:val="22"/>
        </w:rPr>
        <w:t>-jacent</w:t>
      </w:r>
      <w:r w:rsidRPr="00FA404F">
        <w:rPr>
          <w:sz w:val="22"/>
        </w:rPr>
        <w:t xml:space="preserve"> (indice hors carburant, énergie et produits frais) </w:t>
      </w:r>
      <w:r w:rsidR="004A7DB4">
        <w:rPr>
          <w:sz w:val="22"/>
        </w:rPr>
        <w:t xml:space="preserve">enregistre une </w:t>
      </w:r>
      <w:r w:rsidR="00511D53">
        <w:rPr>
          <w:sz w:val="22"/>
        </w:rPr>
        <w:t>hausse</w:t>
      </w:r>
      <w:r w:rsidR="00B711F6">
        <w:rPr>
          <w:sz w:val="22"/>
        </w:rPr>
        <w:t xml:space="preserve"> </w:t>
      </w:r>
      <w:r w:rsidR="00802A9F">
        <w:rPr>
          <w:sz w:val="22"/>
        </w:rPr>
        <w:t xml:space="preserve">de </w:t>
      </w:r>
      <w:r w:rsidR="00511D53">
        <w:rPr>
          <w:sz w:val="22"/>
        </w:rPr>
        <w:t>0,3</w:t>
      </w:r>
      <w:r w:rsidRPr="00FA404F">
        <w:rPr>
          <w:sz w:val="22"/>
        </w:rPr>
        <w:t xml:space="preserve">% </w:t>
      </w:r>
      <w:r w:rsidR="00511D53">
        <w:rPr>
          <w:sz w:val="22"/>
        </w:rPr>
        <w:t>contre une bai</w:t>
      </w:r>
      <w:r w:rsidR="00560260">
        <w:rPr>
          <w:sz w:val="22"/>
        </w:rPr>
        <w:t xml:space="preserve">sse </w:t>
      </w:r>
      <w:r w:rsidR="00802A9F">
        <w:rPr>
          <w:sz w:val="22"/>
        </w:rPr>
        <w:t xml:space="preserve">de </w:t>
      </w:r>
      <w:r w:rsidR="00511D53">
        <w:rPr>
          <w:sz w:val="22"/>
        </w:rPr>
        <w:t>0,4</w:t>
      </w:r>
      <w:r w:rsidR="00354F8A">
        <w:rPr>
          <w:sz w:val="22"/>
        </w:rPr>
        <w:t xml:space="preserve">% </w:t>
      </w:r>
      <w:r w:rsidR="0012092B">
        <w:rPr>
          <w:sz w:val="22"/>
        </w:rPr>
        <w:t>le mois précédent.</w:t>
      </w:r>
    </w:p>
    <w:p w:rsidR="00FA404F" w:rsidRDefault="00FA404F" w:rsidP="00FA404F">
      <w:pPr>
        <w:pStyle w:val="Default"/>
        <w:jc w:val="both"/>
        <w:rPr>
          <w:sz w:val="22"/>
        </w:rPr>
      </w:pPr>
    </w:p>
    <w:p w:rsidR="00AC549E" w:rsidRDefault="008F05DF" w:rsidP="00FD1267">
      <w:pPr>
        <w:pStyle w:val="Lgende"/>
        <w:spacing w:line="276" w:lineRule="auto"/>
        <w:jc w:val="both"/>
        <w:rPr>
          <w:rFonts w:ascii="Arial" w:hAnsi="Arial" w:cs="Arial"/>
          <w:color w:val="0070C0"/>
          <w:sz w:val="22"/>
          <w:szCs w:val="22"/>
        </w:rPr>
      </w:pPr>
      <w:r w:rsidRPr="00744A14">
        <w:rPr>
          <w:rFonts w:ascii="Arial" w:hAnsi="Arial" w:cs="Arial"/>
          <w:color w:val="0070C0"/>
          <w:sz w:val="22"/>
          <w:szCs w:val="22"/>
        </w:rPr>
        <w:t xml:space="preserve">Graphique </w:t>
      </w:r>
      <w:r w:rsidR="00417280" w:rsidRPr="00744A14">
        <w:rPr>
          <w:rFonts w:ascii="Arial" w:hAnsi="Arial" w:cs="Arial"/>
          <w:color w:val="0070C0"/>
          <w:sz w:val="22"/>
          <w:szCs w:val="22"/>
        </w:rPr>
        <w:t>2</w:t>
      </w:r>
      <w:r w:rsidRPr="00744A14">
        <w:rPr>
          <w:rFonts w:ascii="Arial" w:hAnsi="Arial" w:cs="Arial"/>
          <w:color w:val="0070C0"/>
          <w:sz w:val="22"/>
          <w:szCs w:val="22"/>
        </w:rPr>
        <w:t xml:space="preserve"> : </w:t>
      </w:r>
      <w:r w:rsidR="00F20C74" w:rsidRPr="00744A14">
        <w:rPr>
          <w:rFonts w:ascii="Arial" w:hAnsi="Arial" w:cs="Arial"/>
          <w:color w:val="0070C0"/>
          <w:sz w:val="22"/>
          <w:szCs w:val="22"/>
        </w:rPr>
        <w:t>Indice</w:t>
      </w:r>
      <w:r w:rsidR="00B711F6">
        <w:rPr>
          <w:rFonts w:ascii="Arial" w:hAnsi="Arial" w:cs="Arial"/>
          <w:color w:val="0070C0"/>
          <w:sz w:val="22"/>
          <w:szCs w:val="22"/>
        </w:rPr>
        <w:t xml:space="preserve"> </w:t>
      </w:r>
      <w:r w:rsidR="008D3B0F" w:rsidRPr="00744A14">
        <w:rPr>
          <w:rFonts w:ascii="Arial" w:hAnsi="Arial" w:cs="Arial"/>
          <w:color w:val="0070C0"/>
          <w:sz w:val="22"/>
          <w:szCs w:val="22"/>
        </w:rPr>
        <w:t>mensuel</w:t>
      </w:r>
      <w:r w:rsidR="00B711F6">
        <w:rPr>
          <w:rFonts w:ascii="Arial" w:hAnsi="Arial" w:cs="Arial"/>
          <w:color w:val="0070C0"/>
          <w:sz w:val="22"/>
          <w:szCs w:val="22"/>
        </w:rPr>
        <w:t xml:space="preserve"> </w:t>
      </w:r>
      <w:r w:rsidR="008D3B0F" w:rsidRPr="00744A14">
        <w:rPr>
          <w:rFonts w:ascii="Arial" w:hAnsi="Arial" w:cs="Arial"/>
          <w:color w:val="0070C0"/>
          <w:sz w:val="22"/>
          <w:szCs w:val="22"/>
        </w:rPr>
        <w:t xml:space="preserve">des </w:t>
      </w:r>
      <w:r w:rsidR="000E4D1D">
        <w:rPr>
          <w:rFonts w:ascii="Arial" w:hAnsi="Arial" w:cs="Arial"/>
          <w:color w:val="0070C0"/>
          <w:sz w:val="22"/>
          <w:szCs w:val="22"/>
        </w:rPr>
        <w:t>quatre</w:t>
      </w:r>
      <w:r w:rsidR="00F20C74" w:rsidRPr="00744A14">
        <w:rPr>
          <w:rFonts w:ascii="Arial" w:hAnsi="Arial" w:cs="Arial"/>
          <w:color w:val="0070C0"/>
          <w:sz w:val="22"/>
          <w:szCs w:val="22"/>
        </w:rPr>
        <w:t xml:space="preserve"> dernières années</w:t>
      </w:r>
    </w:p>
    <w:p w:rsidR="00511D53" w:rsidRPr="00511D53" w:rsidRDefault="00511D53" w:rsidP="00511D53"/>
    <w:p w:rsidR="007649C7" w:rsidRDefault="00511D53" w:rsidP="007649C7">
      <w:r w:rsidRPr="00511D53">
        <w:rPr>
          <w:noProof/>
          <w:lang w:eastAsia="fr-FR"/>
        </w:rPr>
        <w:drawing>
          <wp:inline distT="0" distB="0" distL="0" distR="0">
            <wp:extent cx="6477000" cy="3800475"/>
            <wp:effectExtent l="19050" t="0" r="19050" b="0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11D53" w:rsidRDefault="00511D53" w:rsidP="007649C7"/>
    <w:p w:rsidR="005F28C3" w:rsidRPr="008D3B0F" w:rsidRDefault="0090624C" w:rsidP="008D3B0F">
      <w:pPr>
        <w:jc w:val="both"/>
        <w:rPr>
          <w:rFonts w:ascii="Arial" w:hAnsi="Arial" w:cs="Arial"/>
          <w:b/>
          <w:color w:val="1F497D" w:themeColor="text2"/>
          <w:sz w:val="28"/>
        </w:rPr>
      </w:pPr>
      <w:bookmarkStart w:id="0" w:name="_Toc382063958"/>
      <w:r>
        <w:rPr>
          <w:rFonts w:ascii="Arial" w:hAnsi="Arial" w:cs="Arial"/>
          <w:b/>
          <w:color w:val="1F497D" w:themeColor="text2"/>
          <w:sz w:val="28"/>
        </w:rPr>
        <w:lastRenderedPageBreak/>
        <w:t xml:space="preserve">3 </w:t>
      </w:r>
      <w:r w:rsidR="008D3B0F">
        <w:rPr>
          <w:rFonts w:ascii="Arial" w:hAnsi="Arial" w:cs="Arial"/>
          <w:b/>
          <w:color w:val="1F497D" w:themeColor="text2"/>
          <w:sz w:val="28"/>
        </w:rPr>
        <w:t>Indices des nomenclatures secondaires</w:t>
      </w:r>
    </w:p>
    <w:p w:rsidR="00044D03" w:rsidRPr="00AA289F" w:rsidRDefault="00044D03" w:rsidP="00F20C74">
      <w:pPr>
        <w:pStyle w:val="Default"/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 xml:space="preserve">Les statistiques dérivées produites dans le cadre de cette série d’indice sont : (i) l’inflation sous-jacente, (ii) l’inflation des produits alimentaires par opposition à non alimentaires, (iii) l’inflation sur les services versus les autres biens consommés par les ménages, (iv) l’inflation sur les produits échangeables par rapport aux produits non échangeables. </w:t>
      </w:r>
    </w:p>
    <w:p w:rsidR="00044D03" w:rsidRPr="00AA289F" w:rsidRDefault="00044D03" w:rsidP="00F20C74">
      <w:pPr>
        <w:pStyle w:val="Default"/>
        <w:spacing w:line="276" w:lineRule="auto"/>
        <w:rPr>
          <w:sz w:val="22"/>
          <w:szCs w:val="22"/>
        </w:rPr>
      </w:pPr>
    </w:p>
    <w:p w:rsidR="00044D03" w:rsidRPr="00AA289F" w:rsidRDefault="00044D03" w:rsidP="00F20C74">
      <w:pPr>
        <w:pStyle w:val="Default"/>
        <w:spacing w:line="276" w:lineRule="auto"/>
        <w:rPr>
          <w:sz w:val="22"/>
          <w:szCs w:val="22"/>
        </w:rPr>
      </w:pPr>
      <w:r w:rsidRPr="00AA289F">
        <w:rPr>
          <w:sz w:val="22"/>
          <w:szCs w:val="22"/>
        </w:rPr>
        <w:t xml:space="preserve">Ainsi, en </w:t>
      </w:r>
      <w:r w:rsidR="00511D53">
        <w:rPr>
          <w:sz w:val="22"/>
          <w:szCs w:val="22"/>
        </w:rPr>
        <w:t>mai</w:t>
      </w:r>
      <w:r w:rsidR="00BF7A9B">
        <w:rPr>
          <w:sz w:val="22"/>
          <w:szCs w:val="22"/>
        </w:rPr>
        <w:t xml:space="preserve"> </w:t>
      </w:r>
      <w:r w:rsidRPr="00AA289F">
        <w:rPr>
          <w:sz w:val="22"/>
          <w:szCs w:val="22"/>
        </w:rPr>
        <w:t>201</w:t>
      </w:r>
      <w:r w:rsidR="00D26D0B">
        <w:rPr>
          <w:sz w:val="22"/>
          <w:szCs w:val="22"/>
        </w:rPr>
        <w:t>8</w:t>
      </w:r>
      <w:r w:rsidRPr="00AA289F">
        <w:rPr>
          <w:sz w:val="22"/>
          <w:szCs w:val="22"/>
        </w:rPr>
        <w:t xml:space="preserve"> : </w:t>
      </w:r>
    </w:p>
    <w:p w:rsidR="009F46DE" w:rsidRPr="00AA289F" w:rsidRDefault="00044D03" w:rsidP="00F20C74">
      <w:pPr>
        <w:pStyle w:val="Default"/>
        <w:numPr>
          <w:ilvl w:val="0"/>
          <w:numId w:val="10"/>
        </w:numPr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>L’indice des prix des ser</w:t>
      </w:r>
      <w:r w:rsidR="009F46DE" w:rsidRPr="00AA289F">
        <w:rPr>
          <w:sz w:val="22"/>
          <w:szCs w:val="22"/>
        </w:rPr>
        <w:t xml:space="preserve">vices </w:t>
      </w:r>
      <w:r w:rsidR="001853BA">
        <w:rPr>
          <w:sz w:val="22"/>
          <w:szCs w:val="22"/>
        </w:rPr>
        <w:t xml:space="preserve">a </w:t>
      </w:r>
      <w:r w:rsidR="002B2608">
        <w:rPr>
          <w:sz w:val="22"/>
          <w:szCs w:val="22"/>
        </w:rPr>
        <w:t>enregistré</w:t>
      </w:r>
      <w:r w:rsidR="00A14FA1">
        <w:rPr>
          <w:sz w:val="22"/>
          <w:szCs w:val="22"/>
        </w:rPr>
        <w:t xml:space="preserve">, en glissement </w:t>
      </w:r>
      <w:r w:rsidR="001B0D3C">
        <w:rPr>
          <w:sz w:val="22"/>
          <w:szCs w:val="22"/>
        </w:rPr>
        <w:t>mensuel</w:t>
      </w:r>
      <w:r w:rsidR="00A14FA1">
        <w:rPr>
          <w:sz w:val="22"/>
          <w:szCs w:val="22"/>
        </w:rPr>
        <w:t xml:space="preserve">, </w:t>
      </w:r>
      <w:r w:rsidR="002B2608">
        <w:rPr>
          <w:sz w:val="22"/>
          <w:szCs w:val="22"/>
        </w:rPr>
        <w:t xml:space="preserve">une </w:t>
      </w:r>
      <w:r w:rsidR="00511D53">
        <w:rPr>
          <w:sz w:val="22"/>
          <w:szCs w:val="22"/>
        </w:rPr>
        <w:t>bai</w:t>
      </w:r>
      <w:r w:rsidR="002B2608">
        <w:rPr>
          <w:sz w:val="22"/>
          <w:szCs w:val="22"/>
        </w:rPr>
        <w:t xml:space="preserve">sse de </w:t>
      </w:r>
      <w:r w:rsidR="00AF7364">
        <w:rPr>
          <w:sz w:val="22"/>
          <w:szCs w:val="22"/>
        </w:rPr>
        <w:t>0</w:t>
      </w:r>
      <w:r w:rsidR="002B2608">
        <w:rPr>
          <w:sz w:val="22"/>
          <w:szCs w:val="22"/>
        </w:rPr>
        <w:t>,</w:t>
      </w:r>
      <w:r w:rsidR="00511D53">
        <w:rPr>
          <w:sz w:val="22"/>
          <w:szCs w:val="22"/>
        </w:rPr>
        <w:t xml:space="preserve">2 </w:t>
      </w:r>
      <w:r w:rsidRPr="00AA289F">
        <w:rPr>
          <w:sz w:val="22"/>
          <w:szCs w:val="22"/>
        </w:rPr>
        <w:t xml:space="preserve">% </w:t>
      </w:r>
      <w:r w:rsidR="002B2608">
        <w:rPr>
          <w:sz w:val="22"/>
          <w:szCs w:val="22"/>
        </w:rPr>
        <w:t xml:space="preserve">contre </w:t>
      </w:r>
      <w:r w:rsidR="00777BA6">
        <w:rPr>
          <w:sz w:val="22"/>
          <w:szCs w:val="22"/>
        </w:rPr>
        <w:t xml:space="preserve">une </w:t>
      </w:r>
      <w:r w:rsidR="00FF44E9">
        <w:rPr>
          <w:sz w:val="22"/>
          <w:szCs w:val="22"/>
        </w:rPr>
        <w:t>hau</w:t>
      </w:r>
      <w:r w:rsidR="00777BA6">
        <w:rPr>
          <w:sz w:val="22"/>
          <w:szCs w:val="22"/>
        </w:rPr>
        <w:t xml:space="preserve">sse de </w:t>
      </w:r>
      <w:r w:rsidR="00511D53">
        <w:rPr>
          <w:sz w:val="22"/>
          <w:szCs w:val="22"/>
        </w:rPr>
        <w:t>0,6</w:t>
      </w:r>
      <w:r w:rsidR="00FD470B">
        <w:rPr>
          <w:sz w:val="22"/>
          <w:szCs w:val="22"/>
        </w:rPr>
        <w:t xml:space="preserve"> </w:t>
      </w:r>
      <w:r w:rsidR="009F46DE" w:rsidRPr="00AA289F">
        <w:rPr>
          <w:sz w:val="22"/>
          <w:szCs w:val="22"/>
        </w:rPr>
        <w:t xml:space="preserve">% le mois précédent. </w:t>
      </w:r>
    </w:p>
    <w:p w:rsidR="009F46DE" w:rsidRPr="00AA289F" w:rsidRDefault="009F46DE" w:rsidP="00F20C74">
      <w:pPr>
        <w:pStyle w:val="Default"/>
        <w:numPr>
          <w:ilvl w:val="0"/>
          <w:numId w:val="10"/>
        </w:numPr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>L’indice des prix des biens durables enregistre en glissement mensuel</w:t>
      </w:r>
      <w:r w:rsidR="002B2608">
        <w:rPr>
          <w:sz w:val="22"/>
          <w:szCs w:val="22"/>
        </w:rPr>
        <w:t xml:space="preserve"> une </w:t>
      </w:r>
      <w:r w:rsidR="00511D53">
        <w:rPr>
          <w:sz w:val="22"/>
          <w:szCs w:val="22"/>
        </w:rPr>
        <w:t>bai</w:t>
      </w:r>
      <w:r w:rsidR="002B2608">
        <w:rPr>
          <w:sz w:val="22"/>
          <w:szCs w:val="22"/>
        </w:rPr>
        <w:t>sse</w:t>
      </w:r>
      <w:r w:rsidR="00BB3B63">
        <w:rPr>
          <w:sz w:val="22"/>
          <w:szCs w:val="22"/>
        </w:rPr>
        <w:t xml:space="preserve"> de</w:t>
      </w:r>
      <w:r w:rsidR="00BF7A9B">
        <w:rPr>
          <w:sz w:val="22"/>
          <w:szCs w:val="22"/>
        </w:rPr>
        <w:t xml:space="preserve"> </w:t>
      </w:r>
      <w:r w:rsidR="001B4038">
        <w:rPr>
          <w:sz w:val="22"/>
          <w:szCs w:val="22"/>
        </w:rPr>
        <w:t>0</w:t>
      </w:r>
      <w:r w:rsidR="002B2608">
        <w:rPr>
          <w:sz w:val="22"/>
          <w:szCs w:val="22"/>
        </w:rPr>
        <w:t>,</w:t>
      </w:r>
      <w:r w:rsidR="00511D53">
        <w:rPr>
          <w:sz w:val="22"/>
          <w:szCs w:val="22"/>
        </w:rPr>
        <w:t>1</w:t>
      </w:r>
      <w:r w:rsidR="002B2608">
        <w:rPr>
          <w:sz w:val="22"/>
          <w:szCs w:val="22"/>
        </w:rPr>
        <w:t xml:space="preserve">% </w:t>
      </w:r>
      <w:r w:rsidR="00511D53">
        <w:rPr>
          <w:sz w:val="22"/>
          <w:szCs w:val="22"/>
        </w:rPr>
        <w:t xml:space="preserve">contre une hausse de 0,2 </w:t>
      </w:r>
      <w:r w:rsidR="00BF7A9B">
        <w:rPr>
          <w:sz w:val="22"/>
          <w:szCs w:val="22"/>
        </w:rPr>
        <w:t>%</w:t>
      </w:r>
      <w:r w:rsidRPr="00AA289F">
        <w:rPr>
          <w:sz w:val="22"/>
          <w:szCs w:val="22"/>
        </w:rPr>
        <w:t xml:space="preserve"> le mois précédent.</w:t>
      </w:r>
    </w:p>
    <w:p w:rsidR="009F46DE" w:rsidRPr="00AA289F" w:rsidRDefault="009F46DE" w:rsidP="00F20C74">
      <w:pPr>
        <w:pStyle w:val="Default"/>
        <w:numPr>
          <w:ilvl w:val="0"/>
          <w:numId w:val="10"/>
        </w:numPr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>L’indice des prix des biens semi-durables enregistre en glis</w:t>
      </w:r>
      <w:r w:rsidR="00F004DE">
        <w:rPr>
          <w:sz w:val="22"/>
          <w:szCs w:val="22"/>
        </w:rPr>
        <w:t xml:space="preserve">sement mensuel une </w:t>
      </w:r>
      <w:r w:rsidR="00BF7A9B">
        <w:rPr>
          <w:sz w:val="22"/>
          <w:szCs w:val="22"/>
        </w:rPr>
        <w:t xml:space="preserve">hausse </w:t>
      </w:r>
      <w:r w:rsidR="00F004DE">
        <w:rPr>
          <w:sz w:val="22"/>
          <w:szCs w:val="22"/>
        </w:rPr>
        <w:t xml:space="preserve">de </w:t>
      </w:r>
      <w:r w:rsidR="00511D53">
        <w:rPr>
          <w:sz w:val="22"/>
          <w:szCs w:val="22"/>
        </w:rPr>
        <w:t>0,7</w:t>
      </w:r>
      <w:r w:rsidR="00F004DE">
        <w:rPr>
          <w:sz w:val="22"/>
          <w:szCs w:val="22"/>
        </w:rPr>
        <w:t xml:space="preserve">% contre une </w:t>
      </w:r>
      <w:r w:rsidR="00511D53">
        <w:rPr>
          <w:sz w:val="22"/>
          <w:szCs w:val="22"/>
        </w:rPr>
        <w:t>hau</w:t>
      </w:r>
      <w:r w:rsidR="00BF7A9B">
        <w:rPr>
          <w:sz w:val="22"/>
          <w:szCs w:val="22"/>
        </w:rPr>
        <w:t>sse</w:t>
      </w:r>
      <w:r w:rsidR="00F004DE">
        <w:rPr>
          <w:sz w:val="22"/>
          <w:szCs w:val="22"/>
        </w:rPr>
        <w:t xml:space="preserve"> de </w:t>
      </w:r>
      <w:r w:rsidR="00BF7A9B">
        <w:rPr>
          <w:sz w:val="22"/>
          <w:szCs w:val="22"/>
        </w:rPr>
        <w:t>0,8</w:t>
      </w:r>
      <w:r w:rsidR="00FD470B">
        <w:rPr>
          <w:sz w:val="22"/>
          <w:szCs w:val="22"/>
        </w:rPr>
        <w:t xml:space="preserve"> </w:t>
      </w:r>
      <w:r w:rsidRPr="00AA289F">
        <w:rPr>
          <w:sz w:val="22"/>
          <w:szCs w:val="22"/>
        </w:rPr>
        <w:t>% le mois précédent.</w:t>
      </w:r>
    </w:p>
    <w:p w:rsidR="00E14CB3" w:rsidRPr="00AA289F" w:rsidRDefault="009F46DE" w:rsidP="00F20C74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>L’indice des prix des biens non durables enregistre en gli</w:t>
      </w:r>
      <w:r w:rsidR="00901112">
        <w:rPr>
          <w:sz w:val="22"/>
          <w:szCs w:val="22"/>
        </w:rPr>
        <w:t xml:space="preserve">ssement mensuel une </w:t>
      </w:r>
      <w:r w:rsidR="00BF7A9B">
        <w:rPr>
          <w:sz w:val="22"/>
          <w:szCs w:val="22"/>
        </w:rPr>
        <w:t>hausse</w:t>
      </w:r>
      <w:r w:rsidR="00901112">
        <w:rPr>
          <w:sz w:val="22"/>
          <w:szCs w:val="22"/>
        </w:rPr>
        <w:t xml:space="preserve"> de </w:t>
      </w:r>
      <w:r w:rsidR="00511D53">
        <w:rPr>
          <w:sz w:val="22"/>
          <w:szCs w:val="22"/>
        </w:rPr>
        <w:t>1,2</w:t>
      </w:r>
      <w:r w:rsidR="00901112">
        <w:rPr>
          <w:sz w:val="22"/>
          <w:szCs w:val="22"/>
        </w:rPr>
        <w:t xml:space="preserve">% contre </w:t>
      </w:r>
      <w:r w:rsidR="00C1240D">
        <w:rPr>
          <w:sz w:val="22"/>
          <w:szCs w:val="22"/>
        </w:rPr>
        <w:t xml:space="preserve"> une </w:t>
      </w:r>
      <w:r w:rsidR="00511D53">
        <w:rPr>
          <w:sz w:val="22"/>
          <w:szCs w:val="22"/>
        </w:rPr>
        <w:t>hausse</w:t>
      </w:r>
      <w:r w:rsidR="001B0D3C">
        <w:rPr>
          <w:sz w:val="22"/>
          <w:szCs w:val="22"/>
        </w:rPr>
        <w:t xml:space="preserve"> de</w:t>
      </w:r>
      <w:r w:rsidR="00511D53">
        <w:rPr>
          <w:sz w:val="22"/>
          <w:szCs w:val="22"/>
        </w:rPr>
        <w:t xml:space="preserve"> 0,7</w:t>
      </w:r>
      <w:r w:rsidR="00996F6E">
        <w:rPr>
          <w:sz w:val="22"/>
          <w:szCs w:val="22"/>
        </w:rPr>
        <w:t xml:space="preserve"> </w:t>
      </w:r>
      <w:r w:rsidRPr="00AA289F">
        <w:rPr>
          <w:sz w:val="22"/>
          <w:szCs w:val="22"/>
        </w:rPr>
        <w:t>% le mois précédent.</w:t>
      </w:r>
    </w:p>
    <w:p w:rsidR="00044D03" w:rsidRDefault="00044D03" w:rsidP="00F20C74">
      <w:pPr>
        <w:pStyle w:val="Default"/>
        <w:numPr>
          <w:ilvl w:val="0"/>
          <w:numId w:val="9"/>
        </w:numPr>
        <w:spacing w:line="276" w:lineRule="auto"/>
        <w:jc w:val="both"/>
        <w:rPr>
          <w:sz w:val="22"/>
          <w:szCs w:val="22"/>
        </w:rPr>
      </w:pPr>
      <w:r w:rsidRPr="00AA289F">
        <w:rPr>
          <w:sz w:val="22"/>
          <w:szCs w:val="22"/>
        </w:rPr>
        <w:t xml:space="preserve">L’indice des prix des biens échangeables enregistre une </w:t>
      </w:r>
      <w:r w:rsidR="00D77894">
        <w:rPr>
          <w:sz w:val="22"/>
          <w:szCs w:val="22"/>
        </w:rPr>
        <w:t>bai</w:t>
      </w:r>
      <w:r w:rsidR="00385FB2">
        <w:rPr>
          <w:sz w:val="22"/>
          <w:szCs w:val="22"/>
        </w:rPr>
        <w:t>sse</w:t>
      </w:r>
      <w:r w:rsidR="00901112">
        <w:rPr>
          <w:sz w:val="22"/>
          <w:szCs w:val="22"/>
        </w:rPr>
        <w:t xml:space="preserve"> de </w:t>
      </w:r>
      <w:r w:rsidR="00511D53">
        <w:rPr>
          <w:sz w:val="22"/>
          <w:szCs w:val="22"/>
        </w:rPr>
        <w:t>0,2</w:t>
      </w:r>
      <w:r w:rsidR="007A7DC6">
        <w:rPr>
          <w:sz w:val="22"/>
          <w:szCs w:val="22"/>
        </w:rPr>
        <w:t xml:space="preserve"> </w:t>
      </w:r>
      <w:r w:rsidRPr="00AA289F">
        <w:rPr>
          <w:sz w:val="22"/>
          <w:szCs w:val="22"/>
        </w:rPr>
        <w:t xml:space="preserve">% contre une </w:t>
      </w:r>
      <w:r w:rsidR="00D26D0B">
        <w:rPr>
          <w:sz w:val="22"/>
          <w:szCs w:val="22"/>
        </w:rPr>
        <w:t>baisse</w:t>
      </w:r>
      <w:r w:rsidR="00901112" w:rsidRPr="0001296E">
        <w:rPr>
          <w:sz w:val="22"/>
          <w:szCs w:val="22"/>
        </w:rPr>
        <w:t xml:space="preserve"> de </w:t>
      </w:r>
      <w:r w:rsidR="00511D53">
        <w:rPr>
          <w:sz w:val="22"/>
          <w:szCs w:val="22"/>
        </w:rPr>
        <w:t>1,7</w:t>
      </w:r>
      <w:r w:rsidRPr="0001296E">
        <w:rPr>
          <w:sz w:val="22"/>
          <w:szCs w:val="22"/>
        </w:rPr>
        <w:t>% le mois précédent, tandis que celui des biens non échangeables</w:t>
      </w:r>
      <w:r w:rsidRPr="00AA289F">
        <w:rPr>
          <w:sz w:val="22"/>
          <w:szCs w:val="22"/>
        </w:rPr>
        <w:t xml:space="preserve"> enregistre une </w:t>
      </w:r>
      <w:r w:rsidR="00BF7A9B">
        <w:rPr>
          <w:sz w:val="22"/>
          <w:szCs w:val="22"/>
        </w:rPr>
        <w:t>hau</w:t>
      </w:r>
      <w:r w:rsidR="00385FB2">
        <w:rPr>
          <w:sz w:val="22"/>
          <w:szCs w:val="22"/>
        </w:rPr>
        <w:t>sse</w:t>
      </w:r>
      <w:r w:rsidR="00BF7A9B">
        <w:rPr>
          <w:sz w:val="22"/>
          <w:szCs w:val="22"/>
        </w:rPr>
        <w:t xml:space="preserve"> </w:t>
      </w:r>
      <w:r w:rsidR="00513F8D">
        <w:rPr>
          <w:sz w:val="22"/>
          <w:szCs w:val="22"/>
        </w:rPr>
        <w:t xml:space="preserve">de </w:t>
      </w:r>
      <w:r w:rsidR="007A7DC6">
        <w:rPr>
          <w:sz w:val="22"/>
          <w:szCs w:val="22"/>
        </w:rPr>
        <w:t xml:space="preserve">1,2 % contre hausse 1,8 </w:t>
      </w:r>
      <w:r w:rsidR="00BF7A9B">
        <w:rPr>
          <w:sz w:val="22"/>
          <w:szCs w:val="22"/>
        </w:rPr>
        <w:t xml:space="preserve">% </w:t>
      </w:r>
      <w:r w:rsidR="00513F8D">
        <w:rPr>
          <w:sz w:val="22"/>
          <w:szCs w:val="22"/>
        </w:rPr>
        <w:t xml:space="preserve">le </w:t>
      </w:r>
      <w:r w:rsidRPr="00AA289F">
        <w:rPr>
          <w:sz w:val="22"/>
          <w:szCs w:val="22"/>
        </w:rPr>
        <w:t xml:space="preserve">mois précédent. </w:t>
      </w:r>
    </w:p>
    <w:p w:rsidR="00A57848" w:rsidRDefault="00A57848" w:rsidP="00EF6E36">
      <w:pPr>
        <w:jc w:val="both"/>
        <w:rPr>
          <w:rFonts w:ascii="Arial" w:hAnsi="Arial" w:cs="Arial"/>
          <w:b/>
          <w:color w:val="1F497D" w:themeColor="text2"/>
          <w:sz w:val="28"/>
        </w:rPr>
      </w:pPr>
    </w:p>
    <w:p w:rsidR="00962221" w:rsidRPr="00EF6E36" w:rsidRDefault="00EF6E36" w:rsidP="00EF6E36">
      <w:pPr>
        <w:jc w:val="both"/>
        <w:rPr>
          <w:rFonts w:ascii="Arial" w:hAnsi="Arial" w:cs="Arial"/>
          <w:b/>
          <w:color w:val="1F497D" w:themeColor="text2"/>
          <w:sz w:val="28"/>
        </w:rPr>
      </w:pPr>
      <w:r w:rsidRPr="00EF6E36">
        <w:rPr>
          <w:rFonts w:ascii="Arial" w:hAnsi="Arial" w:cs="Arial"/>
          <w:b/>
          <w:color w:val="1F497D" w:themeColor="text2"/>
          <w:sz w:val="28"/>
        </w:rPr>
        <w:t>4 Indice</w:t>
      </w:r>
      <w:r w:rsidR="00573EBA">
        <w:rPr>
          <w:rFonts w:ascii="Arial" w:hAnsi="Arial" w:cs="Arial"/>
          <w:b/>
          <w:color w:val="1F497D" w:themeColor="text2"/>
          <w:sz w:val="28"/>
        </w:rPr>
        <w:t xml:space="preserve"> national </w:t>
      </w:r>
      <w:r w:rsidR="00E53768">
        <w:rPr>
          <w:rFonts w:ascii="Arial" w:hAnsi="Arial" w:cs="Arial"/>
          <w:b/>
          <w:color w:val="1F497D" w:themeColor="text2"/>
          <w:sz w:val="28"/>
        </w:rPr>
        <w:t>et indices provinciaux</w:t>
      </w:r>
    </w:p>
    <w:p w:rsidR="001145E9" w:rsidRDefault="001145E9" w:rsidP="003B6E4E">
      <w:pPr>
        <w:pStyle w:val="Lgende"/>
        <w:rPr>
          <w:rFonts w:ascii="Arial" w:eastAsiaTheme="minorHAnsi" w:hAnsi="Arial" w:cs="Arial"/>
          <w:bCs w:val="0"/>
          <w:color w:val="0070C0"/>
          <w:sz w:val="22"/>
          <w:szCs w:val="22"/>
        </w:rPr>
      </w:pPr>
      <w:bookmarkStart w:id="1" w:name="_Toc482195337"/>
      <w:bookmarkEnd w:id="0"/>
      <w:r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Tableau </w:t>
      </w:r>
      <w:r w:rsidR="00E7206A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begin"/>
      </w:r>
      <w:r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instrText xml:space="preserve"> SEQ Tableau \* ARABIC </w:instrText>
      </w:r>
      <w:r w:rsidR="00E7206A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separate"/>
      </w:r>
      <w:r w:rsidR="00EA71A6">
        <w:rPr>
          <w:rFonts w:ascii="Arial" w:eastAsiaTheme="minorHAnsi" w:hAnsi="Arial" w:cs="Arial"/>
          <w:bCs w:val="0"/>
          <w:noProof/>
          <w:color w:val="0070C0"/>
          <w:sz w:val="22"/>
          <w:szCs w:val="22"/>
        </w:rPr>
        <w:t>1</w:t>
      </w:r>
      <w:r w:rsidR="00E7206A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end"/>
      </w:r>
      <w:r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 : Indice </w:t>
      </w:r>
      <w:r w:rsidR="00F07A2E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national </w:t>
      </w:r>
      <w:bookmarkEnd w:id="1"/>
      <w:r w:rsidR="007433C2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des prix </w:t>
      </w:r>
      <w:r w:rsidR="00573EBA">
        <w:rPr>
          <w:rFonts w:ascii="Arial" w:eastAsiaTheme="minorHAnsi" w:hAnsi="Arial" w:cs="Arial"/>
          <w:bCs w:val="0"/>
          <w:color w:val="0070C0"/>
          <w:sz w:val="22"/>
          <w:szCs w:val="22"/>
        </w:rPr>
        <w:t>à</w:t>
      </w:r>
      <w:r w:rsidR="007433C2" w:rsidRPr="003B6E4E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 la consommation (milieux urbain &amp; rural)</w:t>
      </w:r>
    </w:p>
    <w:p w:rsidR="009121D8" w:rsidRPr="009121D8" w:rsidRDefault="009121D8" w:rsidP="009121D8"/>
    <w:tbl>
      <w:tblPr>
        <w:tblW w:w="5000" w:type="pc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8"/>
        <w:gridCol w:w="4213"/>
        <w:gridCol w:w="904"/>
        <w:gridCol w:w="900"/>
        <w:gridCol w:w="909"/>
        <w:gridCol w:w="904"/>
        <w:gridCol w:w="1191"/>
      </w:tblGrid>
      <w:tr w:rsidR="00F94978" w:rsidRPr="0042482E" w:rsidTr="00236ED9">
        <w:trPr>
          <w:trHeight w:val="240"/>
          <w:tblHeader/>
        </w:trPr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F94978" w:rsidRPr="002D6DF3" w:rsidRDefault="00F94978" w:rsidP="004248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F94978" w:rsidRPr="002D6DF3" w:rsidRDefault="00F94978" w:rsidP="004248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Rubriques</w:t>
            </w:r>
          </w:p>
        </w:tc>
        <w:tc>
          <w:tcPr>
            <w:tcW w:w="13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F94978" w:rsidRPr="002D6DF3" w:rsidRDefault="00F94978" w:rsidP="004248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Indice du mois de</w:t>
            </w:r>
          </w:p>
        </w:tc>
        <w:tc>
          <w:tcPr>
            <w:tcW w:w="107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F94978" w:rsidRPr="002D6DF3" w:rsidRDefault="00F94978" w:rsidP="004248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Glissement (%)</w:t>
            </w:r>
          </w:p>
        </w:tc>
      </w:tr>
      <w:tr w:rsidR="0013672B" w:rsidRPr="0042482E" w:rsidTr="00236ED9">
        <w:trPr>
          <w:trHeight w:val="240"/>
          <w:tblHeader/>
        </w:trPr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3672B" w:rsidRPr="002D6DF3" w:rsidRDefault="0013672B" w:rsidP="00236ED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2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3672B" w:rsidRPr="002D6DF3" w:rsidRDefault="0013672B" w:rsidP="00236ED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3672B" w:rsidRPr="00EB455E" w:rsidRDefault="007A7DC6" w:rsidP="007A7DC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7A7DC6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Mai</w:t>
            </w:r>
            <w:r w:rsidR="0013672B" w:rsidRPr="00EB455E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-17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3672B" w:rsidRPr="002D6DF3" w:rsidRDefault="007A7DC6" w:rsidP="00CD1C6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Avril</w:t>
            </w:r>
            <w:r w:rsidR="0013672B"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-1</w:t>
            </w:r>
            <w:r w:rsidR="0013672B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3672B" w:rsidRPr="002D6DF3" w:rsidRDefault="00DB7D7B" w:rsidP="00236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Avril</w:t>
            </w:r>
            <w:r w:rsidR="00F24D06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-18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13672B" w:rsidRPr="002D6DF3" w:rsidRDefault="0013672B" w:rsidP="00236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Mensuel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13672B" w:rsidRPr="002D6DF3" w:rsidRDefault="0013672B" w:rsidP="00236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color w:val="000000"/>
                <w:sz w:val="16"/>
                <w:szCs w:val="18"/>
                <w:lang w:eastAsia="fr-FR"/>
              </w:rPr>
              <w:t>Annuel</w:t>
            </w:r>
          </w:p>
        </w:tc>
      </w:tr>
      <w:tr w:rsidR="00AB3319" w:rsidRPr="002D6DF3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00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TOUS LES PRODUITS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7A7DC6" w:rsidRDefault="00AB3319" w:rsidP="007A7D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7A7D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115,6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113,6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2D354B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-1,0</w:t>
            </w:r>
          </w:p>
        </w:tc>
      </w:tr>
      <w:tr w:rsidR="00AB3319" w:rsidRPr="002D6DF3" w:rsidTr="00CE0D0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01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Produits alimentaires et boissons non alcoolisées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7A7DC6" w:rsidRDefault="00AB3319" w:rsidP="007A7D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7A7D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124,6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112,6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113,9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-8,6</w:t>
            </w:r>
          </w:p>
        </w:tc>
      </w:tr>
      <w:tr w:rsidR="00AB3319" w:rsidRPr="002D6DF3" w:rsidTr="00CE0D0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01.1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2D6DF3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2D6DF3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Produits alimentaires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7A7DC6" w:rsidRDefault="00AB3319" w:rsidP="007A7DC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7A7DC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124,8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112,7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-8,7</w:t>
            </w:r>
          </w:p>
        </w:tc>
      </w:tr>
      <w:tr w:rsidR="00AB3319" w:rsidRPr="001B4038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7707C4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7707C4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01.1.1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1B4038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7707C4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Pains et céréales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126,7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-15,5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01.1.2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Viandes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7,1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01.1.3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Poissons et Fruits de mer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116,7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159,5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157,4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-1,3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34,9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01.1.4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Lait, fromage et œuf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108,0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110,2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110,3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2,1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01.1.5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Huiles et graisses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106,0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113,8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118,8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4,4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12,1</w:t>
            </w:r>
          </w:p>
        </w:tc>
      </w:tr>
      <w:tr w:rsidR="00AB3319" w:rsidRPr="0042482E" w:rsidTr="00236ED9">
        <w:trPr>
          <w:trHeight w:val="328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01.1.6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Fruits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106,9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110,3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110,2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3,1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01.1.7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Légumes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131,5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111,4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-15,3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01.1.8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Sucre, confiture, miel, chocolat et confiserie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123,1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108,2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-0,6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-12,7</w:t>
            </w:r>
          </w:p>
        </w:tc>
      </w:tr>
      <w:tr w:rsidR="00AB3319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01.1.9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Produits alimentaires n.c.a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EB455E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EB455E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107,3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108,2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0,8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1,1</w:t>
            </w:r>
          </w:p>
        </w:tc>
      </w:tr>
      <w:tr w:rsidR="00AB3319" w:rsidRPr="005D4A4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01.2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Boissons non alcoolisées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105,7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109,9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110,3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4,4</w:t>
            </w:r>
          </w:p>
        </w:tc>
      </w:tr>
      <w:tr w:rsidR="00AB3319" w:rsidRPr="00811B76" w:rsidTr="00F24D06">
        <w:trPr>
          <w:trHeight w:val="269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01.2.1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Café, thé</w:t>
            </w: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 xml:space="preserve"> et cacao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107,4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118,7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119,2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11,0</w:t>
            </w:r>
          </w:p>
        </w:tc>
      </w:tr>
      <w:tr w:rsidR="00AB3319" w:rsidRPr="00811B76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color w:val="000000"/>
                <w:sz w:val="16"/>
                <w:szCs w:val="18"/>
                <w:lang w:eastAsia="fr-FR"/>
              </w:rPr>
              <w:t>01.2.2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42482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Eaux minérales, boissons rafraichissantes</w:t>
            </w:r>
            <w:r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 xml:space="preserve"> et </w:t>
            </w:r>
            <w:r w:rsidRPr="0042482E">
              <w:rPr>
                <w:rFonts w:ascii="Arial" w:eastAsia="Times New Roman" w:hAnsi="Arial" w:cs="Arial"/>
                <w:sz w:val="16"/>
                <w:szCs w:val="18"/>
                <w:lang w:eastAsia="fr-FR"/>
              </w:rPr>
              <w:t>jus de fruits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105,4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108,4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108,6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3,0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02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Boissons alcoolisées et tabac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107,1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113,6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7,1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03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Articles d'habillement et chaussures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108,2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115,0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116,0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0,9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7,2</w:t>
            </w:r>
          </w:p>
        </w:tc>
      </w:tr>
      <w:tr w:rsidR="00AB3319" w:rsidRPr="00F10D9B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10D9B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F766A5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04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10D9B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F10D9B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Logement, eau, gaz, électricité et autres combustibles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102,9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118,5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121,3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2,4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17,9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05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Meubles, articles de ménage et entretien courant du foyer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108,0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-0,4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5,6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06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Santé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101,9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112,4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111,0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8,9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07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Transports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109,8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117,2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116,6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-0,5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6,2</w:t>
            </w:r>
          </w:p>
        </w:tc>
      </w:tr>
      <w:tr w:rsidR="00AB3319" w:rsidRPr="00D7306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08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Communications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100,6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101,4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101,4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0,8</w:t>
            </w:r>
          </w:p>
        </w:tc>
      </w:tr>
      <w:tr w:rsidR="00AB3319" w:rsidRPr="00DD0C90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lastRenderedPageBreak/>
              <w:t>09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Loisirs et culture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104,9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113,6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113,8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8,5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10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Enseignement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101,5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136,2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136,2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34,2</w:t>
            </w:r>
          </w:p>
        </w:tc>
      </w:tr>
      <w:tr w:rsidR="00AB3319" w:rsidRPr="00F004DE" w:rsidTr="00236ED9">
        <w:trPr>
          <w:trHeight w:val="333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11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Restaurants et hôtels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106,2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112,6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112,7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0,1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6,1</w:t>
            </w:r>
          </w:p>
        </w:tc>
      </w:tr>
      <w:tr w:rsidR="00AB3319" w:rsidRPr="00F004DE" w:rsidTr="00236ED9">
        <w:trPr>
          <w:trHeight w:val="36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12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3E0DA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Biens et services divers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105,5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114,4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-0,2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  <w:t>8,4</w:t>
            </w:r>
          </w:p>
        </w:tc>
      </w:tr>
      <w:tr w:rsidR="006712EF" w:rsidRPr="0042482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6712EF" w:rsidRPr="0042482E" w:rsidRDefault="006712EF" w:rsidP="00236E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center"/>
            <w:hideMark/>
          </w:tcPr>
          <w:p w:rsidR="006712EF" w:rsidRPr="0042482E" w:rsidRDefault="006712EF" w:rsidP="00236E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</w:pPr>
            <w:r w:rsidRPr="0042482E">
              <w:rPr>
                <w:rFonts w:ascii="Arial" w:eastAsia="Times New Roman" w:hAnsi="Arial" w:cs="Arial"/>
                <w:b/>
                <w:bCs/>
                <w:sz w:val="16"/>
                <w:szCs w:val="18"/>
                <w:lang w:eastAsia="fr-FR"/>
              </w:rPr>
              <w:t>Autres Statistiques dérivées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712EF" w:rsidRPr="00CD1C61" w:rsidRDefault="006712EF" w:rsidP="00E715B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712EF" w:rsidRPr="00E715B1" w:rsidRDefault="006712EF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712EF" w:rsidRPr="00E715B1" w:rsidRDefault="006712EF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712EF" w:rsidRPr="00F94978" w:rsidRDefault="006712EF" w:rsidP="00E715B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vAlign w:val="bottom"/>
            <w:hideMark/>
          </w:tcPr>
          <w:p w:rsidR="006712EF" w:rsidRPr="00F94978" w:rsidRDefault="006712EF" w:rsidP="00E715B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</w:p>
        </w:tc>
      </w:tr>
      <w:tr w:rsidR="00E352FB" w:rsidRPr="00F004DE" w:rsidTr="00E003CD">
        <w:trPr>
          <w:trHeight w:val="33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F004DE" w:rsidRDefault="00E352FB" w:rsidP="00E003C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F004DE" w:rsidRDefault="00E352FB" w:rsidP="00E00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Sous-jacent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AB3319" w:rsidRDefault="00E352FB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DB4378" w:rsidRDefault="00E352FB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111</w:t>
            </w: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AB3319" w:rsidRDefault="00E352FB" w:rsidP="00E352FB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111</w:t>
            </w: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,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AB3319" w:rsidRDefault="00E352FB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2FB" w:rsidRPr="00AB3319" w:rsidRDefault="00E352FB" w:rsidP="00E003CD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2,0</w:t>
            </w:r>
          </w:p>
        </w:tc>
      </w:tr>
      <w:tr w:rsidR="00AB3319" w:rsidRPr="00F004DE" w:rsidTr="008A4DE4">
        <w:trPr>
          <w:trHeight w:val="33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Non alimentaire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114,6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115,0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0,3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8,8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Alimentaire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112,7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-8,7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Services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109,7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111,1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110,9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6,2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Biens Durables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106,5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113,9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-0,1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6,9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Biens Semi Durables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109,0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116,2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117,0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0,7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7,3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Biens Non Durables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121,6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114,2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115,6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-4,9</w:t>
            </w:r>
          </w:p>
        </w:tc>
      </w:tr>
      <w:tr w:rsidR="00AB3319" w:rsidRPr="003E0DA0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Energie, Carburant et Combustibles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106,1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133,0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137,3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3,2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29,4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sz w:val="16"/>
                <w:szCs w:val="18"/>
                <w:lang w:eastAsia="fr-FR"/>
              </w:rPr>
              <w:t>Echangeable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115,1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113,1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112,9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-1,9</w:t>
            </w:r>
          </w:p>
        </w:tc>
      </w:tr>
      <w:tr w:rsidR="00AB3319" w:rsidRPr="00F004DE" w:rsidTr="00236ED9">
        <w:trPr>
          <w:trHeight w:val="240"/>
        </w:trPr>
        <w:tc>
          <w:tcPr>
            <w:tcW w:w="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9" w:rsidRPr="00F004DE" w:rsidRDefault="00AB3319" w:rsidP="000B40E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3319" w:rsidRPr="00F004DE" w:rsidRDefault="00AB3319" w:rsidP="000B40E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</w:pPr>
            <w:r w:rsidRPr="00F004DE">
              <w:rPr>
                <w:rFonts w:ascii="Arial" w:eastAsia="Times New Roman" w:hAnsi="Arial" w:cs="Arial"/>
                <w:bCs/>
                <w:color w:val="000000"/>
                <w:sz w:val="16"/>
                <w:szCs w:val="18"/>
                <w:lang w:eastAsia="fr-FR"/>
              </w:rPr>
              <w:t>Non échangeables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115,9</w:t>
            </w:r>
          </w:p>
        </w:tc>
        <w:tc>
          <w:tcPr>
            <w:tcW w:w="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DB4378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DB4378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113,8</w:t>
            </w:r>
          </w:p>
        </w:tc>
        <w:tc>
          <w:tcPr>
            <w:tcW w:w="4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115,2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1,2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319" w:rsidRPr="00AB3319" w:rsidRDefault="00AB3319" w:rsidP="00AB3319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</w:pPr>
            <w:r w:rsidRPr="00AB3319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fr-FR"/>
              </w:rPr>
              <w:t>-0,6</w:t>
            </w:r>
          </w:p>
        </w:tc>
      </w:tr>
    </w:tbl>
    <w:p w:rsidR="00EB455E" w:rsidRDefault="00EB455E" w:rsidP="002379AD"/>
    <w:p w:rsidR="00EB455E" w:rsidRPr="002379AD" w:rsidRDefault="00EB455E" w:rsidP="002379AD"/>
    <w:p w:rsidR="00824869" w:rsidRDefault="00365406" w:rsidP="007E4CE8">
      <w:pPr>
        <w:pStyle w:val="Lgende"/>
        <w:rPr>
          <w:rFonts w:ascii="Arial" w:eastAsiaTheme="minorHAnsi" w:hAnsi="Arial" w:cs="Arial"/>
          <w:bCs w:val="0"/>
          <w:color w:val="0070C0"/>
          <w:sz w:val="22"/>
          <w:szCs w:val="22"/>
        </w:rPr>
      </w:pPr>
      <w:r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Tableau </w:t>
      </w:r>
      <w:r w:rsidR="00E7206A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begin"/>
      </w:r>
      <w:r w:rsidR="004142A5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instrText xml:space="preserve"> SEQ Tableau \* ARABIC </w:instrText>
      </w:r>
      <w:r w:rsidR="00E7206A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separate"/>
      </w:r>
      <w:r w:rsidR="00EA71A6">
        <w:rPr>
          <w:rFonts w:ascii="Arial" w:eastAsiaTheme="minorHAnsi" w:hAnsi="Arial" w:cs="Arial"/>
          <w:bCs w:val="0"/>
          <w:noProof/>
          <w:color w:val="0070C0"/>
          <w:sz w:val="22"/>
          <w:szCs w:val="22"/>
        </w:rPr>
        <w:t>2</w:t>
      </w:r>
      <w:r w:rsidR="00E7206A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fldChar w:fldCharType="end"/>
      </w:r>
      <w:r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 : </w:t>
      </w:r>
      <w:r w:rsidR="00F07A2E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t xml:space="preserve">Indice des prix des </w:t>
      </w:r>
      <w:r w:rsidR="005513DF" w:rsidRPr="004B64FD">
        <w:rPr>
          <w:rFonts w:ascii="Arial" w:eastAsiaTheme="minorHAnsi" w:hAnsi="Arial" w:cs="Arial"/>
          <w:bCs w:val="0"/>
          <w:color w:val="0070C0"/>
          <w:sz w:val="22"/>
          <w:szCs w:val="22"/>
        </w:rPr>
        <w:t>provinces</w:t>
      </w:r>
    </w:p>
    <w:tbl>
      <w:tblPr>
        <w:tblW w:w="5003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1"/>
        <w:gridCol w:w="1783"/>
        <w:gridCol w:w="1789"/>
        <w:gridCol w:w="1487"/>
        <w:gridCol w:w="1489"/>
        <w:gridCol w:w="1566"/>
      </w:tblGrid>
      <w:tr w:rsidR="00984997" w:rsidRPr="002928B2" w:rsidTr="00F333EB">
        <w:trPr>
          <w:trHeight w:val="315"/>
        </w:trPr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Province</w:t>
            </w: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Poids</w:t>
            </w: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Base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984997" w:rsidRPr="002928B2" w:rsidRDefault="00984997" w:rsidP="00E003C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Mars</w:t>
            </w: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-1</w:t>
            </w: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984997" w:rsidRPr="002928B2" w:rsidRDefault="00984997" w:rsidP="00E003C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Avril</w:t>
            </w: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-1</w:t>
            </w: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bottom"/>
          </w:tcPr>
          <w:p w:rsidR="00984997" w:rsidRPr="002928B2" w:rsidRDefault="002D354B" w:rsidP="002D354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Mai</w:t>
            </w:r>
            <w:r w:rsidR="00984997"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-1</w:t>
            </w:r>
            <w:r w:rsid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8</w:t>
            </w:r>
          </w:p>
        </w:tc>
      </w:tr>
      <w:tr w:rsidR="00CE7C6B" w:rsidRPr="002928B2" w:rsidTr="00F333EB">
        <w:trPr>
          <w:trHeight w:val="315"/>
        </w:trPr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:rsidR="00CE7C6B" w:rsidRPr="002928B2" w:rsidRDefault="00CE7C6B" w:rsidP="00F333E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  <w:tc>
          <w:tcPr>
            <w:tcW w:w="9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:rsidR="00CE7C6B" w:rsidRPr="002928B2" w:rsidRDefault="00CE7C6B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:rsidR="00CE7C6B" w:rsidRPr="002928B2" w:rsidRDefault="00CE7C6B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:rsidR="00CE7C6B" w:rsidRDefault="00CE7C6B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:rsidR="00CE7C6B" w:rsidRDefault="00CE7C6B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bottom"/>
          </w:tcPr>
          <w:p w:rsidR="00CE7C6B" w:rsidRDefault="00CE7C6B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 </w:t>
            </w: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Burundi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1000,0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E003CD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112,87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E003CD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113,58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E003CD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114,44</w:t>
            </w:r>
          </w:p>
        </w:tc>
      </w:tr>
      <w:tr w:rsidR="00984997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 </w:t>
            </w: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Urbain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294,3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112,75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114,99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vAlign w:val="bottom"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115,01</w:t>
            </w:r>
          </w:p>
        </w:tc>
      </w:tr>
      <w:tr w:rsidR="00984997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 </w:t>
            </w:r>
            <w:r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Rural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705,7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2928B2" w:rsidRDefault="00984997" w:rsidP="00F333EB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2928B2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112,90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noWrap/>
            <w:vAlign w:val="bottom"/>
            <w:hideMark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112,98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54061"/>
            <w:vAlign w:val="bottom"/>
          </w:tcPr>
          <w:p w:rsidR="00984997" w:rsidRPr="00984997" w:rsidRDefault="00984997" w:rsidP="00984997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</w:pPr>
            <w:r w:rsidRPr="00984997">
              <w:rPr>
                <w:rFonts w:ascii="Arial Black" w:eastAsia="Times New Roman" w:hAnsi="Arial Black" w:cs="Times New Roman"/>
                <w:b/>
                <w:bCs/>
                <w:color w:val="FFC000"/>
                <w:sz w:val="16"/>
                <w:szCs w:val="16"/>
                <w:lang w:eastAsia="fr-FR"/>
              </w:rPr>
              <w:t>114,19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Bubanza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47,0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110,45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110,94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113,90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Bujumbura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71,0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124,56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131,52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132,55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Bururi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34,1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110,91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110,65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110,14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Cankuzo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20,0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102,01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101,70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102,28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Cibitoke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69,1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107,21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105,59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105,04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Gitega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59,7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114,94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119,12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120,40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Karusi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28,4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111,61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113,83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111,25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Kayanza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53,9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104,22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102,60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106,48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Kirundo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56,7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121,22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122,82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121,81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Makamba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47,7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118,12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117,81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115,91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Muramvya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26,1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117,45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114,36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116,23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Muyinga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53,1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116,50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113,46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112,68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Mwaro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29,1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105,76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103,89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108,05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Ngozi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67,0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111,15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109,70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115,76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Rutana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40,1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114,52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110,58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112,86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Ruyigi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27,0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109,17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109,25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109,45</w:t>
            </w:r>
          </w:p>
        </w:tc>
      </w:tr>
      <w:tr w:rsidR="00E003CD" w:rsidRPr="002928B2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Rumonge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42,2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113,51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113,91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115,35</w:t>
            </w:r>
          </w:p>
        </w:tc>
      </w:tr>
      <w:tr w:rsidR="00E003CD" w:rsidRPr="00AC5A0A" w:rsidTr="00F333EB">
        <w:trPr>
          <w:trHeight w:val="315"/>
        </w:trPr>
        <w:tc>
          <w:tcPr>
            <w:tcW w:w="8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Bujumbura Mairie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227,7</w:t>
            </w:r>
          </w:p>
        </w:tc>
        <w:tc>
          <w:tcPr>
            <w:tcW w:w="9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2928B2" w:rsidRDefault="00E003CD" w:rsidP="00F333E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2928B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112,07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114,91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fr-FR"/>
              </w:rPr>
              <w:t>114,66</w:t>
            </w:r>
          </w:p>
        </w:tc>
      </w:tr>
    </w:tbl>
    <w:p w:rsidR="00782654" w:rsidRDefault="00782654" w:rsidP="00782654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3 : IPC Mairie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BUJUMBURA Mairie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147,6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89,1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83,4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96,5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97,5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E003CD" w:rsidRDefault="00E003CD"/>
    <w:p w:rsidR="00E003CD" w:rsidRDefault="00E003CD"/>
    <w:p w:rsidR="00E003CD" w:rsidRDefault="00E003CD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4 : IPC BUBANZA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Bubanza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640,3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630,3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38,7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135,7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89,5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336,9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58,3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154,0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151,0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57,6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41,1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26,6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E003CD" w:rsidRDefault="00E003CD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Tableau 5 : IPC Bujumbura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BUJUMBURA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122,7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124,6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131,5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132,5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557,7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140,1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139,9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553,7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140,3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140,1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46,3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296,2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293,8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38,8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146,1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271,4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49,9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70,5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163,7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164,0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53,7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E003CD" w:rsidRDefault="00E003CD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6 : IPC Bururi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Bururi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568,3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562,9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191,5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17,1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84,0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222,2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64,7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52,5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53,8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38,2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E003CD" w:rsidRDefault="00E003CD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7 : IPC Cankuzo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Cankuzo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101,7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102,3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589,8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585,6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93,5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147,4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338,1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21,3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12  Boissons non </w:t>
            </w:r>
            <w:r w:rsidR="00F7788A"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F7788A" w:rsidP="00F7788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Café</w:t>
            </w:r>
            <w:r w:rsidR="00E003CD"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, th</w:t>
            </w:r>
            <w:r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é</w:t>
            </w:r>
            <w:bookmarkStart w:id="2" w:name="_GoBack"/>
            <w:bookmarkEnd w:id="2"/>
            <w:r w:rsidR="00E003CD"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71,3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66,5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43,8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84,5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8 : IPC Cibitoke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Cibitoke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542,3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538,0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97,8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98,8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43,9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297,9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76,8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66,0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9 : IPC Gitega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Gitega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118,6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504,1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501,9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33,4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249,8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2,3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63,6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134,8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126,9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135,3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72,5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97,8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45,6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137,3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39,6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197,8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182,7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197,8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197,8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29,0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10 : IPC Karusi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Karuzi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600,0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598,4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132,7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154,7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346,4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98,9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99,3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99,3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99,6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66,4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128,1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26,8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38,4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143,9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143,9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143,9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11 : IPC Kayanza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Kayanza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585,3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581,7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97,7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322,0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3,6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50,1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49,9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32,5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26,7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12 : IPC Kirundo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Kirundo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126,4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122,8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121,2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122,8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589,2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581,5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138,4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131,6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130,8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20,7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171,0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170,5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329,7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155,8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147,1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98,7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63,1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29,3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13 : IPC Makamba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Makamba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117,8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624,0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617,9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145,0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153,0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306,0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122,2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141,9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33,0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133,0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14 : IPC Muramvya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Muramvya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117,5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511,6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504,7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124,7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139,9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89,6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231,1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22,7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73,6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128,5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142,4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56,8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37,0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40,4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185,7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187,6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185,7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27,1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140,2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125,1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15 : IPC Muyinga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Muyinga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120,0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596,2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144,8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163,3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49,9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137,5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135,3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127,0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367,4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149,4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148,6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127,0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51,1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35,7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301,9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302,6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16 : IPC Mwaro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Mwaro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103,9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608,1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597,4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96,6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87,9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143,2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55,9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278,8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24,4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99,6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123,2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61,8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63,1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57,6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42,5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42,9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22,3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23,0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17 : IPC Ngozi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Ngozi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545,4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540,6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98,3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124,6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130,5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63,5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153,8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151,1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149,1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306,3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122,7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60,5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87,7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35,8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28,0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137,0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140,3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121,0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19,3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18 : IPC Rutana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RUTANA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618,8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616,9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89,5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25,1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35,9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154,2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150,3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162,8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357,0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117,9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2,0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119,7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63,8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119,2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42,2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44,5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132,0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27,9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99,0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32,4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27,4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219,8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220,5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23,9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19 : IPC Ruyigi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Ruyigi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105,0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107,1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677,2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671,7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108,3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80,0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33,6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112,2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123,2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34,9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131,7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153,6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420,3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6,1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115,9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27,7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86,2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85,7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104,7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104,7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107,7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42,8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124,6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135,1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131,5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50,8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29,8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97,6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97,2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96,7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107,5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86,4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3B4869" w:rsidRDefault="003B4869"/>
    <w:p w:rsidR="003B4869" w:rsidRDefault="003B4869"/>
    <w:p w:rsidR="003B4869" w:rsidRDefault="003B4869"/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"/>
        <w:gridCol w:w="4107"/>
        <w:gridCol w:w="882"/>
        <w:gridCol w:w="710"/>
        <w:gridCol w:w="694"/>
        <w:gridCol w:w="806"/>
        <w:gridCol w:w="692"/>
        <w:gridCol w:w="651"/>
        <w:gridCol w:w="608"/>
        <w:gridCol w:w="160"/>
      </w:tblGrid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79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E003CD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lastRenderedPageBreak/>
              <w:t>Tableau 20 : IPC Rumonge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FR"/>
              </w:rPr>
            </w:pP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2100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bottom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Rumonge</w:t>
            </w:r>
          </w:p>
        </w:tc>
        <w:tc>
          <w:tcPr>
            <w:tcW w:w="45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POIDS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Base 2016</w:t>
            </w:r>
          </w:p>
        </w:tc>
        <w:tc>
          <w:tcPr>
            <w:tcW w:w="355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janvier-18</w:t>
            </w: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février-18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mars-18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avril-18</w:t>
            </w:r>
          </w:p>
        </w:tc>
        <w:tc>
          <w:tcPr>
            <w:tcW w:w="311" w:type="pct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mai-18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00</w:t>
            </w:r>
          </w:p>
        </w:tc>
        <w:tc>
          <w:tcPr>
            <w:tcW w:w="21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 xml:space="preserve">TOUS LES PRODUITS 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1 000,0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113,7</w:t>
            </w:r>
          </w:p>
        </w:tc>
        <w:tc>
          <w:tcPr>
            <w:tcW w:w="4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113,9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fr-FR"/>
              </w:rPr>
              <w:t>115,4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Produits alimentaires et boissons non alcoolisées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619,1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011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Produits alimentaires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614,3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112,8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114,5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111,6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113,6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Pains et céréales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Viandes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45,4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105,1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0113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Poissons et Fruits de mer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71,2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146,6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178,1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183,0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192,3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199,2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0114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Lait, fromage et œuf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113,3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114,6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110,3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0115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Huiles et graisses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38,8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93,4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95,4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116,4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129,8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0116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2,3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118,9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133,6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134,7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128,6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0117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Légumes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319,1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109,3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0118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Sucre, confiture, miel, chocolat et confiserie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12,4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101,5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0119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Produits alimentaires n.c.a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17,2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91,6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97,5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88,4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94,1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 xml:space="preserve">012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12  Boissons non alcoolisees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4,8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color w:val="4F81BD"/>
                <w:sz w:val="20"/>
                <w:szCs w:val="20"/>
                <w:lang w:eastAsia="fr-FR"/>
              </w:rPr>
              <w:t>105,5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0121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Cafe, the et cacao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1,0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100,6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 xml:space="preserve">0122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Eaux minérales, boissons rafraichissantes et jus de fruits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3,8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i/>
                <w:i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Boissons alcoolisées et tabac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10,6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111,3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112,9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03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Articles d'habillement et chaussures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45,2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108,5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114,3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04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Logement, eau, gaz, électricité et autres combustibles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48,5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167,9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163,9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176,6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175,2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174,5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05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Meubles, articles de ménage et entretien courant du foyer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51,8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116,1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117,3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118,5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06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Santé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29,9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102,0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07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Transports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45,8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115,8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106,9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08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Communications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35,3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101,2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101,3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100,1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09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Loisirs et culture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12,5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90,9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91,1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90,7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92,1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93,4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10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Enseignement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8,4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106,8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11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Restaurants et hôtels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64,2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109,7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111,8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114,4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E003CD" w:rsidRPr="00E003CD" w:rsidTr="00E003CD">
        <w:trPr>
          <w:trHeight w:val="315"/>
        </w:trPr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 xml:space="preserve">12   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Biens et services divers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22,1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100,0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102,6</w:t>
            </w:r>
          </w:p>
        </w:tc>
        <w:tc>
          <w:tcPr>
            <w:tcW w:w="4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102,5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103,9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104,0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</w:pPr>
            <w:r w:rsidRPr="00E003C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fr-FR"/>
              </w:rPr>
              <w:t>106,0</w:t>
            </w:r>
          </w:p>
        </w:tc>
        <w:tc>
          <w:tcPr>
            <w:tcW w:w="82" w:type="pct"/>
            <w:vAlign w:val="center"/>
            <w:hideMark/>
          </w:tcPr>
          <w:p w:rsidR="00E003CD" w:rsidRPr="00E003CD" w:rsidRDefault="00E003CD" w:rsidP="00E00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046AF3" w:rsidRDefault="00046AF3" w:rsidP="007433C2"/>
    <w:p w:rsidR="003B4869" w:rsidRDefault="003B4869" w:rsidP="007433C2">
      <w:pPr>
        <w:rPr>
          <w:rFonts w:ascii="Calibri" w:eastAsia="Times New Roman" w:hAnsi="Calibri" w:cs="Times New Roman"/>
          <w:color w:val="000000"/>
          <w:sz w:val="20"/>
          <w:szCs w:val="20"/>
          <w:lang w:eastAsia="fr-FR"/>
        </w:rPr>
      </w:pPr>
    </w:p>
    <w:p w:rsidR="00F71AC6" w:rsidRDefault="00F71AC6"/>
    <w:p w:rsidR="00F71AC6" w:rsidRDefault="00F71AC6"/>
    <w:p w:rsidR="001145E9" w:rsidRPr="004B64FD" w:rsidRDefault="001145E9" w:rsidP="00E606A1">
      <w:pPr>
        <w:pBdr>
          <w:top w:val="single" w:sz="2" w:space="1" w:color="auto"/>
          <w:left w:val="single" w:sz="2" w:space="0" w:color="auto"/>
          <w:bottom w:val="single" w:sz="2" w:space="1" w:color="auto"/>
          <w:right w:val="single" w:sz="2" w:space="4" w:color="auto"/>
          <w:between w:val="single" w:sz="2" w:space="1" w:color="auto"/>
          <w:bar w:val="single" w:sz="2" w:color="auto"/>
        </w:pBdr>
        <w:shd w:val="clear" w:color="auto" w:fill="D9D9D9"/>
        <w:jc w:val="both"/>
        <w:rPr>
          <w:rFonts w:ascii="Arial" w:hAnsi="Arial" w:cs="Arial"/>
          <w:b/>
          <w:bCs/>
          <w:color w:val="002060"/>
          <w:sz w:val="20"/>
          <w:szCs w:val="20"/>
        </w:rPr>
      </w:pPr>
      <w:r w:rsidRPr="004B64FD">
        <w:rPr>
          <w:rFonts w:ascii="Arial" w:hAnsi="Arial" w:cs="Arial"/>
          <w:b/>
          <w:bCs/>
          <w:color w:val="002060"/>
          <w:sz w:val="20"/>
          <w:szCs w:val="20"/>
        </w:rPr>
        <w:lastRenderedPageBreak/>
        <w:t>Note méthodologique</w:t>
      </w:r>
    </w:p>
    <w:p w:rsidR="001145E9" w:rsidRPr="004B64FD" w:rsidRDefault="001145E9" w:rsidP="00F80057">
      <w:pPr>
        <w:rPr>
          <w:b/>
          <w:i/>
          <w:sz w:val="20"/>
          <w:szCs w:val="20"/>
        </w:rPr>
      </w:pPr>
      <w:r w:rsidRPr="004B64FD">
        <w:rPr>
          <w:b/>
          <w:i/>
          <w:sz w:val="20"/>
          <w:szCs w:val="20"/>
          <w:highlight w:val="lightGray"/>
        </w:rPr>
        <w:t>1 Définition et couverture</w:t>
      </w:r>
    </w:p>
    <w:p w:rsidR="001145E9" w:rsidRPr="004B64FD" w:rsidRDefault="001145E9" w:rsidP="00F20C74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L'indice des prix à la consommation (IPC) est la principale mesure officielle de la hausse ou baisse des prix</w:t>
      </w:r>
      <w:r w:rsidR="00F80057" w:rsidRPr="004B64FD">
        <w:rPr>
          <w:rFonts w:ascii="Arial" w:hAnsi="Arial" w:cs="Arial"/>
          <w:sz w:val="20"/>
          <w:szCs w:val="20"/>
        </w:rPr>
        <w:t xml:space="preserve"> à la consommation des ménages</w:t>
      </w:r>
      <w:r w:rsidRPr="004B64FD">
        <w:rPr>
          <w:rFonts w:ascii="Arial" w:hAnsi="Arial" w:cs="Arial"/>
          <w:sz w:val="20"/>
          <w:szCs w:val="20"/>
        </w:rPr>
        <w:t xml:space="preserve"> au Burundi. Il couvre la consommation des ménages au sens de la comptabilité nationale. La population de référence est constituée de l'ensemble des ménages résidant dans </w:t>
      </w:r>
      <w:r w:rsidR="00F80057" w:rsidRPr="004B64FD">
        <w:rPr>
          <w:rFonts w:ascii="Arial" w:hAnsi="Arial" w:cs="Arial"/>
          <w:sz w:val="20"/>
          <w:szCs w:val="20"/>
        </w:rPr>
        <w:t>les 18 provinces du Burundi, en milieu urbain et rural</w:t>
      </w:r>
      <w:r w:rsidRPr="004B64FD">
        <w:rPr>
          <w:rFonts w:ascii="Arial" w:hAnsi="Arial" w:cs="Arial"/>
          <w:sz w:val="20"/>
          <w:szCs w:val="20"/>
        </w:rPr>
        <w:t xml:space="preserve">. L’année de base de l’IPC est </w:t>
      </w:r>
      <w:r w:rsidR="00F80057" w:rsidRPr="004B64FD">
        <w:rPr>
          <w:rFonts w:ascii="Arial" w:hAnsi="Arial" w:cs="Arial"/>
          <w:sz w:val="20"/>
          <w:szCs w:val="20"/>
        </w:rPr>
        <w:t>2016/2017 (de février 2016 à janvier 2017)</w:t>
      </w:r>
      <w:r w:rsidRPr="004B64FD">
        <w:rPr>
          <w:rFonts w:ascii="Arial" w:hAnsi="Arial" w:cs="Arial"/>
          <w:sz w:val="20"/>
          <w:szCs w:val="20"/>
        </w:rPr>
        <w:t>.</w:t>
      </w:r>
    </w:p>
    <w:p w:rsidR="001145E9" w:rsidRPr="004B64FD" w:rsidRDefault="001145E9" w:rsidP="00F80057">
      <w:pPr>
        <w:rPr>
          <w:b/>
          <w:i/>
          <w:sz w:val="20"/>
          <w:szCs w:val="20"/>
        </w:rPr>
      </w:pPr>
      <w:r w:rsidRPr="004B64FD">
        <w:rPr>
          <w:b/>
          <w:i/>
          <w:sz w:val="20"/>
          <w:szCs w:val="20"/>
          <w:highlight w:val="lightGray"/>
        </w:rPr>
        <w:t>2 Panier/Pondération</w:t>
      </w:r>
    </w:p>
    <w:p w:rsidR="00F80057" w:rsidRPr="004B64FD" w:rsidRDefault="004A29F7" w:rsidP="00F20C74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L’IPC </w:t>
      </w:r>
      <w:r w:rsidR="00F80057" w:rsidRPr="004B64FD">
        <w:rPr>
          <w:rFonts w:ascii="Arial" w:hAnsi="Arial" w:cs="Arial"/>
          <w:sz w:val="20"/>
          <w:szCs w:val="20"/>
        </w:rPr>
        <w:t>est basé sur l'observation d'un panier fixe de biens et services, actualisé chaque année. Chaque produit est pondéré, dans l'indice global, proportionnellement à son poids dans la dépense de consommation des ménages.</w:t>
      </w:r>
    </w:p>
    <w:p w:rsidR="001145E9" w:rsidRPr="004B64FD" w:rsidRDefault="001145E9" w:rsidP="00F20C74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Le panier de la ménagère comprend </w:t>
      </w:r>
      <w:r w:rsidR="00F80057" w:rsidRPr="004B64FD">
        <w:rPr>
          <w:rFonts w:ascii="Arial" w:hAnsi="Arial" w:cs="Arial"/>
          <w:sz w:val="20"/>
          <w:szCs w:val="20"/>
        </w:rPr>
        <w:t xml:space="preserve">environ </w:t>
      </w:r>
      <w:r w:rsidR="00BF2412">
        <w:rPr>
          <w:rFonts w:ascii="Arial" w:hAnsi="Arial" w:cs="Arial"/>
          <w:sz w:val="20"/>
          <w:szCs w:val="20"/>
        </w:rPr>
        <w:t>7</w:t>
      </w:r>
      <w:r w:rsidR="00C14E9B">
        <w:rPr>
          <w:rFonts w:ascii="Arial" w:hAnsi="Arial" w:cs="Arial"/>
          <w:sz w:val="20"/>
          <w:szCs w:val="20"/>
        </w:rPr>
        <w:t>70</w:t>
      </w:r>
      <w:r w:rsidRPr="004B64FD">
        <w:rPr>
          <w:rFonts w:ascii="Arial" w:hAnsi="Arial" w:cs="Arial"/>
          <w:sz w:val="20"/>
          <w:szCs w:val="20"/>
        </w:rPr>
        <w:t xml:space="preserve"> variétés qui sont classées dans les 12 fonctions de la COICOP (Classification Of IndividualConsumption by Purpose) qui constituent la consommation finale des ménages.</w:t>
      </w:r>
    </w:p>
    <w:p w:rsidR="001145E9" w:rsidRPr="004B64FD" w:rsidRDefault="001145E9" w:rsidP="00F20C74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 xml:space="preserve">Les pondérations proviennent </w:t>
      </w:r>
      <w:r w:rsidR="006A52CA">
        <w:rPr>
          <w:rFonts w:ascii="Arial" w:hAnsi="Arial" w:cs="Arial"/>
          <w:sz w:val="20"/>
          <w:szCs w:val="20"/>
        </w:rPr>
        <w:t xml:space="preserve">de </w:t>
      </w:r>
      <w:r w:rsidR="00F80057" w:rsidRPr="004B64FD">
        <w:rPr>
          <w:rFonts w:ascii="Arial" w:hAnsi="Arial" w:cs="Arial"/>
          <w:sz w:val="20"/>
          <w:szCs w:val="20"/>
        </w:rPr>
        <w:t>l’enquête sur les conditions de vie des ménages au Burundi (ECVMB 2013/2014)</w:t>
      </w:r>
      <w:r w:rsidRPr="004B64FD">
        <w:rPr>
          <w:rFonts w:ascii="Arial" w:hAnsi="Arial" w:cs="Arial"/>
          <w:sz w:val="20"/>
          <w:szCs w:val="20"/>
        </w:rPr>
        <w:t xml:space="preserve">, ajustée avec les données des comptes de la nation de </w:t>
      </w:r>
      <w:r w:rsidR="00F80057" w:rsidRPr="004B64FD">
        <w:rPr>
          <w:rFonts w:ascii="Arial" w:hAnsi="Arial" w:cs="Arial"/>
          <w:sz w:val="20"/>
          <w:szCs w:val="20"/>
        </w:rPr>
        <w:t>2014</w:t>
      </w:r>
      <w:r w:rsidRPr="004B64FD">
        <w:rPr>
          <w:rFonts w:ascii="Arial" w:hAnsi="Arial" w:cs="Arial"/>
          <w:sz w:val="20"/>
          <w:szCs w:val="20"/>
        </w:rPr>
        <w:t>. Les dépenses ont été mises à jour en tenant compte de la variation du niveau des prix entre la période de référence des pondérations (</w:t>
      </w:r>
      <w:r w:rsidR="00F80057" w:rsidRPr="004B64FD">
        <w:rPr>
          <w:rFonts w:ascii="Arial" w:hAnsi="Arial" w:cs="Arial"/>
          <w:sz w:val="20"/>
          <w:szCs w:val="20"/>
        </w:rPr>
        <w:t>2013/2014</w:t>
      </w:r>
      <w:r w:rsidRPr="004B64FD">
        <w:rPr>
          <w:rFonts w:ascii="Arial" w:hAnsi="Arial" w:cs="Arial"/>
          <w:sz w:val="20"/>
          <w:szCs w:val="20"/>
        </w:rPr>
        <w:t>) et la période de référence de l’indice (</w:t>
      </w:r>
      <w:r w:rsidR="00F80057" w:rsidRPr="004B64FD">
        <w:rPr>
          <w:rFonts w:ascii="Arial" w:hAnsi="Arial" w:cs="Arial"/>
          <w:sz w:val="20"/>
          <w:szCs w:val="20"/>
        </w:rPr>
        <w:t>2016/2017</w:t>
      </w:r>
      <w:r w:rsidRPr="004B64FD">
        <w:rPr>
          <w:rFonts w:ascii="Arial" w:hAnsi="Arial" w:cs="Arial"/>
          <w:sz w:val="20"/>
          <w:szCs w:val="20"/>
        </w:rPr>
        <w:t>).</w:t>
      </w:r>
    </w:p>
    <w:p w:rsidR="001145E9" w:rsidRPr="004B64FD" w:rsidRDefault="00463825" w:rsidP="00F80057">
      <w:pPr>
        <w:rPr>
          <w:b/>
          <w:i/>
          <w:sz w:val="20"/>
          <w:szCs w:val="20"/>
        </w:rPr>
      </w:pPr>
      <w:r w:rsidRPr="004B64FD">
        <w:rPr>
          <w:b/>
          <w:i/>
          <w:sz w:val="20"/>
          <w:szCs w:val="20"/>
          <w:highlight w:val="lightGray"/>
        </w:rPr>
        <w:t>3</w:t>
      </w:r>
      <w:r w:rsidR="001145E9" w:rsidRPr="004B64FD">
        <w:rPr>
          <w:b/>
          <w:i/>
          <w:sz w:val="20"/>
          <w:szCs w:val="20"/>
          <w:highlight w:val="lightGray"/>
        </w:rPr>
        <w:t xml:space="preserve"> Méthodologie</w:t>
      </w:r>
    </w:p>
    <w:p w:rsidR="001145E9" w:rsidRPr="004B64FD" w:rsidRDefault="001145E9" w:rsidP="00F20C74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Les relevés des prix sont effectués chaque mois par les enquêteurs permanents de l’Institut de Statistiques et d’Etudes Economiques du Burundi. Tous les types de points de vente sont concernés : marchés, supermarchés, boutiques, prestataires de services publics et privés, etc. La formule de calcul pour le niveau élémentaire est celle reconnue sous le nom de Jevons (qui recourt à la moyenne Géométrique des prix), tandis que celle utilisée pour l’agrégation au niveau supérieur est la moyenne arithmétique pondérée.</w:t>
      </w:r>
    </w:p>
    <w:p w:rsidR="001145E9" w:rsidRPr="004B64FD" w:rsidRDefault="001145E9" w:rsidP="00E606A1">
      <w:pPr>
        <w:jc w:val="both"/>
        <w:rPr>
          <w:rFonts w:ascii="Arial" w:hAnsi="Arial" w:cs="Arial"/>
          <w:sz w:val="20"/>
          <w:szCs w:val="20"/>
        </w:rPr>
      </w:pPr>
      <w:r w:rsidRPr="004B64FD">
        <w:rPr>
          <w:rFonts w:ascii="Arial" w:hAnsi="Arial" w:cs="Arial"/>
          <w:sz w:val="20"/>
          <w:szCs w:val="20"/>
        </w:rPr>
        <w:t>Des compléments méthodologiques sont disponibles au niveau de l’ISTEEBU, au niveau du service en charge de la production de l’IPC.</w:t>
      </w:r>
    </w:p>
    <w:p w:rsidR="00DB692E" w:rsidRPr="004B64FD" w:rsidRDefault="00463825" w:rsidP="00DB692E">
      <w:pPr>
        <w:rPr>
          <w:sz w:val="20"/>
          <w:szCs w:val="20"/>
        </w:rPr>
      </w:pPr>
      <w:r w:rsidRPr="004B64FD">
        <w:rPr>
          <w:b/>
          <w:i/>
          <w:sz w:val="20"/>
          <w:szCs w:val="20"/>
          <w:highlight w:val="lightGray"/>
        </w:rPr>
        <w:t>4</w:t>
      </w:r>
      <w:r w:rsidR="00DB692E" w:rsidRPr="004B64FD">
        <w:rPr>
          <w:b/>
          <w:i/>
          <w:sz w:val="20"/>
          <w:szCs w:val="20"/>
          <w:highlight w:val="lightGray"/>
        </w:rPr>
        <w:t xml:space="preserve"> Contacts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1145E9" w:rsidRPr="004B64FD" w:rsidTr="00463825">
        <w:tc>
          <w:tcPr>
            <w:tcW w:w="9072" w:type="dxa"/>
            <w:shd w:val="clear" w:color="auto" w:fill="auto"/>
          </w:tcPr>
          <w:p w:rsidR="00DB692E" w:rsidRPr="004B64FD" w:rsidRDefault="00DB692E" w:rsidP="00DB692E">
            <w:pPr>
              <w:pStyle w:val="Sansinterligne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B692E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4FD">
              <w:rPr>
                <w:rFonts w:ascii="Arial" w:hAnsi="Arial" w:cs="Arial"/>
                <w:b/>
                <w:sz w:val="20"/>
                <w:szCs w:val="20"/>
              </w:rPr>
              <w:t>Institut de Statistiques et d’Etudes Economiques du Burundi</w:t>
            </w:r>
          </w:p>
          <w:p w:rsidR="001145E9" w:rsidRPr="004B64FD" w:rsidRDefault="0025579F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>B.P 1156 Bujumbura</w:t>
            </w:r>
          </w:p>
          <w:p w:rsidR="00DB692E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>Tél. : (257) 22</w:t>
            </w:r>
            <w:r w:rsidR="00DB692E" w:rsidRPr="004B64FD">
              <w:rPr>
                <w:rFonts w:ascii="Arial" w:hAnsi="Arial" w:cs="Arial"/>
                <w:i/>
                <w:sz w:val="20"/>
                <w:szCs w:val="20"/>
              </w:rPr>
              <w:t>-222 149/ 22-</w:t>
            </w:r>
            <w:r w:rsidRPr="004B64FD">
              <w:rPr>
                <w:rFonts w:ascii="Arial" w:hAnsi="Arial" w:cs="Arial"/>
                <w:i/>
                <w:sz w:val="20"/>
                <w:szCs w:val="20"/>
              </w:rPr>
              <w:t>226</w:t>
            </w:r>
            <w:r w:rsidR="00DB692E" w:rsidRPr="004B64FD">
              <w:rPr>
                <w:rFonts w:ascii="Arial" w:hAnsi="Arial" w:cs="Arial"/>
                <w:i/>
                <w:sz w:val="20"/>
                <w:szCs w:val="20"/>
              </w:rPr>
              <w:t> </w:t>
            </w:r>
            <w:r w:rsidRPr="004B64FD">
              <w:rPr>
                <w:rFonts w:ascii="Arial" w:hAnsi="Arial" w:cs="Arial"/>
                <w:i/>
                <w:sz w:val="20"/>
                <w:szCs w:val="20"/>
              </w:rPr>
              <w:t>729</w:t>
            </w:r>
          </w:p>
          <w:p w:rsidR="001145E9" w:rsidRPr="004B64FD" w:rsidRDefault="00DB692E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>Fax : (257) 22-</w:t>
            </w:r>
            <w:r w:rsidR="0025579F" w:rsidRPr="004B64FD">
              <w:rPr>
                <w:rFonts w:ascii="Arial" w:hAnsi="Arial" w:cs="Arial"/>
                <w:i/>
                <w:sz w:val="20"/>
                <w:szCs w:val="20"/>
              </w:rPr>
              <w:t>222 635</w:t>
            </w:r>
          </w:p>
          <w:p w:rsidR="001145E9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e-mail : </w:t>
            </w:r>
            <w:hyperlink r:id="rId25" w:history="1">
              <w:r w:rsidRPr="004B64FD">
                <w:rPr>
                  <w:rStyle w:val="Lienhypertexte"/>
                  <w:rFonts w:ascii="Arial" w:hAnsi="Arial" w:cs="Arial"/>
                  <w:i/>
                  <w:sz w:val="20"/>
                  <w:szCs w:val="20"/>
                  <w:lang w:val="en-US"/>
                </w:rPr>
                <w:t>isteebu@isteebu.bi</w:t>
              </w:r>
            </w:hyperlink>
          </w:p>
          <w:p w:rsidR="001145E9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  <w:lang w:val="en-US"/>
              </w:rPr>
              <w:t>Site web : www.isteebu.bi</w:t>
            </w:r>
          </w:p>
          <w:p w:rsidR="001145E9" w:rsidRPr="004B64FD" w:rsidRDefault="001145E9" w:rsidP="00E606A1">
            <w:pPr>
              <w:pStyle w:val="Sansinterligne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:rsidR="001145E9" w:rsidRPr="004B64FD" w:rsidRDefault="00DB692E" w:rsidP="00DB692E">
            <w:pPr>
              <w:pStyle w:val="Sansinterligne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64FD">
              <w:rPr>
                <w:rFonts w:ascii="Arial" w:hAnsi="Arial" w:cs="Arial"/>
                <w:b/>
                <w:sz w:val="20"/>
                <w:szCs w:val="20"/>
              </w:rPr>
              <w:t>Direction</w:t>
            </w:r>
            <w:r w:rsidR="001145E9" w:rsidRPr="004B64FD">
              <w:rPr>
                <w:rFonts w:ascii="Arial" w:hAnsi="Arial" w:cs="Arial"/>
                <w:b/>
                <w:sz w:val="20"/>
                <w:szCs w:val="20"/>
              </w:rPr>
              <w:t xml:space="preserve"> des Etudes et Statistiques Economiques et Financières</w:t>
            </w:r>
          </w:p>
          <w:p w:rsidR="001145E9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>Tél</w:t>
            </w:r>
            <w:r w:rsidR="00DB692E" w:rsidRPr="004B64FD">
              <w:rPr>
                <w:rFonts w:ascii="Arial" w:hAnsi="Arial" w:cs="Arial"/>
                <w:i/>
                <w:sz w:val="20"/>
                <w:szCs w:val="20"/>
              </w:rPr>
              <w:t xml:space="preserve"> fixe (257) 22-216 7</w:t>
            </w:r>
            <w:r w:rsidRPr="004B64FD">
              <w:rPr>
                <w:rFonts w:ascii="Arial" w:hAnsi="Arial" w:cs="Arial"/>
                <w:i/>
                <w:sz w:val="20"/>
                <w:szCs w:val="20"/>
              </w:rPr>
              <w:t>35</w:t>
            </w:r>
          </w:p>
          <w:p w:rsidR="00DB692E" w:rsidRPr="004B64FD" w:rsidRDefault="00C614B3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hyperlink r:id="rId26" w:history="1">
              <w:r w:rsidR="00DB692E" w:rsidRPr="004B64FD">
                <w:rPr>
                  <w:rStyle w:val="Lienhypertexte"/>
                  <w:rFonts w:ascii="Arial" w:hAnsi="Arial" w:cs="Arial"/>
                  <w:i/>
                  <w:sz w:val="20"/>
                  <w:szCs w:val="20"/>
                </w:rPr>
                <w:t>Isteebu.desef@gmail.com</w:t>
              </w:r>
            </w:hyperlink>
          </w:p>
          <w:p w:rsidR="00DB692E" w:rsidRPr="004B64FD" w:rsidRDefault="00DB692E" w:rsidP="00DB692E">
            <w:pPr>
              <w:pStyle w:val="Sansinterligne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B692E" w:rsidRPr="004B64FD" w:rsidRDefault="00DB692E" w:rsidP="00DB692E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4FD">
              <w:rPr>
                <w:rFonts w:ascii="Arial" w:hAnsi="Arial" w:cs="Arial"/>
                <w:b/>
                <w:sz w:val="20"/>
                <w:szCs w:val="20"/>
              </w:rPr>
              <w:t>NIBIGIRA Mélance</w:t>
            </w:r>
          </w:p>
          <w:p w:rsidR="00DB692E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4FD">
              <w:rPr>
                <w:rFonts w:ascii="Arial" w:hAnsi="Arial" w:cs="Arial"/>
                <w:sz w:val="20"/>
                <w:szCs w:val="20"/>
              </w:rPr>
              <w:t>Statisticien ch</w:t>
            </w:r>
            <w:r w:rsidR="00DB692E" w:rsidRPr="004B64FD">
              <w:rPr>
                <w:rFonts w:ascii="Arial" w:hAnsi="Arial" w:cs="Arial"/>
                <w:sz w:val="20"/>
                <w:szCs w:val="20"/>
              </w:rPr>
              <w:t>argé des Statistiques sur les Prix</w:t>
            </w:r>
          </w:p>
          <w:p w:rsidR="001145E9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 xml:space="preserve">Tél </w:t>
            </w:r>
            <w:r w:rsidR="00DB692E" w:rsidRPr="004B64FD">
              <w:rPr>
                <w:rFonts w:ascii="Arial" w:hAnsi="Arial" w:cs="Arial"/>
                <w:i/>
                <w:sz w:val="20"/>
                <w:szCs w:val="20"/>
              </w:rPr>
              <w:t>fixe (257) 22-</w:t>
            </w:r>
            <w:r w:rsidRPr="004B64FD">
              <w:rPr>
                <w:rFonts w:ascii="Arial" w:hAnsi="Arial" w:cs="Arial"/>
                <w:i/>
                <w:sz w:val="20"/>
                <w:szCs w:val="20"/>
              </w:rPr>
              <w:t>275 482</w:t>
            </w:r>
          </w:p>
          <w:p w:rsidR="00DB692E" w:rsidRPr="004B64FD" w:rsidRDefault="001145E9" w:rsidP="00DB692E">
            <w:pPr>
              <w:pStyle w:val="Sansinterligne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B64FD">
              <w:rPr>
                <w:rFonts w:ascii="Arial" w:hAnsi="Arial" w:cs="Arial"/>
                <w:i/>
                <w:sz w:val="20"/>
                <w:szCs w:val="20"/>
              </w:rPr>
              <w:t xml:space="preserve">e-mail : </w:t>
            </w:r>
            <w:hyperlink r:id="rId27" w:history="1">
              <w:r w:rsidRPr="004B64FD">
                <w:rPr>
                  <w:rStyle w:val="Lienhypertexte"/>
                  <w:rFonts w:ascii="Arial" w:hAnsi="Arial" w:cs="Arial"/>
                  <w:i/>
                  <w:sz w:val="20"/>
                  <w:szCs w:val="20"/>
                </w:rPr>
                <w:t>m.nibigira@isteebu.bi</w:t>
              </w:r>
            </w:hyperlink>
            <w:r w:rsidR="00DB692E" w:rsidRPr="004B64FD">
              <w:rPr>
                <w:rFonts w:ascii="Arial" w:hAnsi="Arial" w:cs="Arial"/>
                <w:sz w:val="20"/>
                <w:szCs w:val="20"/>
              </w:rPr>
              <w:t xml:space="preserve"> ou </w:t>
            </w:r>
            <w:hyperlink r:id="rId28" w:history="1">
              <w:r w:rsidR="00DB692E" w:rsidRPr="004B64FD">
                <w:rPr>
                  <w:rStyle w:val="Lienhypertexte"/>
                  <w:rFonts w:ascii="Arial" w:hAnsi="Arial" w:cs="Arial"/>
                  <w:sz w:val="20"/>
                  <w:szCs w:val="20"/>
                </w:rPr>
                <w:t>nimela2006@gmail.com</w:t>
              </w:r>
            </w:hyperlink>
          </w:p>
          <w:p w:rsidR="001145E9" w:rsidRPr="004B64FD" w:rsidRDefault="001145E9" w:rsidP="00E606A1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63825" w:rsidRDefault="00463825" w:rsidP="00DB692E"/>
    <w:sectPr w:rsidR="00463825" w:rsidSect="00584FAB">
      <w:footerReference w:type="even" r:id="rId29"/>
      <w:footerReference w:type="default" r:id="rId30"/>
      <w:footerReference w:type="first" r:id="rId31"/>
      <w:pgSz w:w="11906" w:h="16838"/>
      <w:pgMar w:top="1417" w:right="1558" w:bottom="1417" w:left="709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4B3" w:rsidRDefault="00C614B3" w:rsidP="00121C0D">
      <w:pPr>
        <w:spacing w:after="0" w:line="240" w:lineRule="auto"/>
      </w:pPr>
      <w:r>
        <w:separator/>
      </w:r>
    </w:p>
  </w:endnote>
  <w:endnote w:type="continuationSeparator" w:id="0">
    <w:p w:rsidR="00C614B3" w:rsidRDefault="00C614B3" w:rsidP="00121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uphemia">
    <w:altName w:val="Gadugi"/>
    <w:charset w:val="00"/>
    <w:family w:val="swiss"/>
    <w:pitch w:val="variable"/>
    <w:sig w:usb0="00000003" w:usb1="0000004A" w:usb2="00002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685523"/>
      <w:docPartObj>
        <w:docPartGallery w:val="Page Numbers (Bottom of Page)"/>
        <w:docPartUnique/>
      </w:docPartObj>
    </w:sdtPr>
    <w:sdtEndPr/>
    <w:sdtContent>
      <w:p w:rsidR="00E003CD" w:rsidRDefault="00C614B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E003CD" w:rsidRDefault="00E7206A">
                    <w:pPr>
                      <w:jc w:val="center"/>
                    </w:pPr>
                    <w:r>
                      <w:fldChar w:fldCharType="begin"/>
                    </w:r>
                    <w:r w:rsidR="00E003CD">
                      <w:instrText xml:space="preserve"> PAGE    \* MERGEFORMAT </w:instrText>
                    </w:r>
                    <w:r>
                      <w:fldChar w:fldCharType="separate"/>
                    </w:r>
                    <w:r w:rsidR="00F7788A" w:rsidRPr="00F7788A">
                      <w:rPr>
                        <w:noProof/>
                        <w:sz w:val="16"/>
                        <w:szCs w:val="16"/>
                      </w:rPr>
                      <w:t>10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b/>
        <w:i/>
        <w:color w:val="00B050"/>
        <w:sz w:val="18"/>
      </w:rPr>
      <w:id w:val="92623956"/>
      <w:docPartObj>
        <w:docPartGallery w:val="Page Numbers (Bottom of Page)"/>
        <w:docPartUnique/>
      </w:docPartObj>
    </w:sdtPr>
    <w:sdtEndPr/>
    <w:sdtContent>
      <w:p w:rsidR="00E003CD" w:rsidRPr="00EE0406" w:rsidRDefault="00C614B3" w:rsidP="00960F98">
        <w:pPr>
          <w:pStyle w:val="Pieddepage"/>
          <w:pBdr>
            <w:top w:val="single" w:sz="4" w:space="1" w:color="auto"/>
          </w:pBdr>
          <w:jc w:val="center"/>
          <w:rPr>
            <w:rFonts w:ascii="Arial" w:hAnsi="Arial" w:cs="Arial"/>
            <w:b/>
            <w:i/>
            <w:color w:val="00B050"/>
            <w:sz w:val="18"/>
          </w:rPr>
        </w:pPr>
        <w:r>
          <w:rPr>
            <w:rFonts w:ascii="Arial" w:hAnsi="Arial" w:cs="Arial"/>
            <w:b/>
            <w:i/>
            <w:noProof/>
            <w:color w:val="00B050"/>
            <w:sz w:val="18"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3" type="#_x0000_t65" style="position:absolute;left:0;text-align:left;margin-left:0;margin-top:664.5pt;width:29pt;height:21.6pt;z-index:251664384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3">
                <w:txbxContent>
                  <w:p w:rsidR="00E003CD" w:rsidRDefault="00E7206A">
                    <w:pPr>
                      <w:jc w:val="center"/>
                    </w:pPr>
                    <w:r>
                      <w:fldChar w:fldCharType="begin"/>
                    </w:r>
                    <w:r w:rsidR="00E003CD">
                      <w:instrText xml:space="preserve"> PAGE    \* MERGEFORMAT </w:instrText>
                    </w:r>
                    <w:r>
                      <w:fldChar w:fldCharType="separate"/>
                    </w:r>
                    <w:r w:rsidR="00F7788A" w:rsidRPr="00F7788A">
                      <w:rPr>
                        <w:noProof/>
                        <w:sz w:val="16"/>
                        <w:szCs w:val="16"/>
                      </w:rPr>
                      <w:t>11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1685526"/>
      <w:docPartObj>
        <w:docPartGallery w:val="Page Numbers (Bottom of Page)"/>
        <w:docPartUnique/>
      </w:docPartObj>
    </w:sdtPr>
    <w:sdtEndPr/>
    <w:sdtContent>
      <w:p w:rsidR="00E003CD" w:rsidRDefault="00C614B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50" type="#_x0000_t65" style="position:absolute;margin-left:0;margin-top:664.5pt;width:29pt;height:21.6pt;z-index:251662336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50">
                <w:txbxContent>
                  <w:p w:rsidR="00E003CD" w:rsidRDefault="00E7206A">
                    <w:pPr>
                      <w:jc w:val="center"/>
                    </w:pPr>
                    <w:r>
                      <w:fldChar w:fldCharType="begin"/>
                    </w:r>
                    <w:r w:rsidR="00E003CD">
                      <w:instrText xml:space="preserve"> PAGE    \* MERGEFORMAT </w:instrText>
                    </w:r>
                    <w:r>
                      <w:fldChar w:fldCharType="separate"/>
                    </w:r>
                    <w:r w:rsidR="00F7788A" w:rsidRPr="00F7788A">
                      <w:rPr>
                        <w:noProof/>
                        <w:sz w:val="16"/>
                        <w:szCs w:val="16"/>
                      </w:rPr>
                      <w:t>0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4B3" w:rsidRDefault="00C614B3" w:rsidP="00121C0D">
      <w:pPr>
        <w:spacing w:after="0" w:line="240" w:lineRule="auto"/>
      </w:pPr>
      <w:r>
        <w:separator/>
      </w:r>
    </w:p>
  </w:footnote>
  <w:footnote w:type="continuationSeparator" w:id="0">
    <w:p w:rsidR="00C614B3" w:rsidRDefault="00C614B3" w:rsidP="00121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043FC"/>
    <w:multiLevelType w:val="multilevel"/>
    <w:tmpl w:val="9CEA22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0D35E0"/>
    <w:multiLevelType w:val="multilevel"/>
    <w:tmpl w:val="2DCA0D3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2DCC1C50"/>
    <w:multiLevelType w:val="multilevel"/>
    <w:tmpl w:val="E5BAC47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2F50CFC"/>
    <w:multiLevelType w:val="multilevel"/>
    <w:tmpl w:val="6E6457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44F82C36"/>
    <w:multiLevelType w:val="multilevel"/>
    <w:tmpl w:val="9CEA22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3727475"/>
    <w:multiLevelType w:val="hybridMultilevel"/>
    <w:tmpl w:val="19C03AEA"/>
    <w:lvl w:ilvl="0" w:tplc="EC1213CE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F46AAA"/>
    <w:multiLevelType w:val="hybridMultilevel"/>
    <w:tmpl w:val="EC8C70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7710E"/>
    <w:multiLevelType w:val="hybridMultilevel"/>
    <w:tmpl w:val="10446472"/>
    <w:lvl w:ilvl="0" w:tplc="0312418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77016"/>
    <w:multiLevelType w:val="hybridMultilevel"/>
    <w:tmpl w:val="B790A702"/>
    <w:lvl w:ilvl="0" w:tplc="EC1213CE">
      <w:start w:val="1"/>
      <w:numFmt w:val="bullet"/>
      <w:lvlText w:val="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63D48F0"/>
    <w:multiLevelType w:val="multilevel"/>
    <w:tmpl w:val="D79AB8C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9"/>
  </w:num>
  <w:num w:numId="5">
    <w:abstractNumId w:val="3"/>
  </w:num>
  <w:num w:numId="6">
    <w:abstractNumId w:val="2"/>
  </w:num>
  <w:num w:numId="7">
    <w:abstractNumId w:val="4"/>
  </w:num>
  <w:num w:numId="8">
    <w:abstractNumId w:val="0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4">
      <o:colormru v:ext="edit" colors="#cf9,#cfc,#e5f8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1C0D"/>
    <w:rsid w:val="00006015"/>
    <w:rsid w:val="00011B3B"/>
    <w:rsid w:val="00012603"/>
    <w:rsid w:val="0001296E"/>
    <w:rsid w:val="000416C5"/>
    <w:rsid w:val="00044D03"/>
    <w:rsid w:val="00046AF3"/>
    <w:rsid w:val="000508A4"/>
    <w:rsid w:val="00054A09"/>
    <w:rsid w:val="00057256"/>
    <w:rsid w:val="000601F4"/>
    <w:rsid w:val="00061A24"/>
    <w:rsid w:val="00077F75"/>
    <w:rsid w:val="00082BCF"/>
    <w:rsid w:val="00086822"/>
    <w:rsid w:val="00094DD0"/>
    <w:rsid w:val="00095F60"/>
    <w:rsid w:val="000A0417"/>
    <w:rsid w:val="000A08CD"/>
    <w:rsid w:val="000A5314"/>
    <w:rsid w:val="000A5D7B"/>
    <w:rsid w:val="000B1652"/>
    <w:rsid w:val="000B32A8"/>
    <w:rsid w:val="000B40E9"/>
    <w:rsid w:val="000C69EB"/>
    <w:rsid w:val="000E4D1D"/>
    <w:rsid w:val="000F1EFB"/>
    <w:rsid w:val="00107F94"/>
    <w:rsid w:val="00111FB2"/>
    <w:rsid w:val="001145E9"/>
    <w:rsid w:val="00115E95"/>
    <w:rsid w:val="0011650E"/>
    <w:rsid w:val="0011664B"/>
    <w:rsid w:val="001168E6"/>
    <w:rsid w:val="0012092B"/>
    <w:rsid w:val="00121C0D"/>
    <w:rsid w:val="001246D0"/>
    <w:rsid w:val="00125286"/>
    <w:rsid w:val="00134EF1"/>
    <w:rsid w:val="0013672B"/>
    <w:rsid w:val="001405D5"/>
    <w:rsid w:val="0014263B"/>
    <w:rsid w:val="001428F9"/>
    <w:rsid w:val="00156AF8"/>
    <w:rsid w:val="00157EF5"/>
    <w:rsid w:val="0016219F"/>
    <w:rsid w:val="00162395"/>
    <w:rsid w:val="00163BC0"/>
    <w:rsid w:val="00163BE8"/>
    <w:rsid w:val="00165026"/>
    <w:rsid w:val="00165F68"/>
    <w:rsid w:val="00165F89"/>
    <w:rsid w:val="001727A4"/>
    <w:rsid w:val="001737C8"/>
    <w:rsid w:val="00173B70"/>
    <w:rsid w:val="001741A7"/>
    <w:rsid w:val="0017675B"/>
    <w:rsid w:val="00177A2C"/>
    <w:rsid w:val="00183034"/>
    <w:rsid w:val="001853BA"/>
    <w:rsid w:val="001944E1"/>
    <w:rsid w:val="001964E7"/>
    <w:rsid w:val="001A5451"/>
    <w:rsid w:val="001A798F"/>
    <w:rsid w:val="001B0D3C"/>
    <w:rsid w:val="001B0D6E"/>
    <w:rsid w:val="001B4038"/>
    <w:rsid w:val="001B406B"/>
    <w:rsid w:val="001C0EF6"/>
    <w:rsid w:val="001C1337"/>
    <w:rsid w:val="001C2F18"/>
    <w:rsid w:val="001C3062"/>
    <w:rsid w:val="001D261F"/>
    <w:rsid w:val="001D6AF5"/>
    <w:rsid w:val="001D6ED3"/>
    <w:rsid w:val="001E6714"/>
    <w:rsid w:val="001F1929"/>
    <w:rsid w:val="001F7C5E"/>
    <w:rsid w:val="002004AC"/>
    <w:rsid w:val="00201AC8"/>
    <w:rsid w:val="00217E4E"/>
    <w:rsid w:val="00220EA0"/>
    <w:rsid w:val="002241EA"/>
    <w:rsid w:val="00226283"/>
    <w:rsid w:val="00226327"/>
    <w:rsid w:val="0023263B"/>
    <w:rsid w:val="00236ED9"/>
    <w:rsid w:val="002373C1"/>
    <w:rsid w:val="002379AD"/>
    <w:rsid w:val="00242133"/>
    <w:rsid w:val="0025251A"/>
    <w:rsid w:val="00255581"/>
    <w:rsid w:val="0025579F"/>
    <w:rsid w:val="00256E9F"/>
    <w:rsid w:val="002752C7"/>
    <w:rsid w:val="00277FD6"/>
    <w:rsid w:val="002815F3"/>
    <w:rsid w:val="002928B2"/>
    <w:rsid w:val="002956F0"/>
    <w:rsid w:val="00296694"/>
    <w:rsid w:val="002975DE"/>
    <w:rsid w:val="002A288A"/>
    <w:rsid w:val="002A3593"/>
    <w:rsid w:val="002A5AEF"/>
    <w:rsid w:val="002A6C27"/>
    <w:rsid w:val="002A7942"/>
    <w:rsid w:val="002B19C8"/>
    <w:rsid w:val="002B2608"/>
    <w:rsid w:val="002C2DBA"/>
    <w:rsid w:val="002D07E8"/>
    <w:rsid w:val="002D11AB"/>
    <w:rsid w:val="002D354B"/>
    <w:rsid w:val="002D6DF3"/>
    <w:rsid w:val="002D7498"/>
    <w:rsid w:val="002E0DB1"/>
    <w:rsid w:val="002E2D68"/>
    <w:rsid w:val="00307184"/>
    <w:rsid w:val="0031127C"/>
    <w:rsid w:val="00317250"/>
    <w:rsid w:val="00334369"/>
    <w:rsid w:val="003403BF"/>
    <w:rsid w:val="00352ECD"/>
    <w:rsid w:val="00354F8A"/>
    <w:rsid w:val="00355B55"/>
    <w:rsid w:val="00360E20"/>
    <w:rsid w:val="0036117F"/>
    <w:rsid w:val="00361993"/>
    <w:rsid w:val="00365406"/>
    <w:rsid w:val="00365EBA"/>
    <w:rsid w:val="00383561"/>
    <w:rsid w:val="00383807"/>
    <w:rsid w:val="00385FB2"/>
    <w:rsid w:val="0039191A"/>
    <w:rsid w:val="00394786"/>
    <w:rsid w:val="00394895"/>
    <w:rsid w:val="003A2212"/>
    <w:rsid w:val="003A265F"/>
    <w:rsid w:val="003A659C"/>
    <w:rsid w:val="003B4869"/>
    <w:rsid w:val="003B67E7"/>
    <w:rsid w:val="003B6E4E"/>
    <w:rsid w:val="003B749E"/>
    <w:rsid w:val="003C0F89"/>
    <w:rsid w:val="003C5F6A"/>
    <w:rsid w:val="003D46B2"/>
    <w:rsid w:val="003E0DA0"/>
    <w:rsid w:val="003E5A38"/>
    <w:rsid w:val="003F735A"/>
    <w:rsid w:val="004033F0"/>
    <w:rsid w:val="00407666"/>
    <w:rsid w:val="00411977"/>
    <w:rsid w:val="004142A5"/>
    <w:rsid w:val="0041437A"/>
    <w:rsid w:val="004165FC"/>
    <w:rsid w:val="00417280"/>
    <w:rsid w:val="00417B92"/>
    <w:rsid w:val="0042482E"/>
    <w:rsid w:val="00446BFF"/>
    <w:rsid w:val="004500E5"/>
    <w:rsid w:val="00454C3A"/>
    <w:rsid w:val="00455085"/>
    <w:rsid w:val="004623EF"/>
    <w:rsid w:val="00463825"/>
    <w:rsid w:val="00464FF9"/>
    <w:rsid w:val="00465DF5"/>
    <w:rsid w:val="00475954"/>
    <w:rsid w:val="004767A4"/>
    <w:rsid w:val="004772BC"/>
    <w:rsid w:val="00487A3E"/>
    <w:rsid w:val="004A0EEE"/>
    <w:rsid w:val="004A19F4"/>
    <w:rsid w:val="004A29F7"/>
    <w:rsid w:val="004A34BD"/>
    <w:rsid w:val="004A3A20"/>
    <w:rsid w:val="004A52E8"/>
    <w:rsid w:val="004A7DB4"/>
    <w:rsid w:val="004B42D2"/>
    <w:rsid w:val="004B639E"/>
    <w:rsid w:val="004B64FD"/>
    <w:rsid w:val="004B7C4E"/>
    <w:rsid w:val="004C04D1"/>
    <w:rsid w:val="004D0192"/>
    <w:rsid w:val="004D58BF"/>
    <w:rsid w:val="004D5FC3"/>
    <w:rsid w:val="004F3247"/>
    <w:rsid w:val="004F7BEB"/>
    <w:rsid w:val="00501E45"/>
    <w:rsid w:val="005029A5"/>
    <w:rsid w:val="00502E6D"/>
    <w:rsid w:val="00503718"/>
    <w:rsid w:val="0050563F"/>
    <w:rsid w:val="00506BEB"/>
    <w:rsid w:val="00511D53"/>
    <w:rsid w:val="00513F8D"/>
    <w:rsid w:val="0051580B"/>
    <w:rsid w:val="00521CE3"/>
    <w:rsid w:val="00531751"/>
    <w:rsid w:val="00532131"/>
    <w:rsid w:val="00534EC3"/>
    <w:rsid w:val="00536777"/>
    <w:rsid w:val="005407E6"/>
    <w:rsid w:val="005513DF"/>
    <w:rsid w:val="00554ABF"/>
    <w:rsid w:val="00560260"/>
    <w:rsid w:val="005643B7"/>
    <w:rsid w:val="00573EBA"/>
    <w:rsid w:val="005758E4"/>
    <w:rsid w:val="00580F89"/>
    <w:rsid w:val="00582E60"/>
    <w:rsid w:val="00584720"/>
    <w:rsid w:val="00584FAB"/>
    <w:rsid w:val="005956BA"/>
    <w:rsid w:val="005A34A5"/>
    <w:rsid w:val="005A71E2"/>
    <w:rsid w:val="005A7D01"/>
    <w:rsid w:val="005B007A"/>
    <w:rsid w:val="005B0DF0"/>
    <w:rsid w:val="005B1C37"/>
    <w:rsid w:val="005B51C7"/>
    <w:rsid w:val="005C5CD0"/>
    <w:rsid w:val="005C6D25"/>
    <w:rsid w:val="005D1A38"/>
    <w:rsid w:val="005D45FE"/>
    <w:rsid w:val="005D4A4E"/>
    <w:rsid w:val="005E2105"/>
    <w:rsid w:val="005E7255"/>
    <w:rsid w:val="005F071F"/>
    <w:rsid w:val="005F0CDE"/>
    <w:rsid w:val="005F28C3"/>
    <w:rsid w:val="005F2CDA"/>
    <w:rsid w:val="005F53CC"/>
    <w:rsid w:val="006002C6"/>
    <w:rsid w:val="00604886"/>
    <w:rsid w:val="00607C93"/>
    <w:rsid w:val="00612E8D"/>
    <w:rsid w:val="00613A9A"/>
    <w:rsid w:val="006153C7"/>
    <w:rsid w:val="0062080C"/>
    <w:rsid w:val="00622F3B"/>
    <w:rsid w:val="0062575E"/>
    <w:rsid w:val="00642D28"/>
    <w:rsid w:val="00644BEA"/>
    <w:rsid w:val="0064549B"/>
    <w:rsid w:val="00652781"/>
    <w:rsid w:val="00652AAA"/>
    <w:rsid w:val="00663CC7"/>
    <w:rsid w:val="00664245"/>
    <w:rsid w:val="006712EF"/>
    <w:rsid w:val="00681FA4"/>
    <w:rsid w:val="0068259A"/>
    <w:rsid w:val="00685642"/>
    <w:rsid w:val="00687108"/>
    <w:rsid w:val="006927AC"/>
    <w:rsid w:val="006928A4"/>
    <w:rsid w:val="0069395A"/>
    <w:rsid w:val="0069500B"/>
    <w:rsid w:val="006A1CDB"/>
    <w:rsid w:val="006A52CA"/>
    <w:rsid w:val="006A64EF"/>
    <w:rsid w:val="006A662A"/>
    <w:rsid w:val="006B0D89"/>
    <w:rsid w:val="006B1A24"/>
    <w:rsid w:val="006B286C"/>
    <w:rsid w:val="006C2236"/>
    <w:rsid w:val="006C6BAE"/>
    <w:rsid w:val="006D22A1"/>
    <w:rsid w:val="006D3781"/>
    <w:rsid w:val="006E3AB0"/>
    <w:rsid w:val="006E55E7"/>
    <w:rsid w:val="006F0214"/>
    <w:rsid w:val="006F34A6"/>
    <w:rsid w:val="007005D6"/>
    <w:rsid w:val="00702F6D"/>
    <w:rsid w:val="0070433B"/>
    <w:rsid w:val="00706155"/>
    <w:rsid w:val="00706ECF"/>
    <w:rsid w:val="00707987"/>
    <w:rsid w:val="0071329B"/>
    <w:rsid w:val="007212F0"/>
    <w:rsid w:val="0072264A"/>
    <w:rsid w:val="00723507"/>
    <w:rsid w:val="00725806"/>
    <w:rsid w:val="00726909"/>
    <w:rsid w:val="007341FE"/>
    <w:rsid w:val="00740632"/>
    <w:rsid w:val="007411DE"/>
    <w:rsid w:val="007433C2"/>
    <w:rsid w:val="00743C27"/>
    <w:rsid w:val="00744A14"/>
    <w:rsid w:val="00745A4F"/>
    <w:rsid w:val="00750B64"/>
    <w:rsid w:val="00750F24"/>
    <w:rsid w:val="00763DAE"/>
    <w:rsid w:val="007649C7"/>
    <w:rsid w:val="00764FD8"/>
    <w:rsid w:val="007707C4"/>
    <w:rsid w:val="00772336"/>
    <w:rsid w:val="00774495"/>
    <w:rsid w:val="00775D2A"/>
    <w:rsid w:val="007763A3"/>
    <w:rsid w:val="00777156"/>
    <w:rsid w:val="00777186"/>
    <w:rsid w:val="00777BA6"/>
    <w:rsid w:val="007804B0"/>
    <w:rsid w:val="00781A9E"/>
    <w:rsid w:val="00782654"/>
    <w:rsid w:val="007835B2"/>
    <w:rsid w:val="00784B4A"/>
    <w:rsid w:val="00786ECF"/>
    <w:rsid w:val="007928C5"/>
    <w:rsid w:val="007A05BB"/>
    <w:rsid w:val="007A2FE5"/>
    <w:rsid w:val="007A7DC6"/>
    <w:rsid w:val="007C5950"/>
    <w:rsid w:val="007C63E5"/>
    <w:rsid w:val="007C6928"/>
    <w:rsid w:val="007D026E"/>
    <w:rsid w:val="007D1274"/>
    <w:rsid w:val="007D4618"/>
    <w:rsid w:val="007E1701"/>
    <w:rsid w:val="007E2C0D"/>
    <w:rsid w:val="007E37F1"/>
    <w:rsid w:val="007E42DC"/>
    <w:rsid w:val="007E4CE8"/>
    <w:rsid w:val="007F2D69"/>
    <w:rsid w:val="007F5B63"/>
    <w:rsid w:val="007F6358"/>
    <w:rsid w:val="008016C4"/>
    <w:rsid w:val="00802A9F"/>
    <w:rsid w:val="00806541"/>
    <w:rsid w:val="00811605"/>
    <w:rsid w:val="00811B76"/>
    <w:rsid w:val="008128D9"/>
    <w:rsid w:val="00813D65"/>
    <w:rsid w:val="00816674"/>
    <w:rsid w:val="00817E87"/>
    <w:rsid w:val="00821C7A"/>
    <w:rsid w:val="00824869"/>
    <w:rsid w:val="0082640B"/>
    <w:rsid w:val="00832213"/>
    <w:rsid w:val="00834124"/>
    <w:rsid w:val="0083551C"/>
    <w:rsid w:val="00855F87"/>
    <w:rsid w:val="00856D82"/>
    <w:rsid w:val="00870FD3"/>
    <w:rsid w:val="008711B5"/>
    <w:rsid w:val="008713F8"/>
    <w:rsid w:val="00873EBE"/>
    <w:rsid w:val="0087688B"/>
    <w:rsid w:val="008779EA"/>
    <w:rsid w:val="0088044D"/>
    <w:rsid w:val="00882260"/>
    <w:rsid w:val="00891C2C"/>
    <w:rsid w:val="00891E68"/>
    <w:rsid w:val="00892F5E"/>
    <w:rsid w:val="008A0916"/>
    <w:rsid w:val="008A35BD"/>
    <w:rsid w:val="008A4DE4"/>
    <w:rsid w:val="008A6134"/>
    <w:rsid w:val="008A7FB3"/>
    <w:rsid w:val="008B3290"/>
    <w:rsid w:val="008B55D4"/>
    <w:rsid w:val="008B6660"/>
    <w:rsid w:val="008C6B05"/>
    <w:rsid w:val="008D2598"/>
    <w:rsid w:val="008D3B0F"/>
    <w:rsid w:val="008D6140"/>
    <w:rsid w:val="008E42B4"/>
    <w:rsid w:val="008E597B"/>
    <w:rsid w:val="008F05DF"/>
    <w:rsid w:val="008F5123"/>
    <w:rsid w:val="008F68C8"/>
    <w:rsid w:val="008F7287"/>
    <w:rsid w:val="00901112"/>
    <w:rsid w:val="009011F7"/>
    <w:rsid w:val="00904AF5"/>
    <w:rsid w:val="0090624C"/>
    <w:rsid w:val="00906B10"/>
    <w:rsid w:val="009121D8"/>
    <w:rsid w:val="009168D5"/>
    <w:rsid w:val="00923723"/>
    <w:rsid w:val="009242AC"/>
    <w:rsid w:val="00930E62"/>
    <w:rsid w:val="0093545B"/>
    <w:rsid w:val="009439C6"/>
    <w:rsid w:val="009455A3"/>
    <w:rsid w:val="00960F98"/>
    <w:rsid w:val="00961BB6"/>
    <w:rsid w:val="00961C2C"/>
    <w:rsid w:val="00962221"/>
    <w:rsid w:val="00965144"/>
    <w:rsid w:val="00967850"/>
    <w:rsid w:val="009759C6"/>
    <w:rsid w:val="00982ACC"/>
    <w:rsid w:val="00984997"/>
    <w:rsid w:val="00986415"/>
    <w:rsid w:val="00995916"/>
    <w:rsid w:val="00996F6E"/>
    <w:rsid w:val="009A2C4F"/>
    <w:rsid w:val="009A7713"/>
    <w:rsid w:val="009B33BA"/>
    <w:rsid w:val="009C181C"/>
    <w:rsid w:val="009E1712"/>
    <w:rsid w:val="009E4504"/>
    <w:rsid w:val="009F0D60"/>
    <w:rsid w:val="009F46DE"/>
    <w:rsid w:val="009F73EC"/>
    <w:rsid w:val="009F76C9"/>
    <w:rsid w:val="00A01990"/>
    <w:rsid w:val="00A14FA1"/>
    <w:rsid w:val="00A222D8"/>
    <w:rsid w:val="00A22849"/>
    <w:rsid w:val="00A3182C"/>
    <w:rsid w:val="00A33560"/>
    <w:rsid w:val="00A40D74"/>
    <w:rsid w:val="00A43C39"/>
    <w:rsid w:val="00A44892"/>
    <w:rsid w:val="00A44DD5"/>
    <w:rsid w:val="00A45171"/>
    <w:rsid w:val="00A52123"/>
    <w:rsid w:val="00A52F60"/>
    <w:rsid w:val="00A57848"/>
    <w:rsid w:val="00A631DA"/>
    <w:rsid w:val="00A63816"/>
    <w:rsid w:val="00A75FD4"/>
    <w:rsid w:val="00A764B1"/>
    <w:rsid w:val="00A8185B"/>
    <w:rsid w:val="00A82DDC"/>
    <w:rsid w:val="00A84DFE"/>
    <w:rsid w:val="00A87F47"/>
    <w:rsid w:val="00A91EAF"/>
    <w:rsid w:val="00A93AB3"/>
    <w:rsid w:val="00A96663"/>
    <w:rsid w:val="00AA289F"/>
    <w:rsid w:val="00AA3EC8"/>
    <w:rsid w:val="00AA468F"/>
    <w:rsid w:val="00AA55CB"/>
    <w:rsid w:val="00AA6283"/>
    <w:rsid w:val="00AA6C5C"/>
    <w:rsid w:val="00AB10FF"/>
    <w:rsid w:val="00AB3319"/>
    <w:rsid w:val="00AC19AF"/>
    <w:rsid w:val="00AC51DF"/>
    <w:rsid w:val="00AC549E"/>
    <w:rsid w:val="00AC5A0A"/>
    <w:rsid w:val="00AC7AB2"/>
    <w:rsid w:val="00AD0CA5"/>
    <w:rsid w:val="00AD5DF0"/>
    <w:rsid w:val="00AD7A6E"/>
    <w:rsid w:val="00AE4B88"/>
    <w:rsid w:val="00AF7364"/>
    <w:rsid w:val="00B03563"/>
    <w:rsid w:val="00B0446F"/>
    <w:rsid w:val="00B15E5F"/>
    <w:rsid w:val="00B215E5"/>
    <w:rsid w:val="00B22938"/>
    <w:rsid w:val="00B232AE"/>
    <w:rsid w:val="00B23E4C"/>
    <w:rsid w:val="00B25D53"/>
    <w:rsid w:val="00B26034"/>
    <w:rsid w:val="00B27460"/>
    <w:rsid w:val="00B4493E"/>
    <w:rsid w:val="00B46561"/>
    <w:rsid w:val="00B50B5D"/>
    <w:rsid w:val="00B50C45"/>
    <w:rsid w:val="00B5340F"/>
    <w:rsid w:val="00B554B9"/>
    <w:rsid w:val="00B612CC"/>
    <w:rsid w:val="00B66613"/>
    <w:rsid w:val="00B711F6"/>
    <w:rsid w:val="00B71DF2"/>
    <w:rsid w:val="00B73D75"/>
    <w:rsid w:val="00B92574"/>
    <w:rsid w:val="00BA1C6E"/>
    <w:rsid w:val="00BA6104"/>
    <w:rsid w:val="00BA69FA"/>
    <w:rsid w:val="00BB1249"/>
    <w:rsid w:val="00BB3B63"/>
    <w:rsid w:val="00BB6865"/>
    <w:rsid w:val="00BC2BAE"/>
    <w:rsid w:val="00BD3175"/>
    <w:rsid w:val="00BD31CF"/>
    <w:rsid w:val="00BD4107"/>
    <w:rsid w:val="00BD4FA1"/>
    <w:rsid w:val="00BD536F"/>
    <w:rsid w:val="00BE42CE"/>
    <w:rsid w:val="00BF1D21"/>
    <w:rsid w:val="00BF2412"/>
    <w:rsid w:val="00BF7A9B"/>
    <w:rsid w:val="00BF7D77"/>
    <w:rsid w:val="00C01B7C"/>
    <w:rsid w:val="00C055E6"/>
    <w:rsid w:val="00C11F9D"/>
    <w:rsid w:val="00C1240D"/>
    <w:rsid w:val="00C14E9B"/>
    <w:rsid w:val="00C15A6B"/>
    <w:rsid w:val="00C25BD4"/>
    <w:rsid w:val="00C30C07"/>
    <w:rsid w:val="00C3548E"/>
    <w:rsid w:val="00C406C1"/>
    <w:rsid w:val="00C42086"/>
    <w:rsid w:val="00C44306"/>
    <w:rsid w:val="00C45A2F"/>
    <w:rsid w:val="00C45CCE"/>
    <w:rsid w:val="00C47815"/>
    <w:rsid w:val="00C51A54"/>
    <w:rsid w:val="00C53715"/>
    <w:rsid w:val="00C614B3"/>
    <w:rsid w:val="00C6158D"/>
    <w:rsid w:val="00C6395E"/>
    <w:rsid w:val="00C6539A"/>
    <w:rsid w:val="00C8111A"/>
    <w:rsid w:val="00C842D9"/>
    <w:rsid w:val="00C904C5"/>
    <w:rsid w:val="00C94521"/>
    <w:rsid w:val="00C96563"/>
    <w:rsid w:val="00CA3A83"/>
    <w:rsid w:val="00CA3FFF"/>
    <w:rsid w:val="00CB0683"/>
    <w:rsid w:val="00CB4AC4"/>
    <w:rsid w:val="00CB7606"/>
    <w:rsid w:val="00CC129A"/>
    <w:rsid w:val="00CC2A54"/>
    <w:rsid w:val="00CC4E43"/>
    <w:rsid w:val="00CC73D9"/>
    <w:rsid w:val="00CD1C61"/>
    <w:rsid w:val="00CE0CCB"/>
    <w:rsid w:val="00CE0D09"/>
    <w:rsid w:val="00CE11DB"/>
    <w:rsid w:val="00CE7C6B"/>
    <w:rsid w:val="00CF403D"/>
    <w:rsid w:val="00D019C5"/>
    <w:rsid w:val="00D01F36"/>
    <w:rsid w:val="00D05391"/>
    <w:rsid w:val="00D0551F"/>
    <w:rsid w:val="00D05BC2"/>
    <w:rsid w:val="00D06E96"/>
    <w:rsid w:val="00D119BE"/>
    <w:rsid w:val="00D232D2"/>
    <w:rsid w:val="00D247B3"/>
    <w:rsid w:val="00D25664"/>
    <w:rsid w:val="00D26205"/>
    <w:rsid w:val="00D26AE6"/>
    <w:rsid w:val="00D26D0B"/>
    <w:rsid w:val="00D2769C"/>
    <w:rsid w:val="00D33178"/>
    <w:rsid w:val="00D33B1F"/>
    <w:rsid w:val="00D34302"/>
    <w:rsid w:val="00D37782"/>
    <w:rsid w:val="00D5154C"/>
    <w:rsid w:val="00D60BEA"/>
    <w:rsid w:val="00D67116"/>
    <w:rsid w:val="00D7306E"/>
    <w:rsid w:val="00D77894"/>
    <w:rsid w:val="00D8093A"/>
    <w:rsid w:val="00D84B07"/>
    <w:rsid w:val="00D84B68"/>
    <w:rsid w:val="00D87B02"/>
    <w:rsid w:val="00D91F70"/>
    <w:rsid w:val="00D959D5"/>
    <w:rsid w:val="00DA09F4"/>
    <w:rsid w:val="00DB4378"/>
    <w:rsid w:val="00DB692E"/>
    <w:rsid w:val="00DB7BA1"/>
    <w:rsid w:val="00DB7D7B"/>
    <w:rsid w:val="00DC3959"/>
    <w:rsid w:val="00DC427F"/>
    <w:rsid w:val="00DD0C90"/>
    <w:rsid w:val="00DD5302"/>
    <w:rsid w:val="00DD5C85"/>
    <w:rsid w:val="00DD6BF0"/>
    <w:rsid w:val="00DE7378"/>
    <w:rsid w:val="00DF0C59"/>
    <w:rsid w:val="00DF2152"/>
    <w:rsid w:val="00DF5B91"/>
    <w:rsid w:val="00DF5CFA"/>
    <w:rsid w:val="00E003CD"/>
    <w:rsid w:val="00E029A2"/>
    <w:rsid w:val="00E041A1"/>
    <w:rsid w:val="00E11231"/>
    <w:rsid w:val="00E1157D"/>
    <w:rsid w:val="00E14CB3"/>
    <w:rsid w:val="00E16273"/>
    <w:rsid w:val="00E20334"/>
    <w:rsid w:val="00E21D0D"/>
    <w:rsid w:val="00E2295C"/>
    <w:rsid w:val="00E22D2C"/>
    <w:rsid w:val="00E2379B"/>
    <w:rsid w:val="00E24BB6"/>
    <w:rsid w:val="00E24C7D"/>
    <w:rsid w:val="00E30D21"/>
    <w:rsid w:val="00E30E62"/>
    <w:rsid w:val="00E30ECA"/>
    <w:rsid w:val="00E317E5"/>
    <w:rsid w:val="00E3276B"/>
    <w:rsid w:val="00E35078"/>
    <w:rsid w:val="00E352FB"/>
    <w:rsid w:val="00E41498"/>
    <w:rsid w:val="00E44ABB"/>
    <w:rsid w:val="00E47240"/>
    <w:rsid w:val="00E529D8"/>
    <w:rsid w:val="00E53768"/>
    <w:rsid w:val="00E54619"/>
    <w:rsid w:val="00E606A1"/>
    <w:rsid w:val="00E6140E"/>
    <w:rsid w:val="00E6198E"/>
    <w:rsid w:val="00E715B1"/>
    <w:rsid w:val="00E7206A"/>
    <w:rsid w:val="00E73EE9"/>
    <w:rsid w:val="00E76BE0"/>
    <w:rsid w:val="00E777CD"/>
    <w:rsid w:val="00E7798B"/>
    <w:rsid w:val="00E85A38"/>
    <w:rsid w:val="00E866E2"/>
    <w:rsid w:val="00E90500"/>
    <w:rsid w:val="00E951DA"/>
    <w:rsid w:val="00E959FF"/>
    <w:rsid w:val="00E97943"/>
    <w:rsid w:val="00EA3420"/>
    <w:rsid w:val="00EA590A"/>
    <w:rsid w:val="00EA71A6"/>
    <w:rsid w:val="00EB455E"/>
    <w:rsid w:val="00EB53C5"/>
    <w:rsid w:val="00EB7FAD"/>
    <w:rsid w:val="00EC055E"/>
    <w:rsid w:val="00EC0999"/>
    <w:rsid w:val="00EC3044"/>
    <w:rsid w:val="00EC31B4"/>
    <w:rsid w:val="00EC49BE"/>
    <w:rsid w:val="00EC5F79"/>
    <w:rsid w:val="00EC7C2A"/>
    <w:rsid w:val="00ED45F2"/>
    <w:rsid w:val="00ED6AF7"/>
    <w:rsid w:val="00EE0406"/>
    <w:rsid w:val="00EE4C3D"/>
    <w:rsid w:val="00EF6E36"/>
    <w:rsid w:val="00EF79D3"/>
    <w:rsid w:val="00F004DE"/>
    <w:rsid w:val="00F00508"/>
    <w:rsid w:val="00F03981"/>
    <w:rsid w:val="00F04FE8"/>
    <w:rsid w:val="00F055CC"/>
    <w:rsid w:val="00F0717A"/>
    <w:rsid w:val="00F07A2E"/>
    <w:rsid w:val="00F10D9B"/>
    <w:rsid w:val="00F127AF"/>
    <w:rsid w:val="00F1448F"/>
    <w:rsid w:val="00F146CB"/>
    <w:rsid w:val="00F15669"/>
    <w:rsid w:val="00F15E9D"/>
    <w:rsid w:val="00F20C74"/>
    <w:rsid w:val="00F24D06"/>
    <w:rsid w:val="00F333EB"/>
    <w:rsid w:val="00F406D4"/>
    <w:rsid w:val="00F42346"/>
    <w:rsid w:val="00F42B33"/>
    <w:rsid w:val="00F42F26"/>
    <w:rsid w:val="00F45DE6"/>
    <w:rsid w:val="00F50E11"/>
    <w:rsid w:val="00F53483"/>
    <w:rsid w:val="00F614AB"/>
    <w:rsid w:val="00F65A9C"/>
    <w:rsid w:val="00F67E6F"/>
    <w:rsid w:val="00F71AC6"/>
    <w:rsid w:val="00F7519A"/>
    <w:rsid w:val="00F75327"/>
    <w:rsid w:val="00F765D4"/>
    <w:rsid w:val="00F766A5"/>
    <w:rsid w:val="00F7788A"/>
    <w:rsid w:val="00F80057"/>
    <w:rsid w:val="00F82038"/>
    <w:rsid w:val="00F84722"/>
    <w:rsid w:val="00F8724E"/>
    <w:rsid w:val="00F87779"/>
    <w:rsid w:val="00F9109A"/>
    <w:rsid w:val="00F94978"/>
    <w:rsid w:val="00F9714A"/>
    <w:rsid w:val="00F97AF9"/>
    <w:rsid w:val="00FA11DD"/>
    <w:rsid w:val="00FA22D4"/>
    <w:rsid w:val="00FA2506"/>
    <w:rsid w:val="00FA3DC7"/>
    <w:rsid w:val="00FA404F"/>
    <w:rsid w:val="00FA699C"/>
    <w:rsid w:val="00FA6A45"/>
    <w:rsid w:val="00FB4A8C"/>
    <w:rsid w:val="00FB5F7F"/>
    <w:rsid w:val="00FB72A1"/>
    <w:rsid w:val="00FC136A"/>
    <w:rsid w:val="00FD04EC"/>
    <w:rsid w:val="00FD1267"/>
    <w:rsid w:val="00FD470B"/>
    <w:rsid w:val="00FE0B75"/>
    <w:rsid w:val="00FE6861"/>
    <w:rsid w:val="00FF210B"/>
    <w:rsid w:val="00FF44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o:colormru v:ext="edit" colors="#cf9,#cfc,#e5f8ff"/>
    </o:shapedefaults>
    <o:shapelayout v:ext="edit">
      <o:idmap v:ext="edit" data="1"/>
    </o:shapelayout>
  </w:shapeDefaults>
  <w:decimalSymbol w:val="."/>
  <w:listSeparator w:val=";"/>
  <w14:docId w14:val="1E0F0889"/>
  <w15:docId w15:val="{1F276501-28D6-48F5-86D6-86034A244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77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60F98"/>
    <w:pPr>
      <w:keepNext/>
      <w:keepLines/>
      <w:spacing w:after="0" w:line="240" w:lineRule="auto"/>
      <w:ind w:left="720" w:hanging="720"/>
      <w:jc w:val="both"/>
      <w:outlineLvl w:val="0"/>
    </w:pPr>
    <w:rPr>
      <w:rFonts w:ascii="Euphemia" w:eastAsia="Times New Roman" w:hAnsi="Euphemia" w:cs="Times New Roman"/>
      <w:b/>
      <w:bCs/>
      <w:color w:val="00206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145E9"/>
    <w:pPr>
      <w:keepNext/>
      <w:keepLines/>
      <w:spacing w:after="0"/>
      <w:outlineLvl w:val="1"/>
    </w:pPr>
    <w:rPr>
      <w:rFonts w:ascii="Euphemia" w:eastAsia="Times New Roman" w:hAnsi="Euphemia" w:cs="Times New Roman"/>
      <w:b/>
      <w:bCs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60F98"/>
    <w:rPr>
      <w:rFonts w:ascii="Euphemia" w:eastAsia="Times New Roman" w:hAnsi="Euphemia" w:cs="Times New Roman"/>
      <w:b/>
      <w:bCs/>
      <w:color w:val="002060"/>
    </w:rPr>
  </w:style>
  <w:style w:type="character" w:customStyle="1" w:styleId="Titre2Car">
    <w:name w:val="Titre 2 Car"/>
    <w:basedOn w:val="Policepardfaut"/>
    <w:link w:val="Titre2"/>
    <w:uiPriority w:val="9"/>
    <w:rsid w:val="001145E9"/>
    <w:rPr>
      <w:rFonts w:ascii="Euphemia" w:eastAsia="Times New Roman" w:hAnsi="Euphemia" w:cs="Times New Roman"/>
      <w:b/>
      <w:bCs/>
      <w:szCs w:val="26"/>
    </w:rPr>
  </w:style>
  <w:style w:type="table" w:styleId="Grilledutableau">
    <w:name w:val="Table Grid"/>
    <w:basedOn w:val="TableauNormal"/>
    <w:uiPriority w:val="59"/>
    <w:rsid w:val="00121C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21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C0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2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1C0D"/>
  </w:style>
  <w:style w:type="paragraph" w:styleId="Pieddepage">
    <w:name w:val="footer"/>
    <w:basedOn w:val="Normal"/>
    <w:link w:val="PieddepageCar"/>
    <w:uiPriority w:val="99"/>
    <w:unhideWhenUsed/>
    <w:rsid w:val="00121C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1C0D"/>
  </w:style>
  <w:style w:type="paragraph" w:styleId="Sansinterligne">
    <w:name w:val="No Spacing"/>
    <w:uiPriority w:val="1"/>
    <w:qFormat/>
    <w:rsid w:val="0023263B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4B42D2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145E9"/>
    <w:pPr>
      <w:spacing w:after="0" w:line="240" w:lineRule="auto"/>
    </w:pPr>
    <w:rPr>
      <w:rFonts w:ascii="Euphemia" w:eastAsia="Calibri" w:hAnsi="Euphemia" w:cs="Times New Roman"/>
      <w:b/>
      <w:bCs/>
      <w:color w:val="4F81BD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1145E9"/>
    <w:rPr>
      <w:color w:val="800080"/>
      <w:u w:val="single"/>
    </w:rPr>
  </w:style>
  <w:style w:type="paragraph" w:customStyle="1" w:styleId="xl242">
    <w:name w:val="xl242"/>
    <w:basedOn w:val="Normal"/>
    <w:rsid w:val="001145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243">
    <w:name w:val="xl243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paragraph" w:customStyle="1" w:styleId="xl244">
    <w:name w:val="xl244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paragraph" w:customStyle="1" w:styleId="xl245">
    <w:name w:val="xl245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8000"/>
      <w:sz w:val="20"/>
      <w:szCs w:val="20"/>
      <w:lang w:eastAsia="fr-FR"/>
    </w:rPr>
  </w:style>
  <w:style w:type="paragraph" w:customStyle="1" w:styleId="xl246">
    <w:name w:val="xl246"/>
    <w:basedOn w:val="Normal"/>
    <w:rsid w:val="001145E9"/>
    <w:pPr>
      <w:pBdr>
        <w:top w:val="single" w:sz="4" w:space="0" w:color="000000"/>
        <w:left w:val="single" w:sz="4" w:space="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Arial" w:eastAsia="Times New Roman" w:hAnsi="Arial" w:cs="Arial"/>
      <w:b/>
      <w:bCs/>
      <w:color w:val="008000"/>
      <w:sz w:val="20"/>
      <w:szCs w:val="20"/>
      <w:lang w:eastAsia="fr-FR"/>
    </w:rPr>
  </w:style>
  <w:style w:type="paragraph" w:customStyle="1" w:styleId="xl247">
    <w:name w:val="xl247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48">
    <w:name w:val="xl248"/>
    <w:basedOn w:val="Normal"/>
    <w:rsid w:val="001145E9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49">
    <w:name w:val="xl249"/>
    <w:basedOn w:val="Normal"/>
    <w:rsid w:val="001145E9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50">
    <w:name w:val="xl250"/>
    <w:basedOn w:val="Normal"/>
    <w:rsid w:val="001145E9"/>
    <w:pPr>
      <w:pBdr>
        <w:top w:val="single" w:sz="4" w:space="0" w:color="000000"/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Chars="200" w:firstLine="200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51">
    <w:name w:val="xl251"/>
    <w:basedOn w:val="Normal"/>
    <w:rsid w:val="001145E9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ind w:firstLineChars="300" w:firstLine="300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52">
    <w:name w:val="xl252"/>
    <w:basedOn w:val="Normal"/>
    <w:rsid w:val="001145E9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253">
    <w:name w:val="xl253"/>
    <w:basedOn w:val="Normal"/>
    <w:rsid w:val="001145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254">
    <w:name w:val="xl254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paragraph" w:customStyle="1" w:styleId="xl255">
    <w:name w:val="xl255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8000"/>
      <w:sz w:val="20"/>
      <w:szCs w:val="20"/>
      <w:lang w:eastAsia="fr-FR"/>
    </w:rPr>
  </w:style>
  <w:style w:type="paragraph" w:customStyle="1" w:styleId="xl256">
    <w:name w:val="xl256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57">
    <w:name w:val="xl257"/>
    <w:basedOn w:val="Normal"/>
    <w:rsid w:val="001145E9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xl258">
    <w:name w:val="xl258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paragraph" w:customStyle="1" w:styleId="xl259">
    <w:name w:val="xl259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8000"/>
      <w:sz w:val="20"/>
      <w:szCs w:val="20"/>
      <w:lang w:eastAsia="fr-FR"/>
    </w:rPr>
  </w:style>
  <w:style w:type="paragraph" w:customStyle="1" w:styleId="xl260">
    <w:name w:val="xl260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61">
    <w:name w:val="xl261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62">
    <w:name w:val="xl262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FF0000"/>
      <w:sz w:val="24"/>
      <w:szCs w:val="24"/>
      <w:lang w:eastAsia="fr-FR"/>
    </w:rPr>
  </w:style>
  <w:style w:type="paragraph" w:customStyle="1" w:styleId="xl263">
    <w:name w:val="xl263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008000"/>
      <w:sz w:val="20"/>
      <w:szCs w:val="20"/>
      <w:lang w:eastAsia="fr-FR"/>
    </w:rPr>
  </w:style>
  <w:style w:type="paragraph" w:customStyle="1" w:styleId="xl264">
    <w:name w:val="xl264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customStyle="1" w:styleId="xl265">
    <w:name w:val="xl265"/>
    <w:basedOn w:val="Normal"/>
    <w:rsid w:val="001145E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1145E9"/>
    <w:pPr>
      <w:spacing w:after="0"/>
      <w:ind w:left="720"/>
      <w:contextualSpacing/>
    </w:pPr>
    <w:rPr>
      <w:rFonts w:ascii="Euphemia" w:eastAsia="Calibri" w:hAnsi="Euphemia" w:cs="Times New Roman"/>
    </w:rPr>
  </w:style>
  <w:style w:type="paragraph" w:styleId="Titre">
    <w:name w:val="Title"/>
    <w:basedOn w:val="Normal"/>
    <w:next w:val="Normal"/>
    <w:link w:val="TitreCar"/>
    <w:uiPriority w:val="10"/>
    <w:qFormat/>
    <w:rsid w:val="001145E9"/>
    <w:pPr>
      <w:pBdr>
        <w:bottom w:val="single" w:sz="8" w:space="4" w:color="4F81BD"/>
      </w:pBdr>
      <w:spacing w:after="300" w:line="240" w:lineRule="auto"/>
      <w:contextualSpacing/>
    </w:pPr>
    <w:rPr>
      <w:rFonts w:ascii="Euphemia" w:eastAsia="Times New Roman" w:hAnsi="Euphemia" w:cs="Times New Roman"/>
      <w:b/>
      <w:color w:val="4F81BD"/>
      <w:spacing w:val="5"/>
      <w:kern w:val="28"/>
      <w:sz w:val="24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145E9"/>
    <w:rPr>
      <w:rFonts w:ascii="Euphemia" w:eastAsia="Times New Roman" w:hAnsi="Euphemia" w:cs="Times New Roman"/>
      <w:b/>
      <w:color w:val="4F81BD"/>
      <w:spacing w:val="5"/>
      <w:kern w:val="28"/>
      <w:sz w:val="24"/>
      <w:szCs w:val="5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145E9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TM1">
    <w:name w:val="toc 1"/>
    <w:basedOn w:val="Normal"/>
    <w:next w:val="Normal"/>
    <w:autoRedefine/>
    <w:uiPriority w:val="39"/>
    <w:unhideWhenUsed/>
    <w:rsid w:val="001145E9"/>
    <w:pPr>
      <w:spacing w:after="100"/>
    </w:pPr>
    <w:rPr>
      <w:rFonts w:ascii="Euphemia" w:eastAsia="Calibri" w:hAnsi="Euphemia" w:cs="Times New Roman"/>
    </w:rPr>
  </w:style>
  <w:style w:type="paragraph" w:styleId="TM2">
    <w:name w:val="toc 2"/>
    <w:basedOn w:val="Normal"/>
    <w:next w:val="Normal"/>
    <w:autoRedefine/>
    <w:uiPriority w:val="39"/>
    <w:unhideWhenUsed/>
    <w:rsid w:val="001145E9"/>
    <w:pPr>
      <w:spacing w:after="100"/>
      <w:ind w:left="220"/>
    </w:pPr>
    <w:rPr>
      <w:rFonts w:ascii="Euphemia" w:eastAsia="Calibri" w:hAnsi="Euphemia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145E9"/>
    <w:pPr>
      <w:spacing w:after="0"/>
    </w:pPr>
    <w:rPr>
      <w:rFonts w:ascii="Euphemia" w:eastAsia="Calibri" w:hAnsi="Euphemia" w:cs="Times New Roman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145E9"/>
    <w:rPr>
      <w:rFonts w:ascii="Euphemia" w:eastAsia="Calibri" w:hAnsi="Euphemia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145E9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145E9"/>
    <w:pPr>
      <w:spacing w:after="0"/>
    </w:pPr>
    <w:rPr>
      <w:rFonts w:ascii="Euphemia" w:eastAsia="Calibri" w:hAnsi="Euphemia" w:cs="Times New Roman"/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145E9"/>
    <w:rPr>
      <w:rFonts w:ascii="Euphemia" w:eastAsia="Calibri" w:hAnsi="Euphemia" w:cs="Times New Roman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145E9"/>
    <w:rPr>
      <w:vertAlign w:val="superscript"/>
    </w:rPr>
  </w:style>
  <w:style w:type="paragraph" w:customStyle="1" w:styleId="Default">
    <w:name w:val="Default"/>
    <w:rsid w:val="00360E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abledesillustrations">
    <w:name w:val="table of figures"/>
    <w:basedOn w:val="Normal"/>
    <w:next w:val="Normal"/>
    <w:uiPriority w:val="99"/>
    <w:unhideWhenUsed/>
    <w:rsid w:val="002928B2"/>
    <w:pPr>
      <w:spacing w:after="0"/>
    </w:pPr>
  </w:style>
  <w:style w:type="paragraph" w:customStyle="1" w:styleId="xl70">
    <w:name w:val="xl70"/>
    <w:basedOn w:val="Normal"/>
    <w:rsid w:val="00C5371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lang w:eastAsia="fr-FR"/>
    </w:rPr>
  </w:style>
  <w:style w:type="paragraph" w:customStyle="1" w:styleId="xl71">
    <w:name w:val="xl71"/>
    <w:basedOn w:val="Normal"/>
    <w:rsid w:val="00C53715"/>
    <w:pP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2">
    <w:name w:val="xl72"/>
    <w:basedOn w:val="Normal"/>
    <w:rsid w:val="00C53715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3">
    <w:name w:val="xl73"/>
    <w:basedOn w:val="Normal"/>
    <w:rsid w:val="00C53715"/>
    <w:pP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4">
    <w:name w:val="xl74"/>
    <w:basedOn w:val="Normal"/>
    <w:rsid w:val="00C53715"/>
    <w:pP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5">
    <w:name w:val="xl75"/>
    <w:basedOn w:val="Normal"/>
    <w:rsid w:val="00C53715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6">
    <w:name w:val="xl76"/>
    <w:basedOn w:val="Normal"/>
    <w:rsid w:val="00C53715"/>
    <w:pP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7">
    <w:name w:val="xl77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8">
    <w:name w:val="xl78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79">
    <w:name w:val="xl79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80">
    <w:name w:val="xl80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81">
    <w:name w:val="xl81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82">
    <w:name w:val="xl82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83">
    <w:name w:val="xl83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84">
    <w:name w:val="xl84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85">
    <w:name w:val="xl85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86">
    <w:name w:val="xl86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87">
    <w:name w:val="xl87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88">
    <w:name w:val="xl88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89">
    <w:name w:val="xl89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90">
    <w:name w:val="xl90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91">
    <w:name w:val="xl91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92">
    <w:name w:val="xl92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93">
    <w:name w:val="xl93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94">
    <w:name w:val="xl94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95">
    <w:name w:val="xl95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96">
    <w:name w:val="xl96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97">
    <w:name w:val="xl97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98">
    <w:name w:val="xl98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99">
    <w:name w:val="xl99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100">
    <w:name w:val="xl100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101">
    <w:name w:val="xl101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102">
    <w:name w:val="xl102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103">
    <w:name w:val="xl103"/>
    <w:basedOn w:val="Normal"/>
    <w:rsid w:val="00C537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104">
    <w:name w:val="xl104"/>
    <w:basedOn w:val="Normal"/>
    <w:rsid w:val="00C53715"/>
    <w:pPr>
      <w:pBdr>
        <w:top w:val="single" w:sz="4" w:space="0" w:color="auto"/>
        <w:lef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05">
    <w:name w:val="xl105"/>
    <w:basedOn w:val="Normal"/>
    <w:rsid w:val="00C53715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06">
    <w:name w:val="xl106"/>
    <w:basedOn w:val="Normal"/>
    <w:rsid w:val="00C53715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07">
    <w:name w:val="xl107"/>
    <w:basedOn w:val="Normal"/>
    <w:rsid w:val="00C53715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08">
    <w:name w:val="xl108"/>
    <w:basedOn w:val="Normal"/>
    <w:rsid w:val="00C53715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09">
    <w:name w:val="xl109"/>
    <w:basedOn w:val="Normal"/>
    <w:rsid w:val="00C53715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10">
    <w:name w:val="xl110"/>
    <w:basedOn w:val="Normal"/>
    <w:rsid w:val="00C53715"/>
    <w:pPr>
      <w:pBdr>
        <w:top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11">
    <w:name w:val="xl111"/>
    <w:basedOn w:val="Normal"/>
    <w:rsid w:val="00584FAB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12">
    <w:name w:val="xl112"/>
    <w:basedOn w:val="Normal"/>
    <w:rsid w:val="00584FA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113">
    <w:name w:val="xl113"/>
    <w:basedOn w:val="Normal"/>
    <w:rsid w:val="00584FAB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114">
    <w:name w:val="xl114"/>
    <w:basedOn w:val="Normal"/>
    <w:rsid w:val="00584FA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115">
    <w:name w:val="xl115"/>
    <w:basedOn w:val="Normal"/>
    <w:rsid w:val="00584FAB"/>
    <w:pP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16">
    <w:name w:val="xl116"/>
    <w:basedOn w:val="Normal"/>
    <w:rsid w:val="00584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  <w:style w:type="paragraph" w:customStyle="1" w:styleId="xl117">
    <w:name w:val="xl117"/>
    <w:basedOn w:val="Normal"/>
    <w:rsid w:val="00584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0"/>
      <w:szCs w:val="20"/>
      <w:lang w:eastAsia="fr-FR"/>
    </w:rPr>
  </w:style>
  <w:style w:type="paragraph" w:customStyle="1" w:styleId="xl118">
    <w:name w:val="xl118"/>
    <w:basedOn w:val="Normal"/>
    <w:rsid w:val="00584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4F81BD"/>
      <w:sz w:val="20"/>
      <w:szCs w:val="20"/>
      <w:lang w:eastAsia="fr-FR"/>
    </w:rPr>
  </w:style>
  <w:style w:type="paragraph" w:customStyle="1" w:styleId="xl119">
    <w:name w:val="xl119"/>
    <w:basedOn w:val="Normal"/>
    <w:rsid w:val="00584FA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i/>
      <w:iCs/>
      <w:sz w:val="20"/>
      <w:szCs w:val="20"/>
      <w:lang w:eastAsia="fr-FR"/>
    </w:rPr>
  </w:style>
  <w:style w:type="paragraph" w:customStyle="1" w:styleId="xl120">
    <w:name w:val="xl120"/>
    <w:basedOn w:val="Normal"/>
    <w:rsid w:val="00584FAB"/>
    <w:pPr>
      <w:pBdr>
        <w:top w:val="single" w:sz="4" w:space="0" w:color="auto"/>
      </w:pBdr>
      <w:shd w:val="clear" w:color="000000" w:fill="FFC0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color w:val="FFFFF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Isteebu.desef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steebubdi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mailto:isteebu@isteebu.bi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isteebu@isteebu.bi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2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hart" Target="charts/chart1.xml"/><Relationship Id="rId28" Type="http://schemas.openxmlformats.org/officeDocument/2006/relationships/hyperlink" Target="mailto:nimela2006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isteebu.bi" TargetMode="External"/><Relationship Id="rId27" Type="http://schemas.openxmlformats.org/officeDocument/2006/relationships/hyperlink" Target="mailto:m.nibigira@isteebu.bi" TargetMode="Externa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INPC%20BASE%20100%20en%202016\00INPC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INPC%20BASE%20100%20en%202016\00INPC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208434891142326E-2"/>
          <c:y val="3.5920059934891328E-2"/>
          <c:w val="0.87797053777572365"/>
          <c:h val="0.664091642599021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0-1225-4A7F-8104-2598BDF1E074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1-1225-4A7F-8104-2598BDF1E074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2-1225-4A7F-8104-2598BDF1E074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225-4A7F-8104-2598BDF1E074}"/>
              </c:ext>
            </c:extLst>
          </c:dPt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15,2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225-4A7F-8104-2598BDF1E07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'GRAPHIQUE 01Mai18'!$B$2:$C$10</c:f>
              <c:multiLvlStrCache>
                <c:ptCount val="9"/>
                <c:lvl>
                  <c:pt idx="0">
                    <c:v>2014</c:v>
                  </c:pt>
                  <c:pt idx="1">
                    <c:v>2015</c:v>
                  </c:pt>
                  <c:pt idx="2">
                    <c:v>2016</c:v>
                  </c:pt>
                  <c:pt idx="3">
                    <c:v>2017</c:v>
                  </c:pt>
                  <c:pt idx="4">
                    <c:v>janv-18</c:v>
                  </c:pt>
                  <c:pt idx="5">
                    <c:v>févr-18</c:v>
                  </c:pt>
                  <c:pt idx="6">
                    <c:v>mars-18</c:v>
                  </c:pt>
                  <c:pt idx="7">
                    <c:v>avr-18</c:v>
                  </c:pt>
                  <c:pt idx="8">
                    <c:v>mai-18</c:v>
                  </c:pt>
                </c:lvl>
                <c:lvl>
                  <c:pt idx="4">
                    <c:v>Année ayant terminé au mois en cours</c:v>
                  </c:pt>
                </c:lvl>
              </c:multiLvlStrCache>
            </c:multiLvlStrRef>
          </c:cat>
          <c:val>
            <c:numRef>
              <c:f>'GRAPHIQUE 01Mai18'!$D$2:$D$10</c:f>
              <c:numCache>
                <c:formatCode>General</c:formatCode>
                <c:ptCount val="9"/>
                <c:pt idx="0">
                  <c:v>4.4000000000000004</c:v>
                </c:pt>
                <c:pt idx="1">
                  <c:v>5.5</c:v>
                </c:pt>
                <c:pt idx="2">
                  <c:v>5.6</c:v>
                </c:pt>
                <c:pt idx="3">
                  <c:v>16</c:v>
                </c:pt>
                <c:pt idx="4">
                  <c:v>15.4</c:v>
                </c:pt>
                <c:pt idx="5">
                  <c:v>13.3</c:v>
                </c:pt>
                <c:pt idx="6">
                  <c:v>11.2</c:v>
                </c:pt>
                <c:pt idx="7">
                  <c:v>9.4</c:v>
                </c:pt>
                <c:pt idx="8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225-4A7F-8104-2598BDF1E0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179776"/>
        <c:axId val="149205376"/>
      </c:barChart>
      <c:catAx>
        <c:axId val="14717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9205376"/>
        <c:crosses val="autoZero"/>
        <c:auto val="1"/>
        <c:lblAlgn val="ctr"/>
        <c:lblOffset val="100"/>
        <c:noMultiLvlLbl val="0"/>
      </c:catAx>
      <c:valAx>
        <c:axId val="14920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179776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9090797244094544E-2"/>
          <c:y val="8.1359248698563841E-2"/>
          <c:w val="0.70279486548556702"/>
          <c:h val="0.6760516563336606"/>
        </c:manualLayout>
      </c:layout>
      <c:lineChart>
        <c:grouping val="standard"/>
        <c:varyColors val="0"/>
        <c:ser>
          <c:idx val="0"/>
          <c:order val="0"/>
          <c:tx>
            <c:strRef>
              <c:f>'GRAPHIQUE 02 Mai'!$B$3</c:f>
              <c:strCache>
                <c:ptCount val="1"/>
                <c:pt idx="0">
                  <c:v>Indice de tous les produits</c:v>
                </c:pt>
              </c:strCache>
            </c:strRef>
          </c:tx>
          <c:marker>
            <c:symbol val="none"/>
          </c:marker>
          <c:cat>
            <c:numRef>
              <c:f>'GRAPHIQUE 02 Mai'!$H$2:$BC$2</c:f>
              <c:numCache>
                <c:formatCode>[$-40C]mmm\-yy;@</c:formatCode>
                <c:ptCount val="48"/>
                <c:pt idx="0">
                  <c:v>41791</c:v>
                </c:pt>
                <c:pt idx="1">
                  <c:v>41821</c:v>
                </c:pt>
                <c:pt idx="2">
                  <c:v>41852</c:v>
                </c:pt>
                <c:pt idx="3">
                  <c:v>41883</c:v>
                </c:pt>
                <c:pt idx="4">
                  <c:v>41913</c:v>
                </c:pt>
                <c:pt idx="5">
                  <c:v>41944</c:v>
                </c:pt>
                <c:pt idx="6">
                  <c:v>41974</c:v>
                </c:pt>
                <c:pt idx="7">
                  <c:v>42005</c:v>
                </c:pt>
                <c:pt idx="8">
                  <c:v>42036</c:v>
                </c:pt>
                <c:pt idx="9">
                  <c:v>42064</c:v>
                </c:pt>
                <c:pt idx="10">
                  <c:v>42095</c:v>
                </c:pt>
                <c:pt idx="11">
                  <c:v>42125</c:v>
                </c:pt>
                <c:pt idx="12">
                  <c:v>42156</c:v>
                </c:pt>
                <c:pt idx="13">
                  <c:v>42186</c:v>
                </c:pt>
                <c:pt idx="14">
                  <c:v>42217</c:v>
                </c:pt>
                <c:pt idx="15">
                  <c:v>42248</c:v>
                </c:pt>
                <c:pt idx="16">
                  <c:v>42278</c:v>
                </c:pt>
                <c:pt idx="17">
                  <c:v>42309</c:v>
                </c:pt>
                <c:pt idx="18">
                  <c:v>42339</c:v>
                </c:pt>
                <c:pt idx="19">
                  <c:v>42370</c:v>
                </c:pt>
                <c:pt idx="20">
                  <c:v>42401</c:v>
                </c:pt>
                <c:pt idx="21">
                  <c:v>42430</c:v>
                </c:pt>
                <c:pt idx="22">
                  <c:v>42461</c:v>
                </c:pt>
                <c:pt idx="23">
                  <c:v>42491</c:v>
                </c:pt>
                <c:pt idx="24">
                  <c:v>42522</c:v>
                </c:pt>
                <c:pt idx="25">
                  <c:v>42552</c:v>
                </c:pt>
                <c:pt idx="26">
                  <c:v>42583</c:v>
                </c:pt>
                <c:pt idx="27">
                  <c:v>42614</c:v>
                </c:pt>
                <c:pt idx="28">
                  <c:v>42644</c:v>
                </c:pt>
                <c:pt idx="29">
                  <c:v>42675</c:v>
                </c:pt>
                <c:pt idx="30">
                  <c:v>42705</c:v>
                </c:pt>
                <c:pt idx="31">
                  <c:v>42736</c:v>
                </c:pt>
                <c:pt idx="32">
                  <c:v>42767</c:v>
                </c:pt>
                <c:pt idx="33">
                  <c:v>42795</c:v>
                </c:pt>
                <c:pt idx="34">
                  <c:v>42826</c:v>
                </c:pt>
                <c:pt idx="35">
                  <c:v>42856</c:v>
                </c:pt>
                <c:pt idx="36">
                  <c:v>42887</c:v>
                </c:pt>
                <c:pt idx="37">
                  <c:v>42917</c:v>
                </c:pt>
                <c:pt idx="38">
                  <c:v>42948</c:v>
                </c:pt>
                <c:pt idx="39">
                  <c:v>42979</c:v>
                </c:pt>
                <c:pt idx="40">
                  <c:v>43009</c:v>
                </c:pt>
                <c:pt idx="41">
                  <c:v>43040</c:v>
                </c:pt>
                <c:pt idx="42">
                  <c:v>43070</c:v>
                </c:pt>
                <c:pt idx="43">
                  <c:v>43101</c:v>
                </c:pt>
                <c:pt idx="44">
                  <c:v>43132</c:v>
                </c:pt>
                <c:pt idx="45">
                  <c:v>43160</c:v>
                </c:pt>
                <c:pt idx="46">
                  <c:v>43191</c:v>
                </c:pt>
                <c:pt idx="47">
                  <c:v>43221</c:v>
                </c:pt>
              </c:numCache>
            </c:numRef>
          </c:cat>
          <c:val>
            <c:numRef>
              <c:f>'GRAPHIQUE 02 Mai'!$H$3:$BC$3</c:f>
              <c:numCache>
                <c:formatCode>0.0</c:formatCode>
                <c:ptCount val="48"/>
                <c:pt idx="0">
                  <c:v>88.689402844888946</c:v>
                </c:pt>
                <c:pt idx="1">
                  <c:v>88.997609186420732</c:v>
                </c:pt>
                <c:pt idx="2">
                  <c:v>90.043618065083024</c:v>
                </c:pt>
                <c:pt idx="3">
                  <c:v>90.226676253916011</c:v>
                </c:pt>
                <c:pt idx="4">
                  <c:v>89.360402843324366</c:v>
                </c:pt>
                <c:pt idx="5">
                  <c:v>89.878752099828915</c:v>
                </c:pt>
                <c:pt idx="6">
                  <c:v>89.678822643660354</c:v>
                </c:pt>
                <c:pt idx="7">
                  <c:v>89.664746053314119</c:v>
                </c:pt>
                <c:pt idx="8">
                  <c:v>89.434402389325797</c:v>
                </c:pt>
                <c:pt idx="9">
                  <c:v>91.772781870736651</c:v>
                </c:pt>
                <c:pt idx="10">
                  <c:v>94.422916461682206</c:v>
                </c:pt>
                <c:pt idx="11">
                  <c:v>94.977045377085759</c:v>
                </c:pt>
                <c:pt idx="12">
                  <c:v>95.481868952108798</c:v>
                </c:pt>
                <c:pt idx="13">
                  <c:v>96.106901427024667</c:v>
                </c:pt>
                <c:pt idx="14">
                  <c:v>93.855794253411318</c:v>
                </c:pt>
                <c:pt idx="15">
                  <c:v>93.967440240814426</c:v>
                </c:pt>
                <c:pt idx="16">
                  <c:v>94.372468994772348</c:v>
                </c:pt>
                <c:pt idx="17">
                  <c:v>95.090391506056676</c:v>
                </c:pt>
                <c:pt idx="18">
                  <c:v>96.054067742149698</c:v>
                </c:pt>
                <c:pt idx="19">
                  <c:v>95.355812937653852</c:v>
                </c:pt>
                <c:pt idx="20">
                  <c:v>95.408027705697066</c:v>
                </c:pt>
                <c:pt idx="21">
                  <c:v>95.699890278690688</c:v>
                </c:pt>
                <c:pt idx="22">
                  <c:v>96.900803979910378</c:v>
                </c:pt>
                <c:pt idx="23">
                  <c:v>97.54756723958134</c:v>
                </c:pt>
                <c:pt idx="24">
                  <c:v>99.182536592876644</c:v>
                </c:pt>
                <c:pt idx="25">
                  <c:v>99.900717424516301</c:v>
                </c:pt>
                <c:pt idx="26">
                  <c:v>100.08273706757466</c:v>
                </c:pt>
                <c:pt idx="27">
                  <c:v>100.55864134807702</c:v>
                </c:pt>
                <c:pt idx="28">
                  <c:v>100.01579914745304</c:v>
                </c:pt>
                <c:pt idx="29">
                  <c:v>101.85488427846374</c:v>
                </c:pt>
                <c:pt idx="30">
                  <c:v>105.22857667068465</c:v>
                </c:pt>
                <c:pt idx="31">
                  <c:v>107.61981826647366</c:v>
                </c:pt>
                <c:pt idx="32">
                  <c:v>114.66726788729542</c:v>
                </c:pt>
                <c:pt idx="33">
                  <c:v>115.62439652945874</c:v>
                </c:pt>
                <c:pt idx="34">
                  <c:v>115.55803400802399</c:v>
                </c:pt>
                <c:pt idx="35">
                  <c:v>115.63715623499769</c:v>
                </c:pt>
                <c:pt idx="36">
                  <c:v>113.799018802132</c:v>
                </c:pt>
                <c:pt idx="37">
                  <c:v>113.12833572921251</c:v>
                </c:pt>
                <c:pt idx="38">
                  <c:v>113.71370655330213</c:v>
                </c:pt>
                <c:pt idx="39">
                  <c:v>115.59290090152628</c:v>
                </c:pt>
                <c:pt idx="40">
                  <c:v>117.49677059429688</c:v>
                </c:pt>
                <c:pt idx="41">
                  <c:v>117.44267904979586</c:v>
                </c:pt>
                <c:pt idx="42">
                  <c:v>115.37435333270983</c:v>
                </c:pt>
                <c:pt idx="43">
                  <c:v>114.16934150688891</c:v>
                </c:pt>
                <c:pt idx="44">
                  <c:v>113.44249994771621</c:v>
                </c:pt>
                <c:pt idx="45">
                  <c:v>112.87036819774639</c:v>
                </c:pt>
                <c:pt idx="46">
                  <c:v>113.58345386921398</c:v>
                </c:pt>
                <c:pt idx="47">
                  <c:v>114.44123114633146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844-4D27-A8FF-C950F8DE7C5D}"/>
            </c:ext>
          </c:extLst>
        </c:ser>
        <c:ser>
          <c:idx val="1"/>
          <c:order val="1"/>
          <c:tx>
            <c:strRef>
              <c:f>'GRAPHIQUE 02 Mai'!$B$4</c:f>
              <c:strCache>
                <c:ptCount val="1"/>
                <c:pt idx="0">
                  <c:v>Indice de produits alimentaires</c:v>
                </c:pt>
              </c:strCache>
            </c:strRef>
          </c:tx>
          <c:marker>
            <c:symbol val="none"/>
          </c:marker>
          <c:cat>
            <c:numRef>
              <c:f>'GRAPHIQUE 02 Mai'!$H$2:$BC$2</c:f>
              <c:numCache>
                <c:formatCode>[$-40C]mmm\-yy;@</c:formatCode>
                <c:ptCount val="48"/>
                <c:pt idx="0">
                  <c:v>41791</c:v>
                </c:pt>
                <c:pt idx="1">
                  <c:v>41821</c:v>
                </c:pt>
                <c:pt idx="2">
                  <c:v>41852</c:v>
                </c:pt>
                <c:pt idx="3">
                  <c:v>41883</c:v>
                </c:pt>
                <c:pt idx="4">
                  <c:v>41913</c:v>
                </c:pt>
                <c:pt idx="5">
                  <c:v>41944</c:v>
                </c:pt>
                <c:pt idx="6">
                  <c:v>41974</c:v>
                </c:pt>
                <c:pt idx="7">
                  <c:v>42005</c:v>
                </c:pt>
                <c:pt idx="8">
                  <c:v>42036</c:v>
                </c:pt>
                <c:pt idx="9">
                  <c:v>42064</c:v>
                </c:pt>
                <c:pt idx="10">
                  <c:v>42095</c:v>
                </c:pt>
                <c:pt idx="11">
                  <c:v>42125</c:v>
                </c:pt>
                <c:pt idx="12">
                  <c:v>42156</c:v>
                </c:pt>
                <c:pt idx="13">
                  <c:v>42186</c:v>
                </c:pt>
                <c:pt idx="14">
                  <c:v>42217</c:v>
                </c:pt>
                <c:pt idx="15">
                  <c:v>42248</c:v>
                </c:pt>
                <c:pt idx="16">
                  <c:v>42278</c:v>
                </c:pt>
                <c:pt idx="17">
                  <c:v>42309</c:v>
                </c:pt>
                <c:pt idx="18">
                  <c:v>42339</c:v>
                </c:pt>
                <c:pt idx="19">
                  <c:v>42370</c:v>
                </c:pt>
                <c:pt idx="20">
                  <c:v>42401</c:v>
                </c:pt>
                <c:pt idx="21">
                  <c:v>42430</c:v>
                </c:pt>
                <c:pt idx="22">
                  <c:v>42461</c:v>
                </c:pt>
                <c:pt idx="23">
                  <c:v>42491</c:v>
                </c:pt>
                <c:pt idx="24">
                  <c:v>42522</c:v>
                </c:pt>
                <c:pt idx="25">
                  <c:v>42552</c:v>
                </c:pt>
                <c:pt idx="26">
                  <c:v>42583</c:v>
                </c:pt>
                <c:pt idx="27">
                  <c:v>42614</c:v>
                </c:pt>
                <c:pt idx="28">
                  <c:v>42644</c:v>
                </c:pt>
                <c:pt idx="29">
                  <c:v>42675</c:v>
                </c:pt>
                <c:pt idx="30">
                  <c:v>42705</c:v>
                </c:pt>
                <c:pt idx="31">
                  <c:v>42736</c:v>
                </c:pt>
                <c:pt idx="32">
                  <c:v>42767</c:v>
                </c:pt>
                <c:pt idx="33">
                  <c:v>42795</c:v>
                </c:pt>
                <c:pt idx="34">
                  <c:v>42826</c:v>
                </c:pt>
                <c:pt idx="35">
                  <c:v>42856</c:v>
                </c:pt>
                <c:pt idx="36">
                  <c:v>42887</c:v>
                </c:pt>
                <c:pt idx="37">
                  <c:v>42917</c:v>
                </c:pt>
                <c:pt idx="38">
                  <c:v>42948</c:v>
                </c:pt>
                <c:pt idx="39">
                  <c:v>42979</c:v>
                </c:pt>
                <c:pt idx="40">
                  <c:v>43009</c:v>
                </c:pt>
                <c:pt idx="41">
                  <c:v>43040</c:v>
                </c:pt>
                <c:pt idx="42">
                  <c:v>43070</c:v>
                </c:pt>
                <c:pt idx="43">
                  <c:v>43101</c:v>
                </c:pt>
                <c:pt idx="44">
                  <c:v>43132</c:v>
                </c:pt>
                <c:pt idx="45">
                  <c:v>43160</c:v>
                </c:pt>
                <c:pt idx="46">
                  <c:v>43191</c:v>
                </c:pt>
                <c:pt idx="47">
                  <c:v>43221</c:v>
                </c:pt>
              </c:numCache>
            </c:numRef>
          </c:cat>
          <c:val>
            <c:numRef>
              <c:f>'GRAPHIQUE 02 Mai'!$H$4:$BC$4</c:f>
              <c:numCache>
                <c:formatCode>0.0</c:formatCode>
                <c:ptCount val="48"/>
                <c:pt idx="0">
                  <c:v>87.567522225759603</c:v>
                </c:pt>
                <c:pt idx="1">
                  <c:v>87.313818744925001</c:v>
                </c:pt>
                <c:pt idx="2">
                  <c:v>87.020345092313988</c:v>
                </c:pt>
                <c:pt idx="3">
                  <c:v>86.908381616146755</c:v>
                </c:pt>
                <c:pt idx="4">
                  <c:v>86.552847902182904</c:v>
                </c:pt>
                <c:pt idx="5">
                  <c:v>86.882523900822321</c:v>
                </c:pt>
                <c:pt idx="6">
                  <c:v>85.918227804373757</c:v>
                </c:pt>
                <c:pt idx="7">
                  <c:v>85.231477615948023</c:v>
                </c:pt>
                <c:pt idx="8">
                  <c:v>84.043031609909363</c:v>
                </c:pt>
                <c:pt idx="9">
                  <c:v>87.833541577962308</c:v>
                </c:pt>
                <c:pt idx="10">
                  <c:v>93.550042401438589</c:v>
                </c:pt>
                <c:pt idx="11">
                  <c:v>94.995492497892215</c:v>
                </c:pt>
                <c:pt idx="12">
                  <c:v>96.399557590540653</c:v>
                </c:pt>
                <c:pt idx="13">
                  <c:v>96.547332801241538</c:v>
                </c:pt>
                <c:pt idx="14">
                  <c:v>91.019355977282373</c:v>
                </c:pt>
                <c:pt idx="15">
                  <c:v>91.020073602069488</c:v>
                </c:pt>
                <c:pt idx="16">
                  <c:v>91.309967862430995</c:v>
                </c:pt>
                <c:pt idx="17">
                  <c:v>93.253490710530656</c:v>
                </c:pt>
                <c:pt idx="18">
                  <c:v>96.306832852039818</c:v>
                </c:pt>
                <c:pt idx="19">
                  <c:v>93.677218865094019</c:v>
                </c:pt>
                <c:pt idx="20">
                  <c:v>93.36945477671658</c:v>
                </c:pt>
                <c:pt idx="21">
                  <c:v>93.54004012978001</c:v>
                </c:pt>
                <c:pt idx="22">
                  <c:v>95.780316346359442</c:v>
                </c:pt>
                <c:pt idx="23">
                  <c:v>97.666452251744559</c:v>
                </c:pt>
                <c:pt idx="24">
                  <c:v>100.29532904647421</c:v>
                </c:pt>
                <c:pt idx="25">
                  <c:v>100.94894926790622</c:v>
                </c:pt>
                <c:pt idx="26">
                  <c:v>98.037503099645846</c:v>
                </c:pt>
                <c:pt idx="27">
                  <c:v>98.386933258935116</c:v>
                </c:pt>
                <c:pt idx="28">
                  <c:v>97.681751776568333</c:v>
                </c:pt>
                <c:pt idx="29">
                  <c:v>101.75728381782551</c:v>
                </c:pt>
                <c:pt idx="30">
                  <c:v>109.72936898439687</c:v>
                </c:pt>
                <c:pt idx="31">
                  <c:v>112.80661724364722</c:v>
                </c:pt>
                <c:pt idx="32">
                  <c:v>124.95876767967694</c:v>
                </c:pt>
                <c:pt idx="33">
                  <c:v>125.91148300480914</c:v>
                </c:pt>
                <c:pt idx="34">
                  <c:v>124.74216059306056</c:v>
                </c:pt>
                <c:pt idx="35">
                  <c:v>124.8006872150452</c:v>
                </c:pt>
                <c:pt idx="36">
                  <c:v>121.16560344744994</c:v>
                </c:pt>
                <c:pt idx="37">
                  <c:v>119.79353995026023</c:v>
                </c:pt>
                <c:pt idx="38">
                  <c:v>120.20389455080094</c:v>
                </c:pt>
                <c:pt idx="39">
                  <c:v>121.86165203093766</c:v>
                </c:pt>
                <c:pt idx="40">
                  <c:v>125.07395588491286</c:v>
                </c:pt>
                <c:pt idx="41">
                  <c:v>124.3062469428654</c:v>
                </c:pt>
                <c:pt idx="42">
                  <c:v>120.11945016771081</c:v>
                </c:pt>
                <c:pt idx="43">
                  <c:v>116.44617144015957</c:v>
                </c:pt>
                <c:pt idx="44">
                  <c:v>114.07275505316004</c:v>
                </c:pt>
                <c:pt idx="45">
                  <c:v>112.11728888128512</c:v>
                </c:pt>
                <c:pt idx="46">
                  <c:v>112.66955876004539</c:v>
                </c:pt>
                <c:pt idx="47">
                  <c:v>113.9514047387633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844-4D27-A8FF-C950F8DE7C5D}"/>
            </c:ext>
          </c:extLst>
        </c:ser>
        <c:ser>
          <c:idx val="2"/>
          <c:order val="2"/>
          <c:tx>
            <c:strRef>
              <c:f>'GRAPHIQUE 02 Mai'!$B$5</c:f>
              <c:strCache>
                <c:ptCount val="1"/>
                <c:pt idx="0">
                  <c:v>Indice hors carburant, energie et produits frais</c:v>
                </c:pt>
              </c:strCache>
            </c:strRef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'GRAPHIQUE 02 Mai'!$H$2:$BC$2</c:f>
              <c:numCache>
                <c:formatCode>[$-40C]mmm\-yy;@</c:formatCode>
                <c:ptCount val="48"/>
                <c:pt idx="0">
                  <c:v>41791</c:v>
                </c:pt>
                <c:pt idx="1">
                  <c:v>41821</c:v>
                </c:pt>
                <c:pt idx="2">
                  <c:v>41852</c:v>
                </c:pt>
                <c:pt idx="3">
                  <c:v>41883</c:v>
                </c:pt>
                <c:pt idx="4">
                  <c:v>41913</c:v>
                </c:pt>
                <c:pt idx="5">
                  <c:v>41944</c:v>
                </c:pt>
                <c:pt idx="6">
                  <c:v>41974</c:v>
                </c:pt>
                <c:pt idx="7">
                  <c:v>42005</c:v>
                </c:pt>
                <c:pt idx="8">
                  <c:v>42036</c:v>
                </c:pt>
                <c:pt idx="9">
                  <c:v>42064</c:v>
                </c:pt>
                <c:pt idx="10">
                  <c:v>42095</c:v>
                </c:pt>
                <c:pt idx="11">
                  <c:v>42125</c:v>
                </c:pt>
                <c:pt idx="12">
                  <c:v>42156</c:v>
                </c:pt>
                <c:pt idx="13">
                  <c:v>42186</c:v>
                </c:pt>
                <c:pt idx="14">
                  <c:v>42217</c:v>
                </c:pt>
                <c:pt idx="15">
                  <c:v>42248</c:v>
                </c:pt>
                <c:pt idx="16">
                  <c:v>42278</c:v>
                </c:pt>
                <c:pt idx="17">
                  <c:v>42309</c:v>
                </c:pt>
                <c:pt idx="18">
                  <c:v>42339</c:v>
                </c:pt>
                <c:pt idx="19">
                  <c:v>42370</c:v>
                </c:pt>
                <c:pt idx="20">
                  <c:v>42401</c:v>
                </c:pt>
                <c:pt idx="21">
                  <c:v>42430</c:v>
                </c:pt>
                <c:pt idx="22">
                  <c:v>42461</c:v>
                </c:pt>
                <c:pt idx="23">
                  <c:v>42491</c:v>
                </c:pt>
                <c:pt idx="24">
                  <c:v>42522</c:v>
                </c:pt>
                <c:pt idx="25">
                  <c:v>42552</c:v>
                </c:pt>
                <c:pt idx="26">
                  <c:v>42583</c:v>
                </c:pt>
                <c:pt idx="27">
                  <c:v>42614</c:v>
                </c:pt>
                <c:pt idx="28">
                  <c:v>42644</c:v>
                </c:pt>
                <c:pt idx="29">
                  <c:v>42675</c:v>
                </c:pt>
                <c:pt idx="30">
                  <c:v>42705</c:v>
                </c:pt>
                <c:pt idx="31">
                  <c:v>42736</c:v>
                </c:pt>
                <c:pt idx="32">
                  <c:v>42767</c:v>
                </c:pt>
                <c:pt idx="33">
                  <c:v>42795</c:v>
                </c:pt>
                <c:pt idx="34">
                  <c:v>42826</c:v>
                </c:pt>
                <c:pt idx="35">
                  <c:v>42856</c:v>
                </c:pt>
                <c:pt idx="36">
                  <c:v>42887</c:v>
                </c:pt>
                <c:pt idx="37">
                  <c:v>42917</c:v>
                </c:pt>
                <c:pt idx="38">
                  <c:v>42948</c:v>
                </c:pt>
                <c:pt idx="39">
                  <c:v>42979</c:v>
                </c:pt>
                <c:pt idx="40">
                  <c:v>43009</c:v>
                </c:pt>
                <c:pt idx="41">
                  <c:v>43040</c:v>
                </c:pt>
                <c:pt idx="42">
                  <c:v>43070</c:v>
                </c:pt>
                <c:pt idx="43">
                  <c:v>43101</c:v>
                </c:pt>
                <c:pt idx="44">
                  <c:v>43132</c:v>
                </c:pt>
                <c:pt idx="45">
                  <c:v>43160</c:v>
                </c:pt>
                <c:pt idx="46">
                  <c:v>43191</c:v>
                </c:pt>
                <c:pt idx="47">
                  <c:v>43221</c:v>
                </c:pt>
              </c:numCache>
            </c:numRef>
          </c:cat>
          <c:val>
            <c:numRef>
              <c:f>'GRAPHIQUE 02 Mai'!$H$5:$BC$5</c:f>
              <c:numCache>
                <c:formatCode>0.0</c:formatCode>
                <c:ptCount val="48"/>
                <c:pt idx="0">
                  <c:v>87.879396126620279</c:v>
                </c:pt>
                <c:pt idx="1">
                  <c:v>88.115681471687083</c:v>
                </c:pt>
                <c:pt idx="2">
                  <c:v>89.120741367292226</c:v>
                </c:pt>
                <c:pt idx="3">
                  <c:v>89.213961235934164</c:v>
                </c:pt>
                <c:pt idx="4">
                  <c:v>89.058845337150743</c:v>
                </c:pt>
                <c:pt idx="5">
                  <c:v>89.69435272627365</c:v>
                </c:pt>
                <c:pt idx="6">
                  <c:v>89.994222304354167</c:v>
                </c:pt>
                <c:pt idx="7">
                  <c:v>90.295965707939501</c:v>
                </c:pt>
                <c:pt idx="8">
                  <c:v>90.153008311442406</c:v>
                </c:pt>
                <c:pt idx="9">
                  <c:v>91.310931199194258</c:v>
                </c:pt>
                <c:pt idx="10">
                  <c:v>92.403749102933048</c:v>
                </c:pt>
                <c:pt idx="11">
                  <c:v>92.776614448428404</c:v>
                </c:pt>
                <c:pt idx="12">
                  <c:v>93.098319047826919</c:v>
                </c:pt>
                <c:pt idx="13">
                  <c:v>92.992066174963739</c:v>
                </c:pt>
                <c:pt idx="14">
                  <c:v>92.632724757972753</c:v>
                </c:pt>
                <c:pt idx="15">
                  <c:v>93.393944862999689</c:v>
                </c:pt>
                <c:pt idx="16">
                  <c:v>93.99721044214526</c:v>
                </c:pt>
                <c:pt idx="17">
                  <c:v>95.403407829742207</c:v>
                </c:pt>
                <c:pt idx="18">
                  <c:v>96.428274918498758</c:v>
                </c:pt>
                <c:pt idx="19">
                  <c:v>96.464920044524021</c:v>
                </c:pt>
                <c:pt idx="20">
                  <c:v>95.696581650104378</c:v>
                </c:pt>
                <c:pt idx="21">
                  <c:v>95.652251051220588</c:v>
                </c:pt>
                <c:pt idx="22">
                  <c:v>96.106280025090413</c:v>
                </c:pt>
                <c:pt idx="23">
                  <c:v>97.214164681230073</c:v>
                </c:pt>
                <c:pt idx="24">
                  <c:v>98.821779368579399</c:v>
                </c:pt>
                <c:pt idx="25">
                  <c:v>98.256185204386369</c:v>
                </c:pt>
                <c:pt idx="26">
                  <c:v>100.1739210539543</c:v>
                </c:pt>
                <c:pt idx="27">
                  <c:v>100.55249471252468</c:v>
                </c:pt>
                <c:pt idx="28">
                  <c:v>100.90348249759305</c:v>
                </c:pt>
                <c:pt idx="29">
                  <c:v>102.13789355706038</c:v>
                </c:pt>
                <c:pt idx="30">
                  <c:v>105.50104178391059</c:v>
                </c:pt>
                <c:pt idx="31">
                  <c:v>108.98392441434569</c:v>
                </c:pt>
                <c:pt idx="32">
                  <c:v>108.81467715720385</c:v>
                </c:pt>
                <c:pt idx="33">
                  <c:v>108.26141693144076</c:v>
                </c:pt>
                <c:pt idx="34">
                  <c:v>108.91360559455921</c:v>
                </c:pt>
                <c:pt idx="35">
                  <c:v>109.72926801616768</c:v>
                </c:pt>
                <c:pt idx="36">
                  <c:v>109.17920812076706</c:v>
                </c:pt>
                <c:pt idx="37">
                  <c:v>109.35398205261792</c:v>
                </c:pt>
                <c:pt idx="38">
                  <c:v>109.71520681726255</c:v>
                </c:pt>
                <c:pt idx="39">
                  <c:v>111.51023323589116</c:v>
                </c:pt>
                <c:pt idx="40">
                  <c:v>112.56069981039084</c:v>
                </c:pt>
                <c:pt idx="41">
                  <c:v>113.44292139768145</c:v>
                </c:pt>
                <c:pt idx="42">
                  <c:v>112.56341406688232</c:v>
                </c:pt>
                <c:pt idx="43">
                  <c:v>112.42238021707044</c:v>
                </c:pt>
                <c:pt idx="44">
                  <c:v>111.97299107842603</c:v>
                </c:pt>
                <c:pt idx="45">
                  <c:v>112.08494887329775</c:v>
                </c:pt>
                <c:pt idx="46">
                  <c:v>111.64887250094598</c:v>
                </c:pt>
                <c:pt idx="47">
                  <c:v>111.86152429941033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844-4D27-A8FF-C950F8DE7C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2902016"/>
        <c:axId val="168280832"/>
      </c:lineChart>
      <c:dateAx>
        <c:axId val="162902016"/>
        <c:scaling>
          <c:orientation val="minMax"/>
        </c:scaling>
        <c:delete val="0"/>
        <c:axPos val="b"/>
        <c:numFmt formatCode="[$-40C]mmm\-yy;@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fr-FR"/>
          </a:p>
        </c:txPr>
        <c:crossAx val="168280832"/>
        <c:crosses val="autoZero"/>
        <c:auto val="1"/>
        <c:lblOffset val="100"/>
        <c:baseTimeUnit val="months"/>
      </c:dateAx>
      <c:valAx>
        <c:axId val="168280832"/>
        <c:scaling>
          <c:orientation val="minMax"/>
          <c:max val="130"/>
          <c:min val="8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62902016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81164370078740167"/>
          <c:y val="4.4476417192037328E-2"/>
          <c:w val="0.17199639107611647"/>
          <c:h val="0.82909740933546094"/>
        </c:manualLayout>
      </c:layout>
      <c:overlay val="0"/>
      <c:txPr>
        <a:bodyPr/>
        <a:lstStyle/>
        <a:p>
          <a:pPr>
            <a:defRPr sz="800"/>
          </a:pPr>
          <a:endParaRPr lang="fr-FR"/>
        </a:p>
      </c:txPr>
    </c:legend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9D41B-5638-40B2-B1FD-A1372F3C7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25</Pages>
  <Words>7489</Words>
  <Characters>41191</Characters>
  <Application>Microsoft Office Word</Application>
  <DocSecurity>0</DocSecurity>
  <Lines>343</Lines>
  <Paragraphs>97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cp:lastPrinted>2018-06-11T13:07:00Z</cp:lastPrinted>
  <dcterms:created xsi:type="dcterms:W3CDTF">2018-04-10T10:45:00Z</dcterms:created>
  <dcterms:modified xsi:type="dcterms:W3CDTF">2018-06-13T09:48:00Z</dcterms:modified>
</cp:coreProperties>
</file>