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ED6" w:rsidRPr="00B6647E" w:rsidRDefault="00E51ED6" w:rsidP="002E76B4">
      <w:pPr>
        <w:spacing w:after="120" w:line="240" w:lineRule="auto"/>
        <w:jc w:val="center"/>
        <w:rPr>
          <w:rFonts w:ascii="Arial" w:hAnsi="Arial" w:cs="Arial"/>
          <w:sz w:val="28"/>
          <w:szCs w:val="28"/>
        </w:rPr>
      </w:pPr>
      <w:r w:rsidRPr="00B6647E">
        <w:rPr>
          <w:rFonts w:ascii="Arial" w:hAnsi="Arial" w:cs="Arial"/>
          <w:sz w:val="28"/>
          <w:szCs w:val="28"/>
        </w:rPr>
        <w:t>REPUBLIQUE DU BURUNDI</w:t>
      </w:r>
    </w:p>
    <w:p w:rsidR="00E51ED6" w:rsidRPr="00B6647E" w:rsidRDefault="00E51ED6" w:rsidP="00E51ED6">
      <w:pPr>
        <w:spacing w:after="120" w:line="240" w:lineRule="auto"/>
        <w:jc w:val="center"/>
        <w:rPr>
          <w:rFonts w:ascii="Arial" w:hAnsi="Arial" w:cs="Arial"/>
          <w:bCs/>
        </w:rPr>
      </w:pPr>
      <w:r w:rsidRPr="00B6647E">
        <w:rPr>
          <w:rFonts w:ascii="Arial" w:hAnsi="Arial" w:cs="Arial"/>
          <w:bCs/>
          <w:noProof/>
          <w:lang w:val="fr-FR" w:eastAsia="fr-FR"/>
        </w:rPr>
        <w:drawing>
          <wp:inline distT="0" distB="0" distL="0" distR="0">
            <wp:extent cx="929461" cy="828675"/>
            <wp:effectExtent l="19050" t="0" r="3989" b="0"/>
            <wp:docPr id="129" name="Image 1"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can0002"/>
                    <pic:cNvPicPr>
                      <a:picLocks noChangeAspect="1" noChangeArrowheads="1"/>
                    </pic:cNvPicPr>
                  </pic:nvPicPr>
                  <pic:blipFill>
                    <a:blip r:embed="rId8" cstate="print"/>
                    <a:srcRect/>
                    <a:stretch>
                      <a:fillRect/>
                    </a:stretch>
                  </pic:blipFill>
                  <pic:spPr bwMode="auto">
                    <a:xfrm>
                      <a:off x="0" y="0"/>
                      <a:ext cx="937911" cy="836208"/>
                    </a:xfrm>
                    <a:prstGeom prst="rect">
                      <a:avLst/>
                    </a:prstGeom>
                    <a:noFill/>
                    <a:ln w="9525">
                      <a:noFill/>
                      <a:miter lim="800000"/>
                      <a:headEnd/>
                      <a:tailEnd/>
                    </a:ln>
                  </pic:spPr>
                </pic:pic>
              </a:graphicData>
            </a:graphic>
          </wp:inline>
        </w:drawing>
      </w:r>
    </w:p>
    <w:p w:rsidR="00E51ED6" w:rsidRPr="00B6647E" w:rsidRDefault="00DF50D8" w:rsidP="00E51ED6">
      <w:pPr>
        <w:spacing w:line="240" w:lineRule="auto"/>
        <w:jc w:val="center"/>
        <w:rPr>
          <w:rFonts w:ascii="Arial" w:hAnsi="Arial" w:cs="Arial"/>
        </w:rPr>
      </w:pPr>
      <w:r w:rsidRPr="00DF50D8">
        <w:rPr>
          <w:rFonts w:ascii="Arial" w:hAnsi="Arial" w:cs="Arial"/>
          <w:noProof/>
          <w:sz w:val="16"/>
          <w:szCs w:val="16"/>
        </w:rPr>
        <w:pict>
          <v:shapetype id="_x0000_t202" coordsize="21600,21600" o:spt="202" path="m,l,21600r21600,l21600,xe">
            <v:stroke joinstyle="miter"/>
            <v:path gradientshapeok="t" o:connecttype="rect"/>
          </v:shapetype>
          <v:shape id="Text Box 38" o:spid="_x0000_s1045" type="#_x0000_t202" style="position:absolute;left:0;text-align:left;margin-left:232.45pt;margin-top:4.25pt;width:213.45pt;height:206.7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PNhwIAABoFAAAOAAAAZHJzL2Uyb0RvYy54bWysVFtv2yAUfp+0/4B4T32pncZWnWptl2lS&#10;d5Ha/QACOEbDwIDE7qb99x1wkqa7SNM0P2Auh+9cvu9weTX2Eu24dUKrBmdnKUZcUc2E2jT408Nq&#10;tsDIeaIYkVrxBj9yh6+WL19cDqbmue60ZNwiAFGuHkyDO+9NnSSOdrwn7kwbruCw1bYnHpZ2kzBL&#10;BkDvZZKn6TwZtGXGasqdg93b6RAvI37bcuo/tK3jHskGQ2w+jjaO6zAmy0tSbywxnaD7MMg/RNET&#10;ocDpEeqWeIK2VvwC1QtqtdOtP6O6T3TbCspjDpBNlv6UzX1HDI+5QHGcOZbJ/T9Y+n730SLBgLs0&#10;w0iRHkh64KNH13pE54tQoMG4GuzuDVj6EfbBOCbrzJ2mnx1S+qYjasNfWauHjhMGAWbhZnJydcJx&#10;AWQ9vNMM/JCt1xFobG0fqgf1QIAORD0eyQmxUNjMq/L8fFFiROEsm8/ni4sy+iD14bqxzr/hukdh&#10;0mAL7Ed4srtzPoRD6oNJ8Oa0FGwlpIwLu1nfSIt2BJSyit8e/ZmZVMFY6XBtQpx2IErwEc5CvJH5&#10;b1WWF+l1Xs1WEOusWBXlrLpIF7M0q66reVpUxe3qewgwK+pOMMbVnVD8oMKs+DuW9/0w6SfqEA0N&#10;rsq8nDj6Y5Jp/H6XZC88NKUUfYMXRyNSB2ZfKwZpk9oTIad58jz8WGWoweEfqxJ1EKifRODH9Thp&#10;LngPGllr9gjCsBpoA/bhQYFJp+1XjAZozga7L1tiOUbyrQJxVVlRhG6Oi6K8yGFhT0/WpydEUYBq&#10;sMdomt746QXYGis2HXia5Kz0KxBkK6JUnqLayxgaMOa0fyxCh5+uo9XTk7b8AQAA//8DAFBLAwQU&#10;AAYACAAAACEAoTibSt4AAAAJAQAADwAAAGRycy9kb3ducmV2LnhtbEyPzW6DMBCE75X6DtZG6qVq&#10;DFGAhGKitlKrXvPzAAt2AAWvEXYCeftuT+1tVjOa+bbYzbYXNzP6zpGCeBmBMFQ73VGj4HT8fNmA&#10;8AFJY+/IKLgbD7vy8aHAXLuJ9uZ2CI3gEvI5KmhDGHIpfd0ai37pBkPsnd1oMfA5NlKPOHG57eUq&#10;ilJpsSNeaHEwH62pL4erVXD+np6T7VR9hVO2X6fv2GWVuyv1tJjfXkEEM4e/MPziMzqUzFS5K2kv&#10;egVJHK85qmCTgGB/m6UsKgWrLI5AloX8/0H5AwAA//8DAFBLAQItABQABgAIAAAAIQC2gziS/gAA&#10;AOEBAAATAAAAAAAAAAAAAAAAAAAAAABbQ29udGVudF9UeXBlc10ueG1sUEsBAi0AFAAGAAgAAAAh&#10;ADj9If/WAAAAlAEAAAsAAAAAAAAAAAAAAAAALwEAAF9yZWxzLy5yZWxzUEsBAi0AFAAGAAgAAAAh&#10;AGUZI82HAgAAGgUAAA4AAAAAAAAAAAAAAAAALgIAAGRycy9lMm9Eb2MueG1sUEsBAi0AFAAGAAgA&#10;AAAhAKE4m0reAAAACQEAAA8AAAAAAAAAAAAAAAAA4QQAAGRycy9kb3ducmV2LnhtbFBLBQYAAAAA&#10;BAAEAPMAAADsBQAAAAA=&#10;" stroked="f">
            <v:textbox style="mso-next-textbox:#Text Box 38">
              <w:txbxContent>
                <w:p w:rsidR="00A13D47" w:rsidRPr="002E76B4" w:rsidRDefault="00A13D47" w:rsidP="002E76B4">
                  <w:pPr>
                    <w:spacing w:after="0" w:line="240" w:lineRule="auto"/>
                    <w:jc w:val="center"/>
                    <w:rPr>
                      <w:rFonts w:ascii="Arial" w:hAnsi="Arial" w:cs="Arial"/>
                      <w:b/>
                      <w:sz w:val="20"/>
                      <w:szCs w:val="20"/>
                    </w:rPr>
                  </w:pPr>
                  <w:r w:rsidRPr="002E76B4">
                    <w:rPr>
                      <w:rFonts w:ascii="Arial" w:hAnsi="Arial" w:cs="Arial"/>
                      <w:b/>
                      <w:sz w:val="20"/>
                      <w:szCs w:val="20"/>
                    </w:rPr>
                    <w:t>Ministère de l’Agriculture et de l’Elevage</w:t>
                  </w:r>
                </w:p>
                <w:p w:rsidR="00A13D47" w:rsidRPr="002E76B4" w:rsidRDefault="00A13D47" w:rsidP="002E76B4">
                  <w:pPr>
                    <w:spacing w:after="0" w:line="240" w:lineRule="auto"/>
                    <w:jc w:val="center"/>
                    <w:rPr>
                      <w:rFonts w:ascii="Arial" w:hAnsi="Arial" w:cs="Arial"/>
                      <w:b/>
                      <w:sz w:val="20"/>
                      <w:szCs w:val="20"/>
                    </w:rPr>
                  </w:pPr>
                  <w:r w:rsidRPr="002E76B4">
                    <w:rPr>
                      <w:rFonts w:ascii="Arial" w:hAnsi="Arial" w:cs="Arial"/>
                      <w:b/>
                      <w:sz w:val="20"/>
                      <w:szCs w:val="20"/>
                    </w:rPr>
                    <w:t>-------------</w:t>
                  </w:r>
                </w:p>
                <w:p w:rsidR="00A13D47" w:rsidRPr="002E76B4" w:rsidRDefault="00A13D47" w:rsidP="002E76B4">
                  <w:pPr>
                    <w:spacing w:after="0" w:line="240" w:lineRule="auto"/>
                    <w:jc w:val="center"/>
                    <w:rPr>
                      <w:rFonts w:ascii="Arial" w:hAnsi="Arial" w:cs="Arial"/>
                      <w:b/>
                      <w:sz w:val="20"/>
                      <w:szCs w:val="20"/>
                    </w:rPr>
                  </w:pPr>
                  <w:r w:rsidRPr="002E76B4">
                    <w:rPr>
                      <w:rFonts w:ascii="Arial" w:hAnsi="Arial" w:cs="Arial"/>
                      <w:b/>
                      <w:sz w:val="20"/>
                      <w:szCs w:val="20"/>
                    </w:rPr>
                    <w:t>Direction Générale de la Planification Agricole et de l’Elevage</w:t>
                  </w:r>
                </w:p>
                <w:p w:rsidR="00A13D47" w:rsidRPr="002E76B4" w:rsidRDefault="00A13D47" w:rsidP="002E76B4">
                  <w:pPr>
                    <w:spacing w:after="0" w:line="240" w:lineRule="auto"/>
                    <w:jc w:val="center"/>
                    <w:rPr>
                      <w:rFonts w:ascii="Arial" w:hAnsi="Arial" w:cs="Arial"/>
                      <w:sz w:val="20"/>
                      <w:szCs w:val="20"/>
                    </w:rPr>
                  </w:pPr>
                  <w:r w:rsidRPr="002E76B4">
                    <w:rPr>
                      <w:rFonts w:ascii="Arial" w:hAnsi="Arial" w:cs="Arial"/>
                      <w:sz w:val="20"/>
                      <w:szCs w:val="20"/>
                    </w:rPr>
                    <w:t>(DGPAE)</w:t>
                  </w:r>
                </w:p>
                <w:p w:rsidR="00A13D47" w:rsidRPr="002E76B4" w:rsidRDefault="00A13D47" w:rsidP="002E76B4">
                  <w:pPr>
                    <w:spacing w:after="0" w:line="240" w:lineRule="auto"/>
                    <w:jc w:val="center"/>
                    <w:rPr>
                      <w:rFonts w:ascii="Arial" w:hAnsi="Arial" w:cs="Arial"/>
                      <w:b/>
                      <w:sz w:val="20"/>
                      <w:szCs w:val="20"/>
                    </w:rPr>
                  </w:pPr>
                  <w:r w:rsidRPr="002E76B4">
                    <w:rPr>
                      <w:rFonts w:ascii="Arial" w:hAnsi="Arial" w:cs="Arial"/>
                      <w:b/>
                      <w:sz w:val="20"/>
                      <w:szCs w:val="20"/>
                    </w:rPr>
                    <w:t>-------------</w:t>
                  </w:r>
                </w:p>
                <w:p w:rsidR="00A13D47" w:rsidRPr="002E76B4" w:rsidRDefault="00A13D47" w:rsidP="002E76B4">
                  <w:pPr>
                    <w:spacing w:after="0" w:line="240" w:lineRule="auto"/>
                    <w:jc w:val="center"/>
                    <w:rPr>
                      <w:rFonts w:ascii="Arial" w:hAnsi="Arial" w:cs="Arial"/>
                      <w:b/>
                      <w:sz w:val="20"/>
                      <w:szCs w:val="20"/>
                    </w:rPr>
                  </w:pPr>
                  <w:r w:rsidRPr="002E76B4">
                    <w:rPr>
                      <w:rFonts w:ascii="Arial" w:hAnsi="Arial" w:cs="Arial"/>
                      <w:b/>
                      <w:sz w:val="20"/>
                      <w:szCs w:val="20"/>
                    </w:rPr>
                    <w:t>Direction des Statistiques et Informations Agricoles</w:t>
                  </w:r>
                </w:p>
                <w:p w:rsidR="00A13D47" w:rsidRPr="002E76B4" w:rsidRDefault="00A13D47" w:rsidP="002E76B4">
                  <w:pPr>
                    <w:spacing w:after="0" w:line="240" w:lineRule="auto"/>
                    <w:jc w:val="center"/>
                    <w:rPr>
                      <w:rFonts w:ascii="Arial" w:hAnsi="Arial" w:cs="Arial"/>
                      <w:sz w:val="20"/>
                      <w:szCs w:val="20"/>
                    </w:rPr>
                  </w:pPr>
                  <w:r w:rsidRPr="002E76B4">
                    <w:rPr>
                      <w:rFonts w:ascii="Arial" w:hAnsi="Arial" w:cs="Arial"/>
                      <w:sz w:val="20"/>
                      <w:szCs w:val="20"/>
                    </w:rPr>
                    <w:t>(DSIA)</w:t>
                  </w:r>
                </w:p>
              </w:txbxContent>
            </v:textbox>
          </v:shape>
        </w:pict>
      </w:r>
      <w:r w:rsidRPr="00DF50D8">
        <w:rPr>
          <w:rFonts w:ascii="Arial" w:hAnsi="Arial" w:cs="Arial"/>
          <w:noProof/>
        </w:rPr>
        <w:pict>
          <v:shape id="Text Box 39" o:spid="_x0000_s1046" type="#_x0000_t202" style="position:absolute;left:0;text-align:left;margin-left:30.85pt;margin-top:5.45pt;width:195.3pt;height:162.3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iXAiAIAABoFAAAOAAAAZHJzL2Uyb0RvYy54bWysVG1v2yAQ/j5p/wHxPfVLHSe24lRNu0yT&#10;uhep3Q8gBsdoGBiQ2F21/74DJ2m6F2ma5g8YuOO55+4eWFwNnUB7ZixXssLJRYwRk7WiXG4r/Plh&#10;PZljZB2RlAglWYUfmcVXy9evFr0uWapaJSgzCECkLXtd4dY5XUaRrVvWEXuhNJNgbJTpiIOl2UbU&#10;kB7QOxGlcZxHvTJUG1Uza2H3djTiZcBvGla7j01jmUOiwsDNhdGEcePHaLkg5dYQ3fL6QIP8A4uO&#10;cAlBT1C3xBG0M/wXqI7XRlnVuItadZFqGl6zkANkk8Q/ZXPfEs1CLlAcq09lsv8Ptv6w/2QQp9C7&#10;GOojSQdNemCDQys1oMvCF6jXtgS/ew2eboB9cA7JWn2n6i8WSXXTErll18aovmWEAsHEn4zOjo44&#10;1oNs+veKQhyycyoADY3pfPWgHgjQgcjjqTmeSw2b6SyL8xxMNdiSfJrkl9MQg5TH49pY95apDvlJ&#10;hQ10P8CT/Z11ng4pjy4+mlWC0zUXIizMdnMjDNoTUMo6fAf0F25Cemep/LERcdwBlhDD2zzf0Pmn&#10;IkmzeJUWk3U+n02ydTadFLN4PomTYlXkcVZkt+vvnmCSlS2nlMk7LtlRhUn2d10+3IdRP0GHqK9w&#10;MU2nY4/+mGQcvt8l2XEHl1LwrsLzkxMpfWffSAppk9IRLsZ59JJ+qDLU4PgPVQk68K0fReCGzRA0&#10;l/roXiMbRR9BGEZB26DF8KDApFXmG0Y9XM4K2687YhhG4p0EcRVJloGbC4tsOkthYc4tm3MLkTVA&#10;VdhhNE5v3PgC7LTh2xYijXKW6hoE2fAglWdWBxnDBQw5HR4Lf8PP18Hr+Ulb/gAAAP//AwBQSwME&#10;FAAGAAgAAAAhAOu0T1/dAAAACAEAAA8AAABkcnMvZG93bnJldi54bWxMj81OwzAQhO9IvIO1SFwQ&#10;dfpDTdI4FSCBem3pA2zibRI1tqPYbdK3ZznBcXZGM9/m28l24kpDaL3TMJ8lIMhV3rSu1nD8/nx+&#10;BREiOoOdd6ThRgG2xf1djpnxo9vT9RBrwSUuZKihibHPpAxVQxbDzPfk2Dv5wWJkOdTSDDhyue3k&#10;IknW0mLreKHBnj4aqs6Hi9Vw2o1PL+lYfsWj2q/W79iq0t+0fnyY3jYgIk3xLwy/+IwOBTOV/uJM&#10;EJ0GpTjI5yQFwfZqmS5BlBoWap6ALHL5/4HiBwAA//8DAFBLAQItABQABgAIAAAAIQC2gziS/gAA&#10;AOEBAAATAAAAAAAAAAAAAAAAAAAAAABbQ29udGVudF9UeXBlc10ueG1sUEsBAi0AFAAGAAgAAAAh&#10;ADj9If/WAAAAlAEAAAsAAAAAAAAAAAAAAAAALwEAAF9yZWxzLy5yZWxzUEsBAi0AFAAGAAgAAAAh&#10;AMQOJcCIAgAAGgUAAA4AAAAAAAAAAAAAAAAALgIAAGRycy9lMm9Eb2MueG1sUEsBAi0AFAAGAAgA&#10;AAAhAOu0T1/dAAAACAEAAA8AAAAAAAAAAAAAAAAA4gQAAGRycy9kb3ducmV2LnhtbFBLBQYAAAAA&#10;BAAEAPMAAADsBQAAAAA=&#10;" stroked="f">
            <v:textbox style="mso-next-textbox:#Text Box 39">
              <w:txbxContent>
                <w:p w:rsidR="00A13D47" w:rsidRPr="002E76B4" w:rsidRDefault="00A13D47" w:rsidP="002E76B4">
                  <w:pPr>
                    <w:spacing w:after="0" w:line="240" w:lineRule="auto"/>
                    <w:jc w:val="center"/>
                    <w:rPr>
                      <w:rFonts w:ascii="Arial Narrow" w:hAnsi="Arial Narrow" w:cs="Arial"/>
                      <w:b/>
                      <w:sz w:val="20"/>
                      <w:szCs w:val="20"/>
                    </w:rPr>
                  </w:pPr>
                  <w:r w:rsidRPr="002E76B4">
                    <w:rPr>
                      <w:rFonts w:ascii="Arial Narrow" w:hAnsi="Arial Narrow" w:cs="Arial"/>
                      <w:b/>
                      <w:sz w:val="20"/>
                      <w:szCs w:val="20"/>
                    </w:rPr>
                    <w:t>Ministère des Finances et de la Planification du Développement Economique</w:t>
                  </w:r>
                </w:p>
                <w:p w:rsidR="00A13D47" w:rsidRPr="002E76B4" w:rsidRDefault="00A13D47" w:rsidP="002E76B4">
                  <w:pPr>
                    <w:spacing w:after="0" w:line="240" w:lineRule="auto"/>
                    <w:jc w:val="center"/>
                    <w:rPr>
                      <w:rFonts w:ascii="Arial Narrow" w:hAnsi="Arial Narrow" w:cs="Arial"/>
                      <w:b/>
                      <w:sz w:val="20"/>
                      <w:szCs w:val="20"/>
                    </w:rPr>
                  </w:pPr>
                  <w:r w:rsidRPr="002E76B4">
                    <w:rPr>
                      <w:rFonts w:ascii="Arial Narrow" w:hAnsi="Arial Narrow" w:cs="Arial"/>
                      <w:b/>
                      <w:sz w:val="20"/>
                      <w:szCs w:val="20"/>
                    </w:rPr>
                    <w:t>-------------</w:t>
                  </w:r>
                </w:p>
                <w:p w:rsidR="00A13D47" w:rsidRPr="002E76B4" w:rsidRDefault="00A13D47" w:rsidP="002E76B4">
                  <w:pPr>
                    <w:spacing w:after="0" w:line="240" w:lineRule="auto"/>
                    <w:jc w:val="center"/>
                    <w:rPr>
                      <w:rFonts w:ascii="Arial Narrow" w:hAnsi="Arial Narrow" w:cs="Arial"/>
                      <w:b/>
                      <w:sz w:val="20"/>
                      <w:szCs w:val="20"/>
                    </w:rPr>
                  </w:pPr>
                  <w:r w:rsidRPr="002E76B4">
                    <w:rPr>
                      <w:rFonts w:ascii="Arial Narrow" w:hAnsi="Arial Narrow" w:cs="Arial"/>
                      <w:b/>
                      <w:sz w:val="20"/>
                      <w:szCs w:val="20"/>
                    </w:rPr>
                    <w:t xml:space="preserve">Institut de Statistiques et d’Etudes Economiques </w:t>
                  </w:r>
                </w:p>
                <w:p w:rsidR="00A13D47" w:rsidRPr="002E76B4" w:rsidRDefault="00A13D47" w:rsidP="002E76B4">
                  <w:pPr>
                    <w:spacing w:after="0" w:line="240" w:lineRule="auto"/>
                    <w:jc w:val="center"/>
                    <w:rPr>
                      <w:rFonts w:ascii="Arial Narrow" w:hAnsi="Arial Narrow" w:cs="Arial"/>
                      <w:b/>
                      <w:sz w:val="20"/>
                      <w:szCs w:val="20"/>
                    </w:rPr>
                  </w:pPr>
                  <w:r w:rsidRPr="002E76B4">
                    <w:rPr>
                      <w:rFonts w:ascii="Arial Narrow" w:hAnsi="Arial Narrow" w:cs="Arial"/>
                      <w:b/>
                      <w:sz w:val="20"/>
                      <w:szCs w:val="20"/>
                    </w:rPr>
                    <w:t>du Burundi</w:t>
                  </w:r>
                </w:p>
                <w:p w:rsidR="00A13D47" w:rsidRPr="002E76B4" w:rsidRDefault="00A13D47" w:rsidP="002E76B4">
                  <w:pPr>
                    <w:spacing w:after="0" w:line="240" w:lineRule="auto"/>
                    <w:jc w:val="center"/>
                    <w:rPr>
                      <w:rFonts w:ascii="Arial Narrow" w:hAnsi="Arial Narrow"/>
                      <w:sz w:val="20"/>
                      <w:szCs w:val="20"/>
                    </w:rPr>
                  </w:pPr>
                  <w:r w:rsidRPr="002E76B4">
                    <w:rPr>
                      <w:rFonts w:ascii="Arial Narrow" w:hAnsi="Arial Narrow"/>
                      <w:sz w:val="20"/>
                      <w:szCs w:val="20"/>
                    </w:rPr>
                    <w:t>(ISTEEBU)</w:t>
                  </w:r>
                </w:p>
                <w:p w:rsidR="00A13D47" w:rsidRPr="002E76B4" w:rsidRDefault="00A13D47" w:rsidP="002E76B4">
                  <w:pPr>
                    <w:spacing w:after="0" w:line="240" w:lineRule="auto"/>
                    <w:rPr>
                      <w:rFonts w:ascii="Arial Narrow" w:hAnsi="Arial Narrow"/>
                      <w:sz w:val="20"/>
                      <w:szCs w:val="20"/>
                    </w:rPr>
                  </w:pPr>
                </w:p>
              </w:txbxContent>
            </v:textbox>
          </v:shape>
        </w:pict>
      </w:r>
    </w:p>
    <w:p w:rsidR="00E51ED6" w:rsidRPr="00B6647E" w:rsidRDefault="00E51ED6" w:rsidP="00E51ED6">
      <w:pPr>
        <w:spacing w:line="240" w:lineRule="auto"/>
        <w:jc w:val="center"/>
        <w:rPr>
          <w:rFonts w:ascii="Arial" w:hAnsi="Arial" w:cs="Arial"/>
        </w:rPr>
      </w:pPr>
    </w:p>
    <w:p w:rsidR="00E51ED6" w:rsidRPr="00B6647E" w:rsidRDefault="00E51ED6" w:rsidP="00E51ED6">
      <w:pPr>
        <w:spacing w:line="240" w:lineRule="auto"/>
        <w:jc w:val="center"/>
        <w:rPr>
          <w:rFonts w:ascii="Arial" w:hAnsi="Arial" w:cs="Arial"/>
        </w:rPr>
      </w:pPr>
    </w:p>
    <w:p w:rsidR="00E51ED6" w:rsidRPr="00B6647E" w:rsidRDefault="00E51ED6" w:rsidP="00E51ED6">
      <w:pPr>
        <w:spacing w:line="240" w:lineRule="auto"/>
        <w:jc w:val="center"/>
        <w:rPr>
          <w:rFonts w:ascii="Arial" w:hAnsi="Arial" w:cs="Arial"/>
        </w:rPr>
      </w:pPr>
    </w:p>
    <w:p w:rsidR="00E51ED6" w:rsidRPr="00B6647E" w:rsidRDefault="00E51ED6" w:rsidP="00E51ED6">
      <w:pPr>
        <w:spacing w:line="240" w:lineRule="auto"/>
        <w:jc w:val="center"/>
        <w:rPr>
          <w:rFonts w:ascii="Arial" w:hAnsi="Arial" w:cs="Arial"/>
        </w:rPr>
      </w:pPr>
    </w:p>
    <w:p w:rsidR="00E51ED6" w:rsidRPr="00B6647E" w:rsidRDefault="00E51ED6" w:rsidP="00E51ED6">
      <w:pPr>
        <w:spacing w:line="240" w:lineRule="auto"/>
        <w:jc w:val="center"/>
        <w:rPr>
          <w:rFonts w:ascii="Arial" w:hAnsi="Arial" w:cs="Arial"/>
        </w:rPr>
      </w:pPr>
    </w:p>
    <w:p w:rsidR="00E51ED6" w:rsidRPr="00B6647E" w:rsidRDefault="00E51ED6" w:rsidP="00E51ED6">
      <w:pPr>
        <w:spacing w:line="240" w:lineRule="auto"/>
        <w:jc w:val="center"/>
        <w:rPr>
          <w:rFonts w:ascii="Arial" w:hAnsi="Arial" w:cs="Arial"/>
        </w:rPr>
      </w:pPr>
    </w:p>
    <w:p w:rsidR="00E51ED6" w:rsidRPr="00B6647E" w:rsidRDefault="00E51ED6" w:rsidP="00E51ED6">
      <w:pPr>
        <w:spacing w:line="240" w:lineRule="auto"/>
        <w:jc w:val="center"/>
        <w:rPr>
          <w:rFonts w:ascii="Arial" w:hAnsi="Arial" w:cs="Arial"/>
          <w:sz w:val="16"/>
          <w:szCs w:val="16"/>
        </w:rPr>
      </w:pPr>
    </w:p>
    <w:p w:rsidR="00E51ED6" w:rsidRPr="00B6647E" w:rsidRDefault="00E51ED6" w:rsidP="00E51ED6">
      <w:pPr>
        <w:spacing w:line="240" w:lineRule="auto"/>
        <w:jc w:val="center"/>
        <w:rPr>
          <w:rFonts w:ascii="Arial" w:hAnsi="Arial" w:cs="Arial"/>
          <w:sz w:val="16"/>
          <w:szCs w:val="16"/>
        </w:rPr>
      </w:pPr>
    </w:p>
    <w:p w:rsidR="0042344A" w:rsidRPr="00B6647E" w:rsidRDefault="0042344A" w:rsidP="00E51ED6">
      <w:pPr>
        <w:spacing w:line="240" w:lineRule="auto"/>
        <w:jc w:val="center"/>
        <w:rPr>
          <w:rFonts w:ascii="Arial" w:hAnsi="Arial" w:cs="Arial"/>
          <w:sz w:val="16"/>
          <w:szCs w:val="16"/>
        </w:rPr>
      </w:pPr>
    </w:p>
    <w:p w:rsidR="00E51ED6" w:rsidRPr="00B6647E" w:rsidRDefault="00E51ED6" w:rsidP="00E51ED6">
      <w:pPr>
        <w:spacing w:line="240" w:lineRule="auto"/>
        <w:jc w:val="center"/>
        <w:rPr>
          <w:rFonts w:ascii="Arial" w:hAnsi="Arial" w:cs="Arial"/>
          <w:sz w:val="16"/>
          <w:szCs w:val="16"/>
        </w:rPr>
      </w:pPr>
      <w:r w:rsidRPr="00B6647E">
        <w:rPr>
          <w:rFonts w:ascii="Arial" w:hAnsi="Arial" w:cs="Arial"/>
          <w:sz w:val="16"/>
          <w:szCs w:val="16"/>
        </w:rPr>
        <w:t>---------------------------------------------------------------------------------------------------------------------------------------------------------------</w:t>
      </w:r>
    </w:p>
    <w:p w:rsidR="00E51ED6" w:rsidRPr="00B6647E" w:rsidRDefault="00E51ED6" w:rsidP="00E51ED6">
      <w:pPr>
        <w:spacing w:line="240" w:lineRule="auto"/>
        <w:jc w:val="center"/>
        <w:rPr>
          <w:rFonts w:ascii="Arial" w:hAnsi="Arial" w:cs="Arial"/>
          <w:sz w:val="36"/>
          <w:szCs w:val="36"/>
        </w:rPr>
      </w:pPr>
    </w:p>
    <w:p w:rsidR="00E51ED6" w:rsidRPr="00B6647E" w:rsidRDefault="00E51ED6" w:rsidP="00E51ED6">
      <w:pPr>
        <w:spacing w:line="240" w:lineRule="auto"/>
        <w:jc w:val="center"/>
        <w:rPr>
          <w:rFonts w:ascii="Arial" w:hAnsi="Arial" w:cs="Arial"/>
          <w:sz w:val="36"/>
          <w:szCs w:val="36"/>
        </w:rPr>
      </w:pPr>
    </w:p>
    <w:p w:rsidR="00E51ED6" w:rsidRPr="00B6647E" w:rsidRDefault="00E51ED6" w:rsidP="00E51ED6">
      <w:pPr>
        <w:spacing w:line="240" w:lineRule="auto"/>
        <w:jc w:val="center"/>
        <w:rPr>
          <w:rFonts w:ascii="Arial" w:hAnsi="Arial" w:cs="Arial"/>
          <w:sz w:val="36"/>
          <w:szCs w:val="36"/>
        </w:rPr>
      </w:pPr>
      <w:r w:rsidRPr="00B6647E">
        <w:rPr>
          <w:rFonts w:ascii="Arial" w:hAnsi="Arial" w:cs="Arial"/>
          <w:sz w:val="36"/>
          <w:szCs w:val="36"/>
        </w:rPr>
        <w:t>ENQUETE NATIONALE AGRICOLE DU BURUNDI 2011-2012</w:t>
      </w:r>
    </w:p>
    <w:p w:rsidR="00E51ED6" w:rsidRPr="00B6647E" w:rsidRDefault="00E51ED6" w:rsidP="00E51ED6">
      <w:pPr>
        <w:spacing w:line="240" w:lineRule="auto"/>
        <w:jc w:val="right"/>
        <w:rPr>
          <w:rFonts w:ascii="Arial" w:hAnsi="Arial" w:cs="Arial"/>
          <w:sz w:val="24"/>
        </w:rPr>
      </w:pPr>
    </w:p>
    <w:p w:rsidR="00E83F94" w:rsidRDefault="00E83F94" w:rsidP="00E51ED6">
      <w:pPr>
        <w:spacing w:line="240" w:lineRule="auto"/>
        <w:jc w:val="center"/>
        <w:rPr>
          <w:rFonts w:ascii="Arial" w:hAnsi="Arial" w:cs="Arial"/>
          <w:sz w:val="32"/>
          <w:szCs w:val="32"/>
        </w:rPr>
      </w:pPr>
      <w:r>
        <w:rPr>
          <w:rFonts w:ascii="Arial" w:hAnsi="Arial" w:cs="Arial"/>
          <w:sz w:val="32"/>
          <w:szCs w:val="32"/>
        </w:rPr>
        <w:t>Volume 1 :</w:t>
      </w:r>
    </w:p>
    <w:p w:rsidR="00E51ED6" w:rsidRPr="00B6647E" w:rsidRDefault="00E51ED6" w:rsidP="00E51ED6">
      <w:pPr>
        <w:spacing w:line="240" w:lineRule="auto"/>
        <w:jc w:val="center"/>
        <w:rPr>
          <w:rFonts w:ascii="Arial" w:hAnsi="Arial" w:cs="Arial"/>
          <w:sz w:val="32"/>
          <w:szCs w:val="32"/>
        </w:rPr>
      </w:pPr>
      <w:r w:rsidRPr="00B6647E">
        <w:rPr>
          <w:rFonts w:ascii="Arial" w:hAnsi="Arial" w:cs="Arial"/>
          <w:sz w:val="32"/>
          <w:szCs w:val="32"/>
        </w:rPr>
        <w:t>Résultats de la campagne agricole</w:t>
      </w:r>
    </w:p>
    <w:p w:rsidR="00E51ED6" w:rsidRPr="00B6647E" w:rsidRDefault="00E51ED6" w:rsidP="00E51ED6">
      <w:pPr>
        <w:spacing w:line="240" w:lineRule="auto"/>
        <w:rPr>
          <w:rFonts w:ascii="Arial" w:hAnsi="Arial" w:cs="Arial"/>
        </w:rPr>
      </w:pPr>
    </w:p>
    <w:p w:rsidR="00E51ED6" w:rsidRPr="00B6647E" w:rsidRDefault="00E51ED6" w:rsidP="00E51ED6">
      <w:pPr>
        <w:spacing w:line="240" w:lineRule="auto"/>
        <w:rPr>
          <w:rFonts w:ascii="Arial" w:hAnsi="Arial" w:cs="Arial"/>
        </w:rPr>
      </w:pPr>
    </w:p>
    <w:p w:rsidR="00E51ED6" w:rsidRPr="00B6647E" w:rsidRDefault="00E51ED6" w:rsidP="00E51ED6">
      <w:pPr>
        <w:spacing w:line="240" w:lineRule="auto"/>
        <w:rPr>
          <w:rFonts w:ascii="Arial" w:hAnsi="Arial" w:cs="Arial"/>
        </w:rPr>
      </w:pPr>
      <w:r w:rsidRPr="00B6647E">
        <w:rPr>
          <w:rFonts w:ascii="Arial" w:hAnsi="Arial" w:cs="Arial"/>
          <w:noProof/>
          <w:lang w:val="fr-FR" w:eastAsia="fr-FR"/>
        </w:rPr>
        <w:drawing>
          <wp:anchor distT="0" distB="0" distL="114300" distR="114300" simplePos="0" relativeHeight="251701248" behindDoc="0" locked="0" layoutInCell="1" allowOverlap="1">
            <wp:simplePos x="0" y="0"/>
            <wp:positionH relativeFrom="column">
              <wp:posOffset>3038112</wp:posOffset>
            </wp:positionH>
            <wp:positionV relativeFrom="paragraph">
              <wp:posOffset>280101</wp:posOffset>
            </wp:positionV>
            <wp:extent cx="479714" cy="356259"/>
            <wp:effectExtent l="19050" t="0" r="0" b="0"/>
            <wp:wrapNone/>
            <wp:docPr id="12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479714" cy="356259"/>
                    </a:xfrm>
                    <a:prstGeom prst="rect">
                      <a:avLst/>
                    </a:prstGeom>
                    <a:noFill/>
                  </pic:spPr>
                </pic:pic>
              </a:graphicData>
            </a:graphic>
          </wp:anchor>
        </w:drawing>
      </w:r>
      <w:r w:rsidR="00DF50D8" w:rsidRPr="00DF50D8">
        <w:rPr>
          <w:rFonts w:ascii="Arial" w:hAnsi="Arial" w:cs="Arial"/>
          <w:noProof/>
        </w:rPr>
        <w:pict>
          <v:shape id="Text Box 41" o:spid="_x0000_s1047" type="#_x0000_t202" style="position:absolute;margin-left:343.85pt;margin-top:10.65pt;width:84pt;height:67.5pt;z-index:25170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oDhwIAABgFAAAOAAAAZHJzL2Uyb0RvYy54bWysVNuO2yAQfa/Uf0C8Z22nTja21lntpakq&#10;bS/Sbj+AAI5RMeMCib1d9d874CTN9iJVVf2AGWaY2znDxeXQarKT1ikwFc3OUkqk4SCU2VT008Nq&#10;sqDEeWYE02BkRR+lo5fLly8u+q6UU2hAC2kJOjGu7LuKNt53ZZI43siWuTPopEFlDbZlHkW7SYRl&#10;PXpvdTJN03nSgxWdBS6dw9PbUUmX0X9dS+4/1LWTnuiKYm4+rjau67AmywtWbizrGsX3abB/yKJl&#10;ymDQo6tb5hnZWvWLq1ZxCw5qf8ahTaCuFZexBqwmS3+q5r5hnYy1YHNcd2yT+39u+fvdR0uUqGhR&#10;UGJYixg9yMGTaxhInoX+9J0r0ey+Q0M/4DniHGt13R3wz44YuGmY2cgra6FvJBOYX7yZnFwd/bjg&#10;ZN2/A4Fx2NZDdDTUtg3Nw3YQ9I44PR6xCbnwEDKdzxcpqjjqFrPz6SyCl7DycLuzzr+R0JKwqahF&#10;7KN3trtzHutA04NJCOZAK7FSWkfBbtY32pIdQ56s4hdKxyvPzLQJxgbCtVE9nmCSGCPoQroR96ci&#10;m+bp9bSYrOaL80m+ymeT4jxdTNKsuC7maV7kt6tvIcEsLxslhDR3ysgDB7P87zDeT8PInshC0iOW&#10;s+lshOiPRabx+12RrfI4klq12OejESsDsK+NwLJZ6ZnS4z55nn5sGfbg8I9diTQIyI8c8MN6iIx7&#10;dWDXGsQj8sICwoYI43OCmwbsV0p6HM2Kui9bZiUl+q1BbhVZnodZjkKOVEDBnmrWpxpmOLqqqKdk&#10;3N74cf63nVWbBiONbDZwhXysVaRKIO6YFVYSBBy/WNP+qQjzfSpHqx8P2vI7AAAA//8DAFBLAwQU&#10;AAYACAAAACEARn7ALN4AAAALAQAADwAAAGRycy9kb3ducmV2LnhtbEyPwU7DMBBE70j8g7VIXBC1&#10;gdCENE4FSKBeW/oBTrxNosbrKHab9O/ZnuC2uzOafVOsZ9eLM46h86ThaaFAINXedtRo2P98PWYg&#10;QjRkTe8JNVwwwLq8vSlMbv1EWzzvYiM4hEJuNLQxDrmUoW7RmbDwAxJrBz86E3kdG2lHM3G46+Wz&#10;UkvpTEf8oTUDfrZYH3cnp+GwmR5e36bqO+7TbbL8MF1a+YvW93fz+wpExDn+meGKz+hQMlPlT2SD&#10;6DVkiWL0yMJLCuJqUCrjS8VTkqUgy0L+71D+AgAA//8DAFBLAQItABQABgAIAAAAIQC2gziS/gAA&#10;AOEBAAATAAAAAAAAAAAAAAAAAAAAAABbQ29udGVudF9UeXBlc10ueG1sUEsBAi0AFAAGAAgAAAAh&#10;ADj9If/WAAAAlAEAAAsAAAAAAAAAAAAAAAAALwEAAF9yZWxzLy5yZWxzUEsBAi0AFAAGAAgAAAAh&#10;AGtgigOHAgAAGAUAAA4AAAAAAAAAAAAAAAAALgIAAGRycy9lMm9Eb2MueG1sUEsBAi0AFAAGAAgA&#10;AAAhAEZ+wCzeAAAACwEAAA8AAAAAAAAAAAAAAAAA4QQAAGRycy9kb3ducmV2LnhtbFBLBQYAAAAA&#10;BAAEAPMAAADsBQAAAAA=&#10;" stroked="f">
            <v:textbox style="mso-next-textbox:#Text Box 41">
              <w:txbxContent>
                <w:p w:rsidR="00A13D47" w:rsidRDefault="00A13D47" w:rsidP="00E51ED6">
                  <w:r>
                    <w:rPr>
                      <w:noProof/>
                      <w:lang w:val="fr-FR" w:eastAsia="fr-FR"/>
                    </w:rPr>
                    <w:drawing>
                      <wp:inline distT="0" distB="0" distL="0" distR="0">
                        <wp:extent cx="554156" cy="554156"/>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
                                <pic:cNvPicPr>
                                  <a:picLocks noChangeAspect="1" noChangeArrowheads="1"/>
                                </pic:cNvPicPr>
                              </pic:nvPicPr>
                              <pic:blipFill>
                                <a:blip r:embed="rId10"/>
                                <a:srcRect/>
                                <a:stretch>
                                  <a:fillRect/>
                                </a:stretch>
                              </pic:blipFill>
                              <pic:spPr bwMode="auto">
                                <a:xfrm>
                                  <a:off x="0" y="0"/>
                                  <a:ext cx="556638" cy="556638"/>
                                </a:xfrm>
                                <a:prstGeom prst="rect">
                                  <a:avLst/>
                                </a:prstGeom>
                                <a:noFill/>
                                <a:ln w="9525">
                                  <a:noFill/>
                                  <a:miter lim="800000"/>
                                  <a:headEnd/>
                                  <a:tailEnd/>
                                </a:ln>
                              </pic:spPr>
                            </pic:pic>
                          </a:graphicData>
                        </a:graphic>
                      </wp:inline>
                    </w:drawing>
                  </w:r>
                </w:p>
              </w:txbxContent>
            </v:textbox>
          </v:shape>
        </w:pict>
      </w:r>
      <w:r w:rsidRPr="00B6647E">
        <w:rPr>
          <w:rFonts w:ascii="Arial" w:hAnsi="Arial" w:cs="Arial"/>
          <w:noProof/>
          <w:lang w:val="fr-FR" w:eastAsia="fr-FR"/>
        </w:rPr>
        <w:drawing>
          <wp:inline distT="0" distB="0" distL="0" distR="0">
            <wp:extent cx="1719709" cy="723332"/>
            <wp:effectExtent l="19050" t="0" r="0" b="0"/>
            <wp:docPr id="121" name="Image 75" descr="C:\Users\john\Desktop\Logos\ctb_burundi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ohn\Desktop\Logos\ctb_burundi_w.jpg"/>
                    <pic:cNvPicPr>
                      <a:picLocks noChangeAspect="1" noChangeArrowheads="1"/>
                    </pic:cNvPicPr>
                  </pic:nvPicPr>
                  <pic:blipFill>
                    <a:blip r:embed="rId11" cstate="print"/>
                    <a:srcRect/>
                    <a:stretch>
                      <a:fillRect/>
                    </a:stretch>
                  </pic:blipFill>
                  <pic:spPr bwMode="auto">
                    <a:xfrm>
                      <a:off x="0" y="0"/>
                      <a:ext cx="1723384" cy="724878"/>
                    </a:xfrm>
                    <a:prstGeom prst="rect">
                      <a:avLst/>
                    </a:prstGeom>
                    <a:noFill/>
                    <a:ln w="9525">
                      <a:noFill/>
                      <a:miter lim="800000"/>
                      <a:headEnd/>
                      <a:tailEnd/>
                    </a:ln>
                  </pic:spPr>
                </pic:pic>
              </a:graphicData>
            </a:graphic>
          </wp:inline>
        </w:drawing>
      </w:r>
      <w:r w:rsidRPr="00B6647E">
        <w:rPr>
          <w:rFonts w:ascii="Arial" w:hAnsi="Arial" w:cs="Arial"/>
          <w:snapToGrid w:val="0"/>
          <w:color w:val="000000"/>
          <w:w w:val="0"/>
          <w:sz w:val="0"/>
          <w:szCs w:val="0"/>
          <w:u w:color="000000"/>
          <w:bdr w:val="none" w:sz="0" w:space="0" w:color="000000"/>
          <w:shd w:val="clear" w:color="000000" w:fill="000000"/>
        </w:rPr>
        <w:t xml:space="preserve"> </w:t>
      </w:r>
      <w:r w:rsidRPr="00B6647E">
        <w:rPr>
          <w:rFonts w:ascii="Arial" w:hAnsi="Arial" w:cs="Arial"/>
          <w:noProof/>
          <w:lang w:val="fr-FR" w:eastAsia="fr-FR"/>
        </w:rPr>
        <w:drawing>
          <wp:inline distT="0" distB="0" distL="0" distR="0">
            <wp:extent cx="752048" cy="521046"/>
            <wp:effectExtent l="19050" t="0" r="0" b="0"/>
            <wp:docPr id="122" name="Image 76" descr="C:\Users\john\Desktop\Logos\Logo PAIOSA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john\Desktop\Logos\Logo PAIOSA couleur.jpg"/>
                    <pic:cNvPicPr>
                      <a:picLocks noChangeAspect="1" noChangeArrowheads="1"/>
                    </pic:cNvPicPr>
                  </pic:nvPicPr>
                  <pic:blipFill>
                    <a:blip r:embed="rId12" cstate="print"/>
                    <a:srcRect/>
                    <a:stretch>
                      <a:fillRect/>
                    </a:stretch>
                  </pic:blipFill>
                  <pic:spPr bwMode="auto">
                    <a:xfrm>
                      <a:off x="0" y="0"/>
                      <a:ext cx="756958" cy="524448"/>
                    </a:xfrm>
                    <a:prstGeom prst="rect">
                      <a:avLst/>
                    </a:prstGeom>
                    <a:noFill/>
                    <a:ln w="9525">
                      <a:noFill/>
                      <a:miter lim="800000"/>
                      <a:headEnd/>
                      <a:tailEnd/>
                    </a:ln>
                  </pic:spPr>
                </pic:pic>
              </a:graphicData>
            </a:graphic>
          </wp:inline>
        </w:drawing>
      </w:r>
    </w:p>
    <w:p w:rsidR="00E51ED6" w:rsidRPr="00B6647E" w:rsidRDefault="00E51ED6" w:rsidP="00E51ED6">
      <w:pPr>
        <w:spacing w:line="240" w:lineRule="auto"/>
        <w:rPr>
          <w:rFonts w:ascii="Arial" w:hAnsi="Arial" w:cs="Arial"/>
        </w:rPr>
      </w:pPr>
    </w:p>
    <w:p w:rsidR="00E51ED6" w:rsidRPr="00B6647E" w:rsidRDefault="00DB2513" w:rsidP="00E51ED6">
      <w:pPr>
        <w:spacing w:line="240" w:lineRule="auto"/>
        <w:jc w:val="center"/>
        <w:rPr>
          <w:rFonts w:ascii="Arial" w:hAnsi="Arial" w:cs="Arial"/>
          <w:sz w:val="28"/>
          <w:szCs w:val="28"/>
        </w:rPr>
      </w:pPr>
      <w:r>
        <w:rPr>
          <w:rFonts w:ascii="Arial" w:hAnsi="Arial" w:cs="Arial"/>
          <w:sz w:val="28"/>
          <w:szCs w:val="28"/>
        </w:rPr>
        <w:t>Avril</w:t>
      </w:r>
      <w:r w:rsidR="00E51ED6" w:rsidRPr="00B6647E">
        <w:rPr>
          <w:rFonts w:ascii="Arial" w:hAnsi="Arial" w:cs="Arial"/>
          <w:sz w:val="28"/>
          <w:szCs w:val="28"/>
        </w:rPr>
        <w:t xml:space="preserve"> 2013</w:t>
      </w:r>
    </w:p>
    <w:p w:rsidR="00E51ED6" w:rsidRPr="00B6647E" w:rsidRDefault="00E51ED6" w:rsidP="00E51ED6">
      <w:pPr>
        <w:spacing w:line="240" w:lineRule="auto"/>
        <w:rPr>
          <w:rFonts w:ascii="Arial" w:hAnsi="Arial" w:cs="Arial"/>
        </w:rPr>
      </w:pPr>
    </w:p>
    <w:p w:rsidR="00E51ED6" w:rsidRPr="00B6647E" w:rsidRDefault="00E51ED6" w:rsidP="00E51ED6">
      <w:pPr>
        <w:tabs>
          <w:tab w:val="left" w:pos="1651"/>
        </w:tabs>
        <w:spacing w:line="240" w:lineRule="auto"/>
        <w:jc w:val="center"/>
        <w:rPr>
          <w:rFonts w:ascii="Arial" w:hAnsi="Arial" w:cs="Arial"/>
          <w:bCs/>
          <w:color w:val="003366"/>
          <w:sz w:val="44"/>
          <w:szCs w:val="44"/>
          <w:lang w:eastAsia="en-US"/>
        </w:rPr>
        <w:sectPr w:rsidR="00E51ED6" w:rsidRPr="00B6647E" w:rsidSect="00E51ED6">
          <w:headerReference w:type="even" r:id="rId13"/>
          <w:headerReference w:type="default" r:id="rId14"/>
          <w:footerReference w:type="default" r:id="rId15"/>
          <w:pgSz w:w="11906" w:h="16838"/>
          <w:pgMar w:top="1417" w:right="1417" w:bottom="1417" w:left="1417" w:header="708" w:footer="708" w:gutter="0"/>
          <w:pgNumType w:start="1"/>
          <w:cols w:space="708"/>
          <w:titlePg/>
          <w:docGrid w:linePitch="360"/>
        </w:sectPr>
      </w:pPr>
    </w:p>
    <w:p w:rsidR="00E51ED6" w:rsidRPr="00B6647E" w:rsidRDefault="00E51ED6" w:rsidP="00E51ED6">
      <w:pPr>
        <w:tabs>
          <w:tab w:val="left" w:pos="1651"/>
        </w:tabs>
        <w:spacing w:line="240" w:lineRule="auto"/>
        <w:jc w:val="center"/>
        <w:rPr>
          <w:rFonts w:ascii="Arial" w:hAnsi="Arial" w:cs="Arial"/>
          <w:bCs/>
          <w:color w:val="003366"/>
          <w:sz w:val="44"/>
          <w:szCs w:val="44"/>
          <w:lang w:eastAsia="en-US"/>
        </w:rPr>
      </w:pPr>
    </w:p>
    <w:p w:rsidR="00E51ED6" w:rsidRPr="00B6647E" w:rsidRDefault="00E51ED6" w:rsidP="00E51ED6">
      <w:pPr>
        <w:tabs>
          <w:tab w:val="left" w:pos="1651"/>
        </w:tabs>
        <w:spacing w:line="240" w:lineRule="auto"/>
        <w:jc w:val="center"/>
        <w:rPr>
          <w:rFonts w:ascii="Arial" w:hAnsi="Arial" w:cs="Arial"/>
          <w:bCs/>
          <w:color w:val="003366"/>
          <w:sz w:val="44"/>
          <w:szCs w:val="44"/>
          <w:lang w:eastAsia="en-US"/>
        </w:rPr>
      </w:pPr>
    </w:p>
    <w:p w:rsidR="00E51ED6" w:rsidRPr="00B6647E" w:rsidRDefault="00E51ED6" w:rsidP="00E51ED6">
      <w:pPr>
        <w:tabs>
          <w:tab w:val="left" w:pos="1651"/>
        </w:tabs>
        <w:spacing w:line="240" w:lineRule="auto"/>
        <w:jc w:val="center"/>
        <w:rPr>
          <w:rFonts w:ascii="Arial" w:hAnsi="Arial" w:cs="Arial"/>
          <w:bCs/>
          <w:color w:val="003366"/>
          <w:sz w:val="44"/>
          <w:szCs w:val="44"/>
          <w:lang w:eastAsia="en-US"/>
        </w:rPr>
      </w:pPr>
    </w:p>
    <w:p w:rsidR="00E51ED6" w:rsidRPr="00B6647E" w:rsidRDefault="00E51ED6" w:rsidP="00E51ED6">
      <w:pPr>
        <w:tabs>
          <w:tab w:val="left" w:pos="1651"/>
        </w:tabs>
        <w:spacing w:line="240" w:lineRule="auto"/>
        <w:jc w:val="center"/>
        <w:rPr>
          <w:rFonts w:ascii="Arial" w:hAnsi="Arial" w:cs="Arial"/>
          <w:bCs/>
          <w:color w:val="003366"/>
          <w:sz w:val="44"/>
          <w:szCs w:val="44"/>
          <w:lang w:eastAsia="en-US"/>
        </w:rPr>
      </w:pPr>
    </w:p>
    <w:p w:rsidR="00E51ED6" w:rsidRPr="00B6647E" w:rsidRDefault="00E51ED6" w:rsidP="00E51ED6">
      <w:pPr>
        <w:tabs>
          <w:tab w:val="left" w:pos="1651"/>
        </w:tabs>
        <w:spacing w:line="240" w:lineRule="auto"/>
        <w:jc w:val="center"/>
        <w:rPr>
          <w:rFonts w:ascii="Arial" w:hAnsi="Arial" w:cs="Arial"/>
          <w:bCs/>
          <w:color w:val="003366"/>
          <w:sz w:val="44"/>
          <w:szCs w:val="44"/>
          <w:lang w:eastAsia="en-US"/>
        </w:rPr>
      </w:pPr>
    </w:p>
    <w:p w:rsidR="00E51ED6" w:rsidRPr="00B6647E" w:rsidRDefault="00DF50D8" w:rsidP="00E51ED6">
      <w:pPr>
        <w:tabs>
          <w:tab w:val="left" w:pos="1651"/>
        </w:tabs>
        <w:spacing w:line="240" w:lineRule="auto"/>
        <w:jc w:val="center"/>
        <w:rPr>
          <w:rFonts w:ascii="Arial" w:hAnsi="Arial" w:cs="Arial"/>
          <w:bCs/>
          <w:color w:val="003366"/>
          <w:sz w:val="44"/>
          <w:szCs w:val="44"/>
          <w:lang w:eastAsia="en-US"/>
        </w:rPr>
      </w:pPr>
      <w:r w:rsidRPr="00DF50D8">
        <w:rPr>
          <w:rFonts w:ascii="Arial" w:hAnsi="Arial" w:cs="Arial"/>
          <w:bCs/>
          <w:noProof/>
          <w:color w:val="003366"/>
          <w:sz w:val="44"/>
          <w:szCs w:val="44"/>
          <w:lang w:val="en-US" w:eastAsia="en-US"/>
        </w:rPr>
        <w:pict>
          <v:shape id="_x0000_s1050" type="#_x0000_t202" style="position:absolute;left:0;text-align:left;margin-left:-16.4pt;margin-top:11.75pt;width:415.1pt;height:68.2pt;z-index:251705344" stroked="f">
            <v:textbox style="mso-next-textbox:#_x0000_s1050">
              <w:txbxContent>
                <w:p w:rsidR="00A13D47" w:rsidRDefault="00A13D47" w:rsidP="00E51ED6">
                  <w:r>
                    <w:rPr>
                      <w:noProof/>
                      <w:lang w:val="fr-FR" w:eastAsia="fr-FR"/>
                    </w:rPr>
                    <w:drawing>
                      <wp:inline distT="0" distB="0" distL="0" distR="0">
                        <wp:extent cx="613802" cy="604300"/>
                        <wp:effectExtent l="19050" t="0" r="0" b="0"/>
                        <wp:docPr id="10" name="Image 9" descr="C:\Users\john\Desktop\AEDES\ae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hn\Desktop\AEDES\aedes.jpg"/>
                                <pic:cNvPicPr>
                                  <a:picLocks noChangeAspect="1" noChangeArrowheads="1"/>
                                </pic:cNvPicPr>
                              </pic:nvPicPr>
                              <pic:blipFill>
                                <a:blip r:embed="rId16"/>
                                <a:srcRect/>
                                <a:stretch>
                                  <a:fillRect/>
                                </a:stretch>
                              </pic:blipFill>
                              <pic:spPr bwMode="auto">
                                <a:xfrm>
                                  <a:off x="0" y="0"/>
                                  <a:ext cx="614858" cy="605340"/>
                                </a:xfrm>
                                <a:prstGeom prst="rect">
                                  <a:avLst/>
                                </a:prstGeom>
                                <a:noFill/>
                                <a:ln w="9525">
                                  <a:noFill/>
                                  <a:miter lim="800000"/>
                                  <a:headEnd/>
                                  <a:tailEnd/>
                                </a:ln>
                              </pic:spPr>
                            </pic:pic>
                          </a:graphicData>
                        </a:graphic>
                      </wp:inline>
                    </w:drawing>
                  </w:r>
                  <w:r>
                    <w:t xml:space="preserve"> </w:t>
                  </w:r>
                  <w:r w:rsidRPr="00F75991">
                    <w:rPr>
                      <w:b/>
                      <w:sz w:val="28"/>
                      <w:szCs w:val="28"/>
                    </w:rPr>
                    <w:t>Assistance technique assurée par AEDES</w:t>
                  </w:r>
                </w:p>
              </w:txbxContent>
            </v:textbox>
          </v:shape>
        </w:pict>
      </w:r>
    </w:p>
    <w:p w:rsidR="00E51ED6" w:rsidRPr="00B6647E" w:rsidRDefault="00E51ED6" w:rsidP="00E51ED6">
      <w:pPr>
        <w:tabs>
          <w:tab w:val="left" w:pos="1651"/>
        </w:tabs>
        <w:spacing w:line="240" w:lineRule="auto"/>
        <w:jc w:val="center"/>
        <w:rPr>
          <w:rFonts w:ascii="Arial" w:hAnsi="Arial" w:cs="Arial"/>
          <w:bCs/>
          <w:color w:val="003366"/>
          <w:sz w:val="44"/>
          <w:szCs w:val="44"/>
          <w:lang w:eastAsia="en-US"/>
        </w:rPr>
      </w:pPr>
    </w:p>
    <w:p w:rsidR="00E51ED6" w:rsidRPr="00B6647E" w:rsidRDefault="00E51ED6" w:rsidP="00E51ED6">
      <w:pPr>
        <w:tabs>
          <w:tab w:val="left" w:pos="1651"/>
        </w:tabs>
        <w:spacing w:line="240" w:lineRule="auto"/>
        <w:jc w:val="center"/>
        <w:rPr>
          <w:rFonts w:ascii="Arial" w:hAnsi="Arial" w:cs="Arial"/>
          <w:bCs/>
          <w:color w:val="003366"/>
          <w:sz w:val="44"/>
          <w:szCs w:val="44"/>
          <w:lang w:eastAsia="en-US"/>
        </w:rPr>
      </w:pPr>
    </w:p>
    <w:p w:rsidR="00E51ED6" w:rsidRPr="00B6647E" w:rsidRDefault="00E51ED6" w:rsidP="00E51ED6">
      <w:pPr>
        <w:pStyle w:val="Para3"/>
        <w:spacing w:before="96" w:after="96"/>
        <w:ind w:left="0"/>
        <w:rPr>
          <w:rFonts w:ascii="Arial" w:hAnsi="Arial" w:cs="Arial"/>
        </w:rPr>
      </w:pPr>
    </w:p>
    <w:p w:rsidR="00E51ED6" w:rsidRPr="00B6647E" w:rsidRDefault="00E51ED6" w:rsidP="00E51ED6">
      <w:pPr>
        <w:pStyle w:val="Para3"/>
        <w:spacing w:before="96" w:after="96"/>
        <w:ind w:left="0"/>
        <w:rPr>
          <w:rFonts w:ascii="Arial" w:hAnsi="Arial" w:cs="Arial"/>
          <w:sz w:val="24"/>
          <w:szCs w:val="24"/>
        </w:rPr>
      </w:pPr>
      <w:r w:rsidRPr="00B6647E">
        <w:rPr>
          <w:rFonts w:ascii="Arial" w:hAnsi="Arial" w:cs="Arial"/>
          <w:sz w:val="24"/>
          <w:szCs w:val="24"/>
        </w:rPr>
        <w:t>Nom des experts :</w:t>
      </w:r>
    </w:p>
    <w:p w:rsidR="00E51ED6" w:rsidRPr="00B6647E" w:rsidRDefault="00E51ED6" w:rsidP="00E51ED6">
      <w:pPr>
        <w:pStyle w:val="Para3"/>
        <w:spacing w:before="96" w:after="96"/>
        <w:ind w:left="0"/>
        <w:rPr>
          <w:rFonts w:ascii="Arial" w:hAnsi="Arial" w:cs="Arial"/>
          <w:sz w:val="24"/>
          <w:szCs w:val="24"/>
        </w:rPr>
      </w:pPr>
      <w:r w:rsidRPr="00B6647E">
        <w:rPr>
          <w:rFonts w:ascii="Arial" w:hAnsi="Arial" w:cs="Arial"/>
          <w:sz w:val="24"/>
          <w:szCs w:val="24"/>
        </w:rPr>
        <w:t xml:space="preserve">M. Tiral SIDI : </w:t>
      </w:r>
      <w:r w:rsidRPr="00B6647E">
        <w:rPr>
          <w:rFonts w:ascii="Arial" w:hAnsi="Arial" w:cs="Arial"/>
          <w:sz w:val="24"/>
          <w:szCs w:val="24"/>
        </w:rPr>
        <w:tab/>
      </w:r>
      <w:r w:rsidRPr="00B6647E">
        <w:rPr>
          <w:rFonts w:ascii="Arial" w:hAnsi="Arial" w:cs="Arial"/>
          <w:sz w:val="24"/>
          <w:szCs w:val="24"/>
        </w:rPr>
        <w:tab/>
      </w:r>
      <w:r w:rsidRPr="00B6647E">
        <w:rPr>
          <w:rFonts w:ascii="Arial" w:hAnsi="Arial" w:cs="Arial"/>
          <w:sz w:val="24"/>
          <w:szCs w:val="24"/>
        </w:rPr>
        <w:tab/>
        <w:t xml:space="preserve">Expert </w:t>
      </w:r>
      <w:r w:rsidR="002E76B4" w:rsidRPr="00B6647E">
        <w:rPr>
          <w:rFonts w:ascii="Arial" w:hAnsi="Arial" w:cs="Arial"/>
          <w:sz w:val="24"/>
          <w:szCs w:val="24"/>
        </w:rPr>
        <w:t xml:space="preserve">en </w:t>
      </w:r>
      <w:r w:rsidRPr="00B6647E">
        <w:rPr>
          <w:rFonts w:ascii="Arial" w:hAnsi="Arial" w:cs="Arial"/>
          <w:sz w:val="24"/>
          <w:szCs w:val="24"/>
        </w:rPr>
        <w:t>statis</w:t>
      </w:r>
      <w:r w:rsidR="002E76B4" w:rsidRPr="00B6647E">
        <w:rPr>
          <w:rFonts w:ascii="Arial" w:hAnsi="Arial" w:cs="Arial"/>
          <w:sz w:val="24"/>
          <w:szCs w:val="24"/>
        </w:rPr>
        <w:t>tique</w:t>
      </w:r>
      <w:r w:rsidR="009E363F" w:rsidRPr="00B6647E">
        <w:rPr>
          <w:rFonts w:ascii="Arial" w:hAnsi="Arial" w:cs="Arial"/>
          <w:sz w:val="24"/>
          <w:szCs w:val="24"/>
        </w:rPr>
        <w:t xml:space="preserve"> agricole, c</w:t>
      </w:r>
      <w:r w:rsidRPr="00B6647E">
        <w:rPr>
          <w:rFonts w:ascii="Arial" w:hAnsi="Arial" w:cs="Arial"/>
          <w:sz w:val="24"/>
          <w:szCs w:val="24"/>
        </w:rPr>
        <w:t xml:space="preserve">hef de Mission </w:t>
      </w:r>
    </w:p>
    <w:p w:rsidR="00E51ED6" w:rsidRPr="00B6647E" w:rsidRDefault="00E51ED6" w:rsidP="00E51ED6">
      <w:pPr>
        <w:pStyle w:val="Para3"/>
        <w:spacing w:before="96" w:after="96"/>
        <w:ind w:left="0"/>
        <w:rPr>
          <w:rFonts w:ascii="Arial" w:hAnsi="Arial" w:cs="Arial"/>
          <w:sz w:val="24"/>
          <w:szCs w:val="24"/>
        </w:rPr>
      </w:pPr>
      <w:r w:rsidRPr="00B6647E">
        <w:rPr>
          <w:rFonts w:ascii="Arial" w:hAnsi="Arial" w:cs="Arial"/>
          <w:sz w:val="24"/>
          <w:szCs w:val="24"/>
        </w:rPr>
        <w:t>M. Alphonse E. YAMEOGO :</w:t>
      </w:r>
      <w:r w:rsidRPr="00B6647E">
        <w:rPr>
          <w:rFonts w:ascii="Arial" w:hAnsi="Arial" w:cs="Arial"/>
          <w:sz w:val="24"/>
          <w:szCs w:val="24"/>
        </w:rPr>
        <w:tab/>
        <w:t>Expert en traitement des données</w:t>
      </w:r>
    </w:p>
    <w:p w:rsidR="00F102FE" w:rsidRPr="00B6647E" w:rsidRDefault="00F102FE">
      <w:pPr>
        <w:rPr>
          <w:rFonts w:ascii="Arial" w:hAnsi="Arial" w:cs="Arial"/>
          <w:color w:val="365F91"/>
        </w:rPr>
      </w:pPr>
      <w:bookmarkStart w:id="0" w:name="_Toc336159206"/>
      <w:r w:rsidRPr="00B6647E">
        <w:rPr>
          <w:rFonts w:ascii="Arial" w:hAnsi="Arial" w:cs="Arial"/>
          <w:color w:val="365F91"/>
        </w:rPr>
        <w:br w:type="page"/>
      </w:r>
    </w:p>
    <w:p w:rsidR="00F102FE" w:rsidRPr="00B6647E" w:rsidRDefault="00F102FE" w:rsidP="00F102FE">
      <w:pPr>
        <w:pStyle w:val="Titre1"/>
        <w:keepNext w:val="0"/>
        <w:numPr>
          <w:ilvl w:val="0"/>
          <w:numId w:val="0"/>
        </w:numPr>
        <w:ind w:left="432" w:hanging="432"/>
        <w:rPr>
          <w:rFonts w:cs="Arial"/>
          <w:color w:val="365F91"/>
        </w:rPr>
      </w:pPr>
      <w:bookmarkStart w:id="1" w:name="_Toc354313811"/>
      <w:r w:rsidRPr="00B6647E">
        <w:rPr>
          <w:rFonts w:cs="Arial"/>
          <w:color w:val="365F91"/>
        </w:rPr>
        <w:lastRenderedPageBreak/>
        <w:t>Préface</w:t>
      </w:r>
      <w:bookmarkEnd w:id="1"/>
    </w:p>
    <w:p w:rsidR="00F102FE" w:rsidRPr="00B6647E" w:rsidRDefault="00DF50D8" w:rsidP="00F102FE">
      <w:pPr>
        <w:spacing w:line="240" w:lineRule="auto"/>
        <w:rPr>
          <w:rFonts w:ascii="Arial" w:hAnsi="Arial" w:cs="Arial"/>
          <w:sz w:val="20"/>
          <w:szCs w:val="20"/>
        </w:rPr>
      </w:pPr>
      <w:r w:rsidRPr="00DF50D8">
        <w:rPr>
          <w:rFonts w:ascii="Arial" w:hAnsi="Arial" w:cs="Arial"/>
          <w:noProof/>
          <w:sz w:val="20"/>
          <w:szCs w:val="20"/>
        </w:rPr>
        <w:pict>
          <v:shapetype id="_x0000_t32" coordsize="21600,21600" o:spt="32" o:oned="t" path="m,l21600,21600e" filled="f">
            <v:path arrowok="t" fillok="f" o:connecttype="none"/>
            <o:lock v:ext="edit" shapetype="t"/>
          </v:shapetype>
          <v:shape id="_x0000_s1053" type="#_x0000_t32" style="position:absolute;margin-left:1.15pt;margin-top:4.8pt;width:453.55pt;height:0;z-index:25170841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d8/qgIAAJcFAAAOAAAAZHJzL2Uyb0RvYy54bWysVE2PmzAQvVfqf7C4s0AghKAlqyyBXrbt&#10;SrtVzw42wSrYyHZCoqr/vWOT0GR7qarlgPwx8+bNzBvfPxy7Fh2oVEzwzAnufAdRXgnC+C5zvr2W&#10;buIgpTEnuBWcZs6JKudh9fHD/dCndCYa0RIqEYBwlQ595jRa96nnqaqhHVZ3oqccLmshO6xhK3ce&#10;kXgA9K71Zr4fe4OQpJeiokrB6Wa8dFYWv65ppb/WtaIatZkD3LT9S/vfmr+3usfpTuK+YdWZBv4P&#10;Fh1mHIJOUBusMdpL9hdUxyoplKj1XSU6T9Q1q6jNAbIJ/DfZvDS4pzYXKI7qpzKp94OtvhyeJWIk&#10;c5bQKY476NF6r4UNjWamPkOvUjDL+bM0GVZH/tI/ieqHQlzkDeY7ao1fTz34BsbDu3ExG9VDlO3w&#10;WRCwwYBvi3WsZWcgoQzoaHtymnpCjxpVcDhfxL6fzB1UXe48nF4ce6n0Jyo6ZBaZo7TEbNfoXHAO&#10;nRcysGHw4UlpQwunFwcTlYuSta0VQMvRkDlhEvi+9VCiZcTcGjsld9u8leiAQUNhPC+XY5Jwc20m&#10;xZ4Ti9ZQTIrzWmPWjmuI3nKDR60sR0qwO2pY2nPI2Erm59JfFkmRRG40iws38jcbd13mkRuXwWK+&#10;CTd5vgl+GaJBlDaMEMoN14t8g+jf5HEepFF4k4Cnqni36LZ8QPaW6bqc+4soTNzFYh66UVj47mNS&#10;5u46D+J4UTzmj8UbpoXNXr0P2amUhpXYaypfGjIgwowaZkloNE0YjHuY+LG/XDgItzt4pyotHSSF&#10;/s50Y8VrZGcwbno9i8IyHs9x2zd4VMDch8+qfDK3tZnCj5W6NNnspjadk/9TSxDFRQB2aMycjBO3&#10;FeT0LC/DBNNvnc4vlXlervewvn5PV78BAAD//wMAUEsDBBQABgAIAAAAIQAS6mQo3AAAAAUBAAAP&#10;AAAAZHJzL2Rvd25yZXYueG1sTI5RS8MwFIXfhf2HcAe+iEs3S1lr0zEUcQwRrP6AtLk2xeamNFnb&#10;+euNe9HHwzl858t3s+nYiINrLQlYryJgSLVVLTUCPt6fbrfAnJekZGcJBZzRwa5YXOUyU3aiNxxL&#10;37AAIZdJAdr7PuPc1RqNdCvbI4Xu0w5G+hCHhqtBTgFuOr6JooQb2VJ40LLHB431V3kyAqYxOb7c&#10;bPn8fXwtz00VHx71cyzE9XLe3wPzOPu/MfzqB3UoglNlT6Qc6wRs7sJQQJoAC20apTGw6pJ5kfP/&#10;9sUPAAAA//8DAFBLAQItABQABgAIAAAAIQC2gziS/gAAAOEBAAATAAAAAAAAAAAAAAAAAAAAAABb&#10;Q29udGVudF9UeXBlc10ueG1sUEsBAi0AFAAGAAgAAAAhADj9If/WAAAAlAEAAAsAAAAAAAAAAAAA&#10;AAAALwEAAF9yZWxzLy5yZWxzUEsBAi0AFAAGAAgAAAAhAAK13z+qAgAAlwUAAA4AAAAAAAAAAAAA&#10;AAAALgIAAGRycy9lMm9Eb2MueG1sUEsBAi0AFAAGAAgAAAAhABLqZCjcAAAABQEAAA8AAAAAAAAA&#10;AAAAAAAABAUAAGRycy9kb3ducmV2LnhtbFBLBQYAAAAABAAEAPMAAAANBgAAAAA=&#10;" strokecolor="#365f91" strokeweight="3pt">
            <v:shadow color="#243f60" opacity=".5" offset="1pt"/>
          </v:shape>
        </w:pict>
      </w:r>
    </w:p>
    <w:p w:rsidR="001C47B7" w:rsidRPr="00B6647E" w:rsidRDefault="00675013" w:rsidP="00E51ED6">
      <w:pPr>
        <w:spacing w:line="240" w:lineRule="auto"/>
        <w:rPr>
          <w:rFonts w:ascii="Arial" w:hAnsi="Arial" w:cs="Arial"/>
          <w:b/>
          <w:sz w:val="20"/>
          <w:szCs w:val="20"/>
        </w:rPr>
      </w:pPr>
      <w:r w:rsidRPr="00B6647E">
        <w:rPr>
          <w:rFonts w:ascii="Arial" w:hAnsi="Arial" w:cs="Arial"/>
          <w:b/>
          <w:sz w:val="20"/>
          <w:szCs w:val="20"/>
        </w:rPr>
        <w:t>Doit être s</w:t>
      </w:r>
      <w:r w:rsidR="001C47B7" w:rsidRPr="00B6647E">
        <w:rPr>
          <w:rFonts w:ascii="Arial" w:hAnsi="Arial" w:cs="Arial"/>
          <w:b/>
          <w:sz w:val="20"/>
          <w:szCs w:val="20"/>
        </w:rPr>
        <w:t>ign</w:t>
      </w:r>
      <w:r w:rsidRPr="00B6647E">
        <w:rPr>
          <w:rFonts w:ascii="Arial" w:hAnsi="Arial" w:cs="Arial"/>
          <w:b/>
          <w:sz w:val="20"/>
          <w:szCs w:val="20"/>
        </w:rPr>
        <w:t>ée</w:t>
      </w:r>
      <w:r w:rsidR="001C47B7" w:rsidRPr="00B6647E">
        <w:rPr>
          <w:rFonts w:ascii="Arial" w:hAnsi="Arial" w:cs="Arial"/>
          <w:b/>
          <w:sz w:val="20"/>
          <w:szCs w:val="20"/>
        </w:rPr>
        <w:t xml:space="preserve"> par une autorité</w:t>
      </w:r>
    </w:p>
    <w:p w:rsidR="00E51ED6" w:rsidRPr="00B6647E" w:rsidRDefault="00E51ED6" w:rsidP="00E51ED6">
      <w:pPr>
        <w:spacing w:line="240" w:lineRule="auto"/>
        <w:rPr>
          <w:rFonts w:ascii="Arial" w:hAnsi="Arial" w:cs="Arial"/>
          <w:color w:val="365F91"/>
          <w:sz w:val="24"/>
        </w:rPr>
      </w:pPr>
      <w:r w:rsidRPr="00B6647E">
        <w:rPr>
          <w:rFonts w:ascii="Arial" w:hAnsi="Arial" w:cs="Arial"/>
          <w:color w:val="365F91"/>
        </w:rPr>
        <w:br w:type="page"/>
      </w:r>
    </w:p>
    <w:p w:rsidR="00E51ED6" w:rsidRPr="00B6647E" w:rsidRDefault="00E51ED6" w:rsidP="00E51ED6">
      <w:pPr>
        <w:pStyle w:val="Titre1"/>
        <w:keepNext w:val="0"/>
        <w:numPr>
          <w:ilvl w:val="0"/>
          <w:numId w:val="0"/>
        </w:numPr>
        <w:ind w:left="432" w:hanging="432"/>
        <w:rPr>
          <w:rFonts w:cs="Arial"/>
          <w:b w:val="0"/>
          <w:color w:val="365F91"/>
        </w:rPr>
        <w:sectPr w:rsidR="00E51ED6" w:rsidRPr="00B6647E" w:rsidSect="00E51ED6">
          <w:footerReference w:type="default" r:id="rId17"/>
          <w:type w:val="continuous"/>
          <w:pgSz w:w="11906" w:h="16838"/>
          <w:pgMar w:top="1417" w:right="1417" w:bottom="1417" w:left="1417" w:header="708" w:footer="708" w:gutter="0"/>
          <w:pgNumType w:fmt="lowerRoman" w:start="1"/>
          <w:cols w:space="708"/>
          <w:docGrid w:linePitch="360"/>
        </w:sectPr>
      </w:pPr>
    </w:p>
    <w:p w:rsidR="00E51ED6" w:rsidRPr="00B6647E" w:rsidRDefault="00E51ED6" w:rsidP="00E51ED6">
      <w:pPr>
        <w:pStyle w:val="Titre1"/>
        <w:keepNext w:val="0"/>
        <w:numPr>
          <w:ilvl w:val="0"/>
          <w:numId w:val="0"/>
        </w:numPr>
        <w:ind w:left="432" w:hanging="432"/>
        <w:rPr>
          <w:rFonts w:cs="Arial"/>
          <w:color w:val="365F91"/>
        </w:rPr>
      </w:pPr>
      <w:bookmarkStart w:id="2" w:name="_Toc336183229"/>
      <w:bookmarkStart w:id="3" w:name="_Toc351372490"/>
      <w:bookmarkStart w:id="4" w:name="_Toc351433177"/>
      <w:bookmarkStart w:id="5" w:name="_Toc351535823"/>
      <w:bookmarkStart w:id="6" w:name="_Toc352650655"/>
      <w:bookmarkStart w:id="7" w:name="_Toc352673501"/>
      <w:bookmarkStart w:id="8" w:name="_Toc352867697"/>
      <w:bookmarkStart w:id="9" w:name="_Toc352907491"/>
      <w:bookmarkStart w:id="10" w:name="_Toc354313812"/>
      <w:r w:rsidRPr="00B6647E">
        <w:rPr>
          <w:rFonts w:cs="Arial"/>
          <w:color w:val="365F91"/>
        </w:rPr>
        <w:lastRenderedPageBreak/>
        <w:t>Sommaire</w:t>
      </w:r>
      <w:bookmarkEnd w:id="0"/>
      <w:bookmarkEnd w:id="2"/>
      <w:bookmarkEnd w:id="3"/>
      <w:bookmarkEnd w:id="4"/>
      <w:bookmarkEnd w:id="5"/>
      <w:bookmarkEnd w:id="6"/>
      <w:bookmarkEnd w:id="7"/>
      <w:bookmarkEnd w:id="8"/>
      <w:bookmarkEnd w:id="9"/>
      <w:bookmarkEnd w:id="10"/>
    </w:p>
    <w:p w:rsidR="00E51ED6" w:rsidRPr="00B6647E" w:rsidRDefault="00DF50D8" w:rsidP="00E51ED6">
      <w:pPr>
        <w:spacing w:line="240" w:lineRule="auto"/>
        <w:rPr>
          <w:rFonts w:ascii="Arial" w:hAnsi="Arial" w:cs="Arial"/>
          <w:sz w:val="20"/>
          <w:szCs w:val="20"/>
        </w:rPr>
      </w:pPr>
      <w:r w:rsidRPr="00DF50D8">
        <w:rPr>
          <w:rFonts w:ascii="Arial" w:hAnsi="Arial" w:cs="Arial"/>
          <w:noProof/>
          <w:sz w:val="20"/>
          <w:szCs w:val="20"/>
        </w:rPr>
        <w:pict>
          <v:shape id="_x0000_s1051" type="#_x0000_t32" style="position:absolute;margin-left:1.15pt;margin-top:4.8pt;width:453.55pt;height:0;z-index:25170636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d8/qgIAAJcFAAAOAAAAZHJzL2Uyb0RvYy54bWysVE2PmzAQvVfqf7C4s0AghKAlqyyBXrbt&#10;SrtVzw42wSrYyHZCoqr/vWOT0GR7qarlgPwx8+bNzBvfPxy7Fh2oVEzwzAnufAdRXgnC+C5zvr2W&#10;buIgpTEnuBWcZs6JKudh9fHD/dCndCYa0RIqEYBwlQ595jRa96nnqaqhHVZ3oqccLmshO6xhK3ce&#10;kXgA9K71Zr4fe4OQpJeiokrB6Wa8dFYWv65ppb/WtaIatZkD3LT9S/vfmr+3usfpTuK+YdWZBv4P&#10;Fh1mHIJOUBusMdpL9hdUxyoplKj1XSU6T9Q1q6jNAbIJ/DfZvDS4pzYXKI7qpzKp94OtvhyeJWIk&#10;c5bQKY476NF6r4UNjWamPkOvUjDL+bM0GVZH/tI/ieqHQlzkDeY7ao1fTz34BsbDu3ExG9VDlO3w&#10;WRCwwYBvi3WsZWcgoQzoaHtymnpCjxpVcDhfxL6fzB1UXe48nF4ce6n0Jyo6ZBaZo7TEbNfoXHAO&#10;nRcysGHw4UlpQwunFwcTlYuSta0VQMvRkDlhEvi+9VCiZcTcGjsld9u8leiAQUNhPC+XY5Jwc20m&#10;xZ4Ti9ZQTIrzWmPWjmuI3nKDR60sR0qwO2pY2nPI2Erm59JfFkmRRG40iws38jcbd13mkRuXwWK+&#10;CTd5vgl+GaJBlDaMEMoN14t8g+jf5HEepFF4k4Cnqni36LZ8QPaW6bqc+4soTNzFYh66UVj47mNS&#10;5u46D+J4UTzmj8UbpoXNXr0P2amUhpXYaypfGjIgwowaZkloNE0YjHuY+LG/XDgItzt4pyotHSSF&#10;/s50Y8VrZGcwbno9i8IyHs9x2zd4VMDch8+qfDK3tZnCj5W6NNnspjadk/9TSxDFRQB2aMycjBO3&#10;FeT0LC/DBNNvnc4vlXlervewvn5PV78BAAD//wMAUEsDBBQABgAIAAAAIQAS6mQo3AAAAAUBAAAP&#10;AAAAZHJzL2Rvd25yZXYueG1sTI5RS8MwFIXfhf2HcAe+iEs3S1lr0zEUcQwRrP6AtLk2xeamNFnb&#10;+euNe9HHwzl858t3s+nYiINrLQlYryJgSLVVLTUCPt6fbrfAnJekZGcJBZzRwa5YXOUyU3aiNxxL&#10;37AAIZdJAdr7PuPc1RqNdCvbI4Xu0w5G+hCHhqtBTgFuOr6JooQb2VJ40LLHB431V3kyAqYxOb7c&#10;bPn8fXwtz00VHx71cyzE9XLe3wPzOPu/MfzqB3UoglNlT6Qc6wRs7sJQQJoAC20apTGw6pJ5kfP/&#10;9sUPAAAA//8DAFBLAQItABQABgAIAAAAIQC2gziS/gAAAOEBAAATAAAAAAAAAAAAAAAAAAAAAABb&#10;Q29udGVudF9UeXBlc10ueG1sUEsBAi0AFAAGAAgAAAAhADj9If/WAAAAlAEAAAsAAAAAAAAAAAAA&#10;AAAALwEAAF9yZWxzLy5yZWxzUEsBAi0AFAAGAAgAAAAhAAK13z+qAgAAlwUAAA4AAAAAAAAAAAAA&#10;AAAALgIAAGRycy9lMm9Eb2MueG1sUEsBAi0AFAAGAAgAAAAhABLqZCjcAAAABQEAAA8AAAAAAAAA&#10;AAAAAAAABAUAAGRycy9kb3ducmV2LnhtbFBLBQYAAAAABAAEAPMAAAANBgAAAAA=&#10;" strokecolor="#365f91" strokeweight="3pt">
            <v:shadow color="#243f60" opacity=".5" offset="1pt"/>
          </v:shape>
        </w:pict>
      </w:r>
    </w:p>
    <w:p w:rsidR="004F454E" w:rsidRDefault="00DF50D8">
      <w:pPr>
        <w:pStyle w:val="TM1"/>
        <w:tabs>
          <w:tab w:val="right" w:leader="dot" w:pos="9062"/>
        </w:tabs>
        <w:rPr>
          <w:rFonts w:asciiTheme="minorHAnsi" w:eastAsiaTheme="minorEastAsia" w:hAnsiTheme="minorHAnsi" w:cstheme="minorBidi"/>
          <w:b w:val="0"/>
          <w:bCs w:val="0"/>
          <w:caps w:val="0"/>
          <w:noProof/>
          <w:sz w:val="22"/>
          <w:szCs w:val="22"/>
          <w:lang w:val="en-US" w:eastAsia="en-US"/>
        </w:rPr>
      </w:pPr>
      <w:r w:rsidRPr="00DF50D8">
        <w:rPr>
          <w:rFonts w:ascii="Arial" w:hAnsi="Arial" w:cs="Arial"/>
          <w:b w:val="0"/>
          <w:color w:val="365F91"/>
        </w:rPr>
        <w:fldChar w:fldCharType="begin"/>
      </w:r>
      <w:r w:rsidR="00E51ED6" w:rsidRPr="00B6647E">
        <w:rPr>
          <w:rFonts w:ascii="Arial" w:hAnsi="Arial" w:cs="Arial"/>
          <w:b w:val="0"/>
          <w:color w:val="365F91"/>
        </w:rPr>
        <w:instrText xml:space="preserve"> TOC \o "1-4" \h \z \u </w:instrText>
      </w:r>
      <w:r w:rsidRPr="00DF50D8">
        <w:rPr>
          <w:rFonts w:ascii="Arial" w:hAnsi="Arial" w:cs="Arial"/>
          <w:b w:val="0"/>
          <w:color w:val="365F91"/>
        </w:rPr>
        <w:fldChar w:fldCharType="separate"/>
      </w:r>
      <w:hyperlink w:anchor="_Toc354313811" w:history="1">
        <w:r w:rsidR="004F454E" w:rsidRPr="00762F94">
          <w:rPr>
            <w:rStyle w:val="Lienhypertexte"/>
            <w:rFonts w:cs="Arial"/>
            <w:noProof/>
          </w:rPr>
          <w:t>Préface</w:t>
        </w:r>
        <w:r w:rsidR="004F454E">
          <w:rPr>
            <w:noProof/>
            <w:webHidden/>
          </w:rPr>
          <w:tab/>
        </w:r>
        <w:r>
          <w:rPr>
            <w:noProof/>
            <w:webHidden/>
          </w:rPr>
          <w:fldChar w:fldCharType="begin"/>
        </w:r>
        <w:r w:rsidR="004F454E">
          <w:rPr>
            <w:noProof/>
            <w:webHidden/>
          </w:rPr>
          <w:instrText xml:space="preserve"> PAGEREF _Toc354313811 \h </w:instrText>
        </w:r>
        <w:r>
          <w:rPr>
            <w:noProof/>
            <w:webHidden/>
          </w:rPr>
        </w:r>
        <w:r>
          <w:rPr>
            <w:noProof/>
            <w:webHidden/>
          </w:rPr>
          <w:fldChar w:fldCharType="separate"/>
        </w:r>
        <w:r w:rsidR="004F454E">
          <w:rPr>
            <w:noProof/>
            <w:webHidden/>
          </w:rPr>
          <w:t>ii</w:t>
        </w:r>
        <w:r>
          <w:rPr>
            <w:noProof/>
            <w:webHidden/>
          </w:rPr>
          <w:fldChar w:fldCharType="end"/>
        </w:r>
      </w:hyperlink>
    </w:p>
    <w:p w:rsidR="004F454E" w:rsidRDefault="00DF50D8">
      <w:pPr>
        <w:pStyle w:val="TM1"/>
        <w:tabs>
          <w:tab w:val="right" w:leader="dot" w:pos="9062"/>
        </w:tabs>
        <w:rPr>
          <w:rFonts w:asciiTheme="minorHAnsi" w:eastAsiaTheme="minorEastAsia" w:hAnsiTheme="minorHAnsi" w:cstheme="minorBidi"/>
          <w:b w:val="0"/>
          <w:bCs w:val="0"/>
          <w:caps w:val="0"/>
          <w:noProof/>
          <w:sz w:val="22"/>
          <w:szCs w:val="22"/>
          <w:lang w:val="en-US" w:eastAsia="en-US"/>
        </w:rPr>
      </w:pPr>
      <w:hyperlink w:anchor="_Toc354313813" w:history="1">
        <w:r w:rsidR="004F454E" w:rsidRPr="00762F94">
          <w:rPr>
            <w:rStyle w:val="Lienhypertexte"/>
            <w:rFonts w:cs="Arial"/>
            <w:noProof/>
          </w:rPr>
          <w:t>Liste des abréviations</w:t>
        </w:r>
        <w:r w:rsidR="004F454E">
          <w:rPr>
            <w:noProof/>
            <w:webHidden/>
          </w:rPr>
          <w:tab/>
        </w:r>
        <w:r>
          <w:rPr>
            <w:noProof/>
            <w:webHidden/>
          </w:rPr>
          <w:fldChar w:fldCharType="begin"/>
        </w:r>
        <w:r w:rsidR="004F454E">
          <w:rPr>
            <w:noProof/>
            <w:webHidden/>
          </w:rPr>
          <w:instrText xml:space="preserve"> PAGEREF _Toc354313813 \h </w:instrText>
        </w:r>
        <w:r>
          <w:rPr>
            <w:noProof/>
            <w:webHidden/>
          </w:rPr>
        </w:r>
        <w:r>
          <w:rPr>
            <w:noProof/>
            <w:webHidden/>
          </w:rPr>
          <w:fldChar w:fldCharType="separate"/>
        </w:r>
        <w:r w:rsidR="004F454E">
          <w:rPr>
            <w:noProof/>
            <w:webHidden/>
          </w:rPr>
          <w:t>4</w:t>
        </w:r>
        <w:r>
          <w:rPr>
            <w:noProof/>
            <w:webHidden/>
          </w:rPr>
          <w:fldChar w:fldCharType="end"/>
        </w:r>
      </w:hyperlink>
    </w:p>
    <w:p w:rsidR="004F454E" w:rsidRDefault="00DF50D8">
      <w:pPr>
        <w:pStyle w:val="TM1"/>
        <w:tabs>
          <w:tab w:val="right" w:leader="dot" w:pos="9062"/>
        </w:tabs>
        <w:rPr>
          <w:rFonts w:asciiTheme="minorHAnsi" w:eastAsiaTheme="minorEastAsia" w:hAnsiTheme="minorHAnsi" w:cstheme="minorBidi"/>
          <w:b w:val="0"/>
          <w:bCs w:val="0"/>
          <w:caps w:val="0"/>
          <w:noProof/>
          <w:sz w:val="22"/>
          <w:szCs w:val="22"/>
          <w:lang w:val="en-US" w:eastAsia="en-US"/>
        </w:rPr>
      </w:pPr>
      <w:hyperlink w:anchor="_Toc354313814" w:history="1">
        <w:r w:rsidR="004F454E" w:rsidRPr="00762F94">
          <w:rPr>
            <w:rStyle w:val="Lienhypertexte"/>
            <w:rFonts w:cs="Arial"/>
            <w:noProof/>
          </w:rPr>
          <w:t>Concepts et définitions</w:t>
        </w:r>
        <w:r w:rsidR="004F454E">
          <w:rPr>
            <w:noProof/>
            <w:webHidden/>
          </w:rPr>
          <w:tab/>
        </w:r>
        <w:r>
          <w:rPr>
            <w:noProof/>
            <w:webHidden/>
          </w:rPr>
          <w:fldChar w:fldCharType="begin"/>
        </w:r>
        <w:r w:rsidR="004F454E">
          <w:rPr>
            <w:noProof/>
            <w:webHidden/>
          </w:rPr>
          <w:instrText xml:space="preserve"> PAGEREF _Toc354313814 \h </w:instrText>
        </w:r>
        <w:r>
          <w:rPr>
            <w:noProof/>
            <w:webHidden/>
          </w:rPr>
        </w:r>
        <w:r>
          <w:rPr>
            <w:noProof/>
            <w:webHidden/>
          </w:rPr>
          <w:fldChar w:fldCharType="separate"/>
        </w:r>
        <w:r w:rsidR="004F454E">
          <w:rPr>
            <w:noProof/>
            <w:webHidden/>
          </w:rPr>
          <w:t>5</w:t>
        </w:r>
        <w:r>
          <w:rPr>
            <w:noProof/>
            <w:webHidden/>
          </w:rPr>
          <w:fldChar w:fldCharType="end"/>
        </w:r>
      </w:hyperlink>
    </w:p>
    <w:p w:rsidR="004F454E" w:rsidRDefault="00DF50D8">
      <w:pPr>
        <w:pStyle w:val="TM1"/>
        <w:tabs>
          <w:tab w:val="right" w:leader="dot" w:pos="9062"/>
        </w:tabs>
        <w:rPr>
          <w:rFonts w:asciiTheme="minorHAnsi" w:eastAsiaTheme="minorEastAsia" w:hAnsiTheme="minorHAnsi" w:cstheme="minorBidi"/>
          <w:b w:val="0"/>
          <w:bCs w:val="0"/>
          <w:caps w:val="0"/>
          <w:noProof/>
          <w:sz w:val="22"/>
          <w:szCs w:val="22"/>
          <w:lang w:val="en-US" w:eastAsia="en-US"/>
        </w:rPr>
      </w:pPr>
      <w:hyperlink w:anchor="_Toc354313815" w:history="1">
        <w:r w:rsidR="004F454E" w:rsidRPr="00762F94">
          <w:rPr>
            <w:rStyle w:val="Lienhypertexte"/>
            <w:rFonts w:cs="Arial"/>
            <w:noProof/>
          </w:rPr>
          <w:t>Résumé exécutif</w:t>
        </w:r>
        <w:r w:rsidR="004F454E">
          <w:rPr>
            <w:noProof/>
            <w:webHidden/>
          </w:rPr>
          <w:tab/>
        </w:r>
        <w:r>
          <w:rPr>
            <w:noProof/>
            <w:webHidden/>
          </w:rPr>
          <w:fldChar w:fldCharType="begin"/>
        </w:r>
        <w:r w:rsidR="004F454E">
          <w:rPr>
            <w:noProof/>
            <w:webHidden/>
          </w:rPr>
          <w:instrText xml:space="preserve"> PAGEREF _Toc354313815 \h </w:instrText>
        </w:r>
        <w:r>
          <w:rPr>
            <w:noProof/>
            <w:webHidden/>
          </w:rPr>
        </w:r>
        <w:r>
          <w:rPr>
            <w:noProof/>
            <w:webHidden/>
          </w:rPr>
          <w:fldChar w:fldCharType="separate"/>
        </w:r>
        <w:r w:rsidR="004F454E">
          <w:rPr>
            <w:noProof/>
            <w:webHidden/>
          </w:rPr>
          <w:t>6</w:t>
        </w:r>
        <w:r>
          <w:rPr>
            <w:noProof/>
            <w:webHidden/>
          </w:rPr>
          <w:fldChar w:fldCharType="end"/>
        </w:r>
      </w:hyperlink>
    </w:p>
    <w:p w:rsidR="004F454E" w:rsidRDefault="00DF50D8">
      <w:pPr>
        <w:pStyle w:val="TM1"/>
        <w:tabs>
          <w:tab w:val="right" w:leader="dot" w:pos="9062"/>
        </w:tabs>
        <w:rPr>
          <w:rFonts w:asciiTheme="minorHAnsi" w:eastAsiaTheme="minorEastAsia" w:hAnsiTheme="minorHAnsi" w:cstheme="minorBidi"/>
          <w:b w:val="0"/>
          <w:bCs w:val="0"/>
          <w:caps w:val="0"/>
          <w:noProof/>
          <w:sz w:val="22"/>
          <w:szCs w:val="22"/>
          <w:lang w:val="en-US" w:eastAsia="en-US"/>
        </w:rPr>
      </w:pPr>
      <w:hyperlink w:anchor="_Toc354313816" w:history="1">
        <w:r w:rsidR="004F454E" w:rsidRPr="00762F94">
          <w:rPr>
            <w:rStyle w:val="Lienhypertexte"/>
            <w:rFonts w:cs="Arial"/>
            <w:noProof/>
          </w:rPr>
          <w:t>Principaux indicateurs</w:t>
        </w:r>
        <w:r w:rsidR="004F454E">
          <w:rPr>
            <w:noProof/>
            <w:webHidden/>
          </w:rPr>
          <w:tab/>
        </w:r>
        <w:r>
          <w:rPr>
            <w:noProof/>
            <w:webHidden/>
          </w:rPr>
          <w:fldChar w:fldCharType="begin"/>
        </w:r>
        <w:r w:rsidR="004F454E">
          <w:rPr>
            <w:noProof/>
            <w:webHidden/>
          </w:rPr>
          <w:instrText xml:space="preserve"> PAGEREF _Toc354313816 \h </w:instrText>
        </w:r>
        <w:r>
          <w:rPr>
            <w:noProof/>
            <w:webHidden/>
          </w:rPr>
        </w:r>
        <w:r>
          <w:rPr>
            <w:noProof/>
            <w:webHidden/>
          </w:rPr>
          <w:fldChar w:fldCharType="separate"/>
        </w:r>
        <w:r w:rsidR="004F454E">
          <w:rPr>
            <w:noProof/>
            <w:webHidden/>
          </w:rPr>
          <w:t>10</w:t>
        </w:r>
        <w:r>
          <w:rPr>
            <w:noProof/>
            <w:webHidden/>
          </w:rPr>
          <w:fldChar w:fldCharType="end"/>
        </w:r>
      </w:hyperlink>
    </w:p>
    <w:p w:rsidR="004F454E" w:rsidRDefault="00DF50D8">
      <w:pPr>
        <w:pStyle w:val="TM1"/>
        <w:tabs>
          <w:tab w:val="left" w:pos="440"/>
          <w:tab w:val="right" w:leader="dot" w:pos="9062"/>
        </w:tabs>
        <w:rPr>
          <w:rFonts w:asciiTheme="minorHAnsi" w:eastAsiaTheme="minorEastAsia" w:hAnsiTheme="minorHAnsi" w:cstheme="minorBidi"/>
          <w:b w:val="0"/>
          <w:bCs w:val="0"/>
          <w:caps w:val="0"/>
          <w:noProof/>
          <w:sz w:val="22"/>
          <w:szCs w:val="22"/>
          <w:lang w:val="en-US" w:eastAsia="en-US"/>
        </w:rPr>
      </w:pPr>
      <w:hyperlink w:anchor="_Toc354313817" w:history="1">
        <w:r w:rsidR="004F454E" w:rsidRPr="00762F94">
          <w:rPr>
            <w:rStyle w:val="Lienhypertexte"/>
            <w:rFonts w:cs="Arial"/>
            <w:noProof/>
          </w:rPr>
          <w:t>1.</w:t>
        </w:r>
        <w:r w:rsidR="004F454E">
          <w:rPr>
            <w:rFonts w:asciiTheme="minorHAnsi" w:eastAsiaTheme="minorEastAsia" w:hAnsiTheme="minorHAnsi" w:cstheme="minorBidi"/>
            <w:b w:val="0"/>
            <w:bCs w:val="0"/>
            <w:caps w:val="0"/>
            <w:noProof/>
            <w:sz w:val="22"/>
            <w:szCs w:val="22"/>
            <w:lang w:val="en-US" w:eastAsia="en-US"/>
          </w:rPr>
          <w:tab/>
        </w:r>
        <w:r w:rsidR="004F454E" w:rsidRPr="00762F94">
          <w:rPr>
            <w:rStyle w:val="Lienhypertexte"/>
            <w:rFonts w:cs="Arial"/>
            <w:noProof/>
          </w:rPr>
          <w:t>Présentation du Burundi</w:t>
        </w:r>
        <w:r w:rsidR="004F454E">
          <w:rPr>
            <w:noProof/>
            <w:webHidden/>
          </w:rPr>
          <w:tab/>
        </w:r>
        <w:r>
          <w:rPr>
            <w:noProof/>
            <w:webHidden/>
          </w:rPr>
          <w:fldChar w:fldCharType="begin"/>
        </w:r>
        <w:r w:rsidR="004F454E">
          <w:rPr>
            <w:noProof/>
            <w:webHidden/>
          </w:rPr>
          <w:instrText xml:space="preserve"> PAGEREF _Toc354313817 \h </w:instrText>
        </w:r>
        <w:r>
          <w:rPr>
            <w:noProof/>
            <w:webHidden/>
          </w:rPr>
        </w:r>
        <w:r>
          <w:rPr>
            <w:noProof/>
            <w:webHidden/>
          </w:rPr>
          <w:fldChar w:fldCharType="separate"/>
        </w:r>
        <w:r w:rsidR="004F454E">
          <w:rPr>
            <w:noProof/>
            <w:webHidden/>
          </w:rPr>
          <w:t>11</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818" w:history="1">
        <w:r w:rsidR="004F454E" w:rsidRPr="00762F94">
          <w:rPr>
            <w:rStyle w:val="Lienhypertexte"/>
            <w:rFonts w:cs="Arial"/>
            <w:noProof/>
            <w:lang w:val="fr-BE"/>
          </w:rPr>
          <w:t>1.1</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Organisation administrative et démographie</w:t>
        </w:r>
        <w:r w:rsidR="004F454E">
          <w:rPr>
            <w:noProof/>
            <w:webHidden/>
          </w:rPr>
          <w:tab/>
        </w:r>
        <w:r>
          <w:rPr>
            <w:noProof/>
            <w:webHidden/>
          </w:rPr>
          <w:fldChar w:fldCharType="begin"/>
        </w:r>
        <w:r w:rsidR="004F454E">
          <w:rPr>
            <w:noProof/>
            <w:webHidden/>
          </w:rPr>
          <w:instrText xml:space="preserve"> PAGEREF _Toc354313818 \h </w:instrText>
        </w:r>
        <w:r>
          <w:rPr>
            <w:noProof/>
            <w:webHidden/>
          </w:rPr>
        </w:r>
        <w:r>
          <w:rPr>
            <w:noProof/>
            <w:webHidden/>
          </w:rPr>
          <w:fldChar w:fldCharType="separate"/>
        </w:r>
        <w:r w:rsidR="004F454E">
          <w:rPr>
            <w:noProof/>
            <w:webHidden/>
          </w:rPr>
          <w:t>11</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819" w:history="1">
        <w:r w:rsidR="004F454E" w:rsidRPr="00762F94">
          <w:rPr>
            <w:rStyle w:val="Lienhypertexte"/>
            <w:rFonts w:cs="Arial"/>
            <w:noProof/>
            <w:lang w:val="fr-BE"/>
          </w:rPr>
          <w:t>1.2</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Caractéristiques agro-écologiques productives des provinces</w:t>
        </w:r>
        <w:r w:rsidR="004F454E">
          <w:rPr>
            <w:noProof/>
            <w:webHidden/>
          </w:rPr>
          <w:tab/>
        </w:r>
        <w:r>
          <w:rPr>
            <w:noProof/>
            <w:webHidden/>
          </w:rPr>
          <w:fldChar w:fldCharType="begin"/>
        </w:r>
        <w:r w:rsidR="004F454E">
          <w:rPr>
            <w:noProof/>
            <w:webHidden/>
          </w:rPr>
          <w:instrText xml:space="preserve"> PAGEREF _Toc354313819 \h </w:instrText>
        </w:r>
        <w:r>
          <w:rPr>
            <w:noProof/>
            <w:webHidden/>
          </w:rPr>
        </w:r>
        <w:r>
          <w:rPr>
            <w:noProof/>
            <w:webHidden/>
          </w:rPr>
          <w:fldChar w:fldCharType="separate"/>
        </w:r>
        <w:r w:rsidR="004F454E">
          <w:rPr>
            <w:noProof/>
            <w:webHidden/>
          </w:rPr>
          <w:t>13</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820" w:history="1">
        <w:r w:rsidR="004F454E" w:rsidRPr="00762F94">
          <w:rPr>
            <w:rStyle w:val="Lienhypertexte"/>
            <w:rFonts w:cs="Arial"/>
            <w:noProof/>
            <w:lang w:val="fr-BE"/>
          </w:rPr>
          <w:t>1.3</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Caractéristique de l’agriculture burundaise</w:t>
        </w:r>
        <w:r w:rsidR="004F454E">
          <w:rPr>
            <w:noProof/>
            <w:webHidden/>
          </w:rPr>
          <w:tab/>
        </w:r>
        <w:r>
          <w:rPr>
            <w:noProof/>
            <w:webHidden/>
          </w:rPr>
          <w:fldChar w:fldCharType="begin"/>
        </w:r>
        <w:r w:rsidR="004F454E">
          <w:rPr>
            <w:noProof/>
            <w:webHidden/>
          </w:rPr>
          <w:instrText xml:space="preserve"> PAGEREF _Toc354313820 \h </w:instrText>
        </w:r>
        <w:r>
          <w:rPr>
            <w:noProof/>
            <w:webHidden/>
          </w:rPr>
        </w:r>
        <w:r>
          <w:rPr>
            <w:noProof/>
            <w:webHidden/>
          </w:rPr>
          <w:fldChar w:fldCharType="separate"/>
        </w:r>
        <w:r w:rsidR="004F454E">
          <w:rPr>
            <w:noProof/>
            <w:webHidden/>
          </w:rPr>
          <w:t>16</w:t>
        </w:r>
        <w:r>
          <w:rPr>
            <w:noProof/>
            <w:webHidden/>
          </w:rPr>
          <w:fldChar w:fldCharType="end"/>
        </w:r>
      </w:hyperlink>
    </w:p>
    <w:p w:rsidR="004F454E" w:rsidRDefault="00DF50D8">
      <w:pPr>
        <w:pStyle w:val="TM3"/>
        <w:tabs>
          <w:tab w:val="left" w:pos="1100"/>
          <w:tab w:val="right" w:leader="dot" w:pos="9062"/>
        </w:tabs>
        <w:rPr>
          <w:rFonts w:asciiTheme="minorHAnsi" w:eastAsiaTheme="minorEastAsia" w:hAnsiTheme="minorHAnsi" w:cstheme="minorBidi"/>
          <w:i w:val="0"/>
          <w:iCs w:val="0"/>
          <w:noProof/>
          <w:sz w:val="22"/>
          <w:szCs w:val="22"/>
          <w:lang w:val="en-US" w:eastAsia="en-US"/>
        </w:rPr>
      </w:pPr>
      <w:hyperlink w:anchor="_Toc354313821" w:history="1">
        <w:r w:rsidR="004F454E" w:rsidRPr="00762F94">
          <w:rPr>
            <w:rStyle w:val="Lienhypertexte"/>
            <w:rFonts w:cs="Arial"/>
            <w:noProof/>
          </w:rPr>
          <w:t>1.3.1</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Saisons agricoles</w:t>
        </w:r>
        <w:r w:rsidR="004F454E">
          <w:rPr>
            <w:noProof/>
            <w:webHidden/>
          </w:rPr>
          <w:tab/>
        </w:r>
        <w:r>
          <w:rPr>
            <w:noProof/>
            <w:webHidden/>
          </w:rPr>
          <w:fldChar w:fldCharType="begin"/>
        </w:r>
        <w:r w:rsidR="004F454E">
          <w:rPr>
            <w:noProof/>
            <w:webHidden/>
          </w:rPr>
          <w:instrText xml:space="preserve"> PAGEREF _Toc354313821 \h </w:instrText>
        </w:r>
        <w:r>
          <w:rPr>
            <w:noProof/>
            <w:webHidden/>
          </w:rPr>
        </w:r>
        <w:r>
          <w:rPr>
            <w:noProof/>
            <w:webHidden/>
          </w:rPr>
          <w:fldChar w:fldCharType="separate"/>
        </w:r>
        <w:r w:rsidR="004F454E">
          <w:rPr>
            <w:noProof/>
            <w:webHidden/>
          </w:rPr>
          <w:t>16</w:t>
        </w:r>
        <w:r>
          <w:rPr>
            <w:noProof/>
            <w:webHidden/>
          </w:rPr>
          <w:fldChar w:fldCharType="end"/>
        </w:r>
      </w:hyperlink>
    </w:p>
    <w:p w:rsidR="004F454E" w:rsidRDefault="00DF50D8">
      <w:pPr>
        <w:pStyle w:val="TM3"/>
        <w:tabs>
          <w:tab w:val="left" w:pos="1100"/>
          <w:tab w:val="right" w:leader="dot" w:pos="9062"/>
        </w:tabs>
        <w:rPr>
          <w:rFonts w:asciiTheme="minorHAnsi" w:eastAsiaTheme="minorEastAsia" w:hAnsiTheme="minorHAnsi" w:cstheme="minorBidi"/>
          <w:i w:val="0"/>
          <w:iCs w:val="0"/>
          <w:noProof/>
          <w:sz w:val="22"/>
          <w:szCs w:val="22"/>
          <w:lang w:val="en-US" w:eastAsia="en-US"/>
        </w:rPr>
      </w:pPr>
      <w:hyperlink w:anchor="_Toc354313822" w:history="1">
        <w:r w:rsidR="004F454E" w:rsidRPr="00762F94">
          <w:rPr>
            <w:rStyle w:val="Lienhypertexte"/>
            <w:rFonts w:cs="Arial"/>
            <w:noProof/>
          </w:rPr>
          <w:t>1.3.2</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Association des cultures</w:t>
        </w:r>
        <w:r w:rsidR="004F454E">
          <w:rPr>
            <w:noProof/>
            <w:webHidden/>
          </w:rPr>
          <w:tab/>
        </w:r>
        <w:r>
          <w:rPr>
            <w:noProof/>
            <w:webHidden/>
          </w:rPr>
          <w:fldChar w:fldCharType="begin"/>
        </w:r>
        <w:r w:rsidR="004F454E">
          <w:rPr>
            <w:noProof/>
            <w:webHidden/>
          </w:rPr>
          <w:instrText xml:space="preserve"> PAGEREF _Toc354313822 \h </w:instrText>
        </w:r>
        <w:r>
          <w:rPr>
            <w:noProof/>
            <w:webHidden/>
          </w:rPr>
        </w:r>
        <w:r>
          <w:rPr>
            <w:noProof/>
            <w:webHidden/>
          </w:rPr>
          <w:fldChar w:fldCharType="separate"/>
        </w:r>
        <w:r w:rsidR="004F454E">
          <w:rPr>
            <w:noProof/>
            <w:webHidden/>
          </w:rPr>
          <w:t>17</w:t>
        </w:r>
        <w:r>
          <w:rPr>
            <w:noProof/>
            <w:webHidden/>
          </w:rPr>
          <w:fldChar w:fldCharType="end"/>
        </w:r>
      </w:hyperlink>
    </w:p>
    <w:p w:rsidR="004F454E" w:rsidRDefault="00DF50D8">
      <w:pPr>
        <w:pStyle w:val="TM3"/>
        <w:tabs>
          <w:tab w:val="left" w:pos="1100"/>
          <w:tab w:val="right" w:leader="dot" w:pos="9062"/>
        </w:tabs>
        <w:rPr>
          <w:rFonts w:asciiTheme="minorHAnsi" w:eastAsiaTheme="minorEastAsia" w:hAnsiTheme="minorHAnsi" w:cstheme="minorBidi"/>
          <w:i w:val="0"/>
          <w:iCs w:val="0"/>
          <w:noProof/>
          <w:sz w:val="22"/>
          <w:szCs w:val="22"/>
          <w:lang w:val="en-US" w:eastAsia="en-US"/>
        </w:rPr>
      </w:pPr>
      <w:hyperlink w:anchor="_Toc354313823" w:history="1">
        <w:r w:rsidR="004F454E" w:rsidRPr="00762F94">
          <w:rPr>
            <w:rStyle w:val="Lienhypertexte"/>
            <w:rFonts w:cs="Arial"/>
            <w:noProof/>
          </w:rPr>
          <w:t>1.3.3</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Multiplication des cycles de culture</w:t>
        </w:r>
        <w:r w:rsidR="004F454E">
          <w:rPr>
            <w:noProof/>
            <w:webHidden/>
          </w:rPr>
          <w:tab/>
        </w:r>
        <w:r>
          <w:rPr>
            <w:noProof/>
            <w:webHidden/>
          </w:rPr>
          <w:fldChar w:fldCharType="begin"/>
        </w:r>
        <w:r w:rsidR="004F454E">
          <w:rPr>
            <w:noProof/>
            <w:webHidden/>
          </w:rPr>
          <w:instrText xml:space="preserve"> PAGEREF _Toc354313823 \h </w:instrText>
        </w:r>
        <w:r>
          <w:rPr>
            <w:noProof/>
            <w:webHidden/>
          </w:rPr>
        </w:r>
        <w:r>
          <w:rPr>
            <w:noProof/>
            <w:webHidden/>
          </w:rPr>
          <w:fldChar w:fldCharType="separate"/>
        </w:r>
        <w:r w:rsidR="004F454E">
          <w:rPr>
            <w:noProof/>
            <w:webHidden/>
          </w:rPr>
          <w:t>17</w:t>
        </w:r>
        <w:r>
          <w:rPr>
            <w:noProof/>
            <w:webHidden/>
          </w:rPr>
          <w:fldChar w:fldCharType="end"/>
        </w:r>
      </w:hyperlink>
    </w:p>
    <w:p w:rsidR="004F454E" w:rsidRDefault="00DF50D8">
      <w:pPr>
        <w:pStyle w:val="TM3"/>
        <w:tabs>
          <w:tab w:val="left" w:pos="1100"/>
          <w:tab w:val="right" w:leader="dot" w:pos="9062"/>
        </w:tabs>
        <w:rPr>
          <w:rFonts w:asciiTheme="minorHAnsi" w:eastAsiaTheme="minorEastAsia" w:hAnsiTheme="minorHAnsi" w:cstheme="minorBidi"/>
          <w:i w:val="0"/>
          <w:iCs w:val="0"/>
          <w:noProof/>
          <w:sz w:val="22"/>
          <w:szCs w:val="22"/>
          <w:lang w:val="en-US" w:eastAsia="en-US"/>
        </w:rPr>
      </w:pPr>
      <w:hyperlink w:anchor="_Toc354313824" w:history="1">
        <w:r w:rsidR="004F454E" w:rsidRPr="00762F94">
          <w:rPr>
            <w:rStyle w:val="Lienhypertexte"/>
            <w:rFonts w:cs="Arial"/>
            <w:noProof/>
          </w:rPr>
          <w:t>1.3.4</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Calendrier cultural</w:t>
        </w:r>
        <w:r w:rsidR="004F454E">
          <w:rPr>
            <w:noProof/>
            <w:webHidden/>
          </w:rPr>
          <w:tab/>
        </w:r>
        <w:r>
          <w:rPr>
            <w:noProof/>
            <w:webHidden/>
          </w:rPr>
          <w:fldChar w:fldCharType="begin"/>
        </w:r>
        <w:r w:rsidR="004F454E">
          <w:rPr>
            <w:noProof/>
            <w:webHidden/>
          </w:rPr>
          <w:instrText xml:space="preserve"> PAGEREF _Toc354313824 \h </w:instrText>
        </w:r>
        <w:r>
          <w:rPr>
            <w:noProof/>
            <w:webHidden/>
          </w:rPr>
        </w:r>
        <w:r>
          <w:rPr>
            <w:noProof/>
            <w:webHidden/>
          </w:rPr>
          <w:fldChar w:fldCharType="separate"/>
        </w:r>
        <w:r w:rsidR="004F454E">
          <w:rPr>
            <w:noProof/>
            <w:webHidden/>
          </w:rPr>
          <w:t>17</w:t>
        </w:r>
        <w:r>
          <w:rPr>
            <w:noProof/>
            <w:webHidden/>
          </w:rPr>
          <w:fldChar w:fldCharType="end"/>
        </w:r>
      </w:hyperlink>
    </w:p>
    <w:p w:rsidR="004F454E" w:rsidRDefault="00DF50D8">
      <w:pPr>
        <w:pStyle w:val="TM1"/>
        <w:tabs>
          <w:tab w:val="left" w:pos="440"/>
          <w:tab w:val="right" w:leader="dot" w:pos="9062"/>
        </w:tabs>
        <w:rPr>
          <w:rFonts w:asciiTheme="minorHAnsi" w:eastAsiaTheme="minorEastAsia" w:hAnsiTheme="minorHAnsi" w:cstheme="minorBidi"/>
          <w:b w:val="0"/>
          <w:bCs w:val="0"/>
          <w:caps w:val="0"/>
          <w:noProof/>
          <w:sz w:val="22"/>
          <w:szCs w:val="22"/>
          <w:lang w:val="en-US" w:eastAsia="en-US"/>
        </w:rPr>
      </w:pPr>
      <w:hyperlink w:anchor="_Toc354313825" w:history="1">
        <w:r w:rsidR="004F454E" w:rsidRPr="00762F94">
          <w:rPr>
            <w:rStyle w:val="Lienhypertexte"/>
            <w:rFonts w:cs="Arial"/>
            <w:noProof/>
          </w:rPr>
          <w:t>2.</w:t>
        </w:r>
        <w:r w:rsidR="004F454E">
          <w:rPr>
            <w:rFonts w:asciiTheme="minorHAnsi" w:eastAsiaTheme="minorEastAsia" w:hAnsiTheme="minorHAnsi" w:cstheme="minorBidi"/>
            <w:b w:val="0"/>
            <w:bCs w:val="0"/>
            <w:caps w:val="0"/>
            <w:noProof/>
            <w:sz w:val="22"/>
            <w:szCs w:val="22"/>
            <w:lang w:val="en-US" w:eastAsia="en-US"/>
          </w:rPr>
          <w:tab/>
        </w:r>
        <w:r w:rsidR="004F454E" w:rsidRPr="00762F94">
          <w:rPr>
            <w:rStyle w:val="Lienhypertexte"/>
            <w:rFonts w:cs="Arial"/>
            <w:noProof/>
          </w:rPr>
          <w:t>Bref historique de la collecte des données agricole au Burundi</w:t>
        </w:r>
        <w:r w:rsidR="004F454E">
          <w:rPr>
            <w:noProof/>
            <w:webHidden/>
          </w:rPr>
          <w:tab/>
        </w:r>
        <w:r>
          <w:rPr>
            <w:noProof/>
            <w:webHidden/>
          </w:rPr>
          <w:fldChar w:fldCharType="begin"/>
        </w:r>
        <w:r w:rsidR="004F454E">
          <w:rPr>
            <w:noProof/>
            <w:webHidden/>
          </w:rPr>
          <w:instrText xml:space="preserve"> PAGEREF _Toc354313825 \h </w:instrText>
        </w:r>
        <w:r>
          <w:rPr>
            <w:noProof/>
            <w:webHidden/>
          </w:rPr>
        </w:r>
        <w:r>
          <w:rPr>
            <w:noProof/>
            <w:webHidden/>
          </w:rPr>
          <w:fldChar w:fldCharType="separate"/>
        </w:r>
        <w:r w:rsidR="004F454E">
          <w:rPr>
            <w:noProof/>
            <w:webHidden/>
          </w:rPr>
          <w:t>19</w:t>
        </w:r>
        <w:r>
          <w:rPr>
            <w:noProof/>
            <w:webHidden/>
          </w:rPr>
          <w:fldChar w:fldCharType="end"/>
        </w:r>
      </w:hyperlink>
    </w:p>
    <w:p w:rsidR="004F454E" w:rsidRDefault="00DF50D8">
      <w:pPr>
        <w:pStyle w:val="TM1"/>
        <w:tabs>
          <w:tab w:val="left" w:pos="440"/>
          <w:tab w:val="right" w:leader="dot" w:pos="9062"/>
        </w:tabs>
        <w:rPr>
          <w:rFonts w:asciiTheme="minorHAnsi" w:eastAsiaTheme="minorEastAsia" w:hAnsiTheme="minorHAnsi" w:cstheme="minorBidi"/>
          <w:b w:val="0"/>
          <w:bCs w:val="0"/>
          <w:caps w:val="0"/>
          <w:noProof/>
          <w:sz w:val="22"/>
          <w:szCs w:val="22"/>
          <w:lang w:val="en-US" w:eastAsia="en-US"/>
        </w:rPr>
      </w:pPr>
      <w:hyperlink w:anchor="_Toc354313826" w:history="1">
        <w:r w:rsidR="004F454E" w:rsidRPr="00762F94">
          <w:rPr>
            <w:rStyle w:val="Lienhypertexte"/>
            <w:rFonts w:cs="Arial"/>
            <w:noProof/>
          </w:rPr>
          <w:t>3.</w:t>
        </w:r>
        <w:r w:rsidR="004F454E">
          <w:rPr>
            <w:rFonts w:asciiTheme="minorHAnsi" w:eastAsiaTheme="minorEastAsia" w:hAnsiTheme="minorHAnsi" w:cstheme="minorBidi"/>
            <w:b w:val="0"/>
            <w:bCs w:val="0"/>
            <w:caps w:val="0"/>
            <w:noProof/>
            <w:sz w:val="22"/>
            <w:szCs w:val="22"/>
            <w:lang w:val="en-US" w:eastAsia="en-US"/>
          </w:rPr>
          <w:tab/>
        </w:r>
        <w:r w:rsidR="004F454E" w:rsidRPr="00762F94">
          <w:rPr>
            <w:rStyle w:val="Lienhypertexte"/>
            <w:rFonts w:cs="Arial"/>
            <w:noProof/>
          </w:rPr>
          <w:t>Aperçu méthodologique</w:t>
        </w:r>
        <w:r w:rsidR="004F454E">
          <w:rPr>
            <w:noProof/>
            <w:webHidden/>
          </w:rPr>
          <w:tab/>
        </w:r>
        <w:r>
          <w:rPr>
            <w:noProof/>
            <w:webHidden/>
          </w:rPr>
          <w:fldChar w:fldCharType="begin"/>
        </w:r>
        <w:r w:rsidR="004F454E">
          <w:rPr>
            <w:noProof/>
            <w:webHidden/>
          </w:rPr>
          <w:instrText xml:space="preserve"> PAGEREF _Toc354313826 \h </w:instrText>
        </w:r>
        <w:r>
          <w:rPr>
            <w:noProof/>
            <w:webHidden/>
          </w:rPr>
        </w:r>
        <w:r>
          <w:rPr>
            <w:noProof/>
            <w:webHidden/>
          </w:rPr>
          <w:fldChar w:fldCharType="separate"/>
        </w:r>
        <w:r w:rsidR="004F454E">
          <w:rPr>
            <w:noProof/>
            <w:webHidden/>
          </w:rPr>
          <w:t>20</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827" w:history="1">
        <w:r w:rsidR="004F454E" w:rsidRPr="00762F94">
          <w:rPr>
            <w:rStyle w:val="Lienhypertexte"/>
            <w:rFonts w:cs="Arial"/>
            <w:noProof/>
          </w:rPr>
          <w:t>3.1.</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Objectifs de l’enquête</w:t>
        </w:r>
        <w:r w:rsidR="004F454E">
          <w:rPr>
            <w:noProof/>
            <w:webHidden/>
          </w:rPr>
          <w:tab/>
        </w:r>
        <w:r>
          <w:rPr>
            <w:noProof/>
            <w:webHidden/>
          </w:rPr>
          <w:fldChar w:fldCharType="begin"/>
        </w:r>
        <w:r w:rsidR="004F454E">
          <w:rPr>
            <w:noProof/>
            <w:webHidden/>
          </w:rPr>
          <w:instrText xml:space="preserve"> PAGEREF _Toc354313827 \h </w:instrText>
        </w:r>
        <w:r>
          <w:rPr>
            <w:noProof/>
            <w:webHidden/>
          </w:rPr>
        </w:r>
        <w:r>
          <w:rPr>
            <w:noProof/>
            <w:webHidden/>
          </w:rPr>
          <w:fldChar w:fldCharType="separate"/>
        </w:r>
        <w:r w:rsidR="004F454E">
          <w:rPr>
            <w:noProof/>
            <w:webHidden/>
          </w:rPr>
          <w:t>20</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828" w:history="1">
        <w:r w:rsidR="004F454E" w:rsidRPr="00762F94">
          <w:rPr>
            <w:rStyle w:val="Lienhypertexte"/>
            <w:rFonts w:cs="Arial"/>
            <w:noProof/>
          </w:rPr>
          <w:t>3.2.</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Plan de sondage</w:t>
        </w:r>
        <w:r w:rsidR="004F454E">
          <w:rPr>
            <w:noProof/>
            <w:webHidden/>
          </w:rPr>
          <w:tab/>
        </w:r>
        <w:r>
          <w:rPr>
            <w:noProof/>
            <w:webHidden/>
          </w:rPr>
          <w:fldChar w:fldCharType="begin"/>
        </w:r>
        <w:r w:rsidR="004F454E">
          <w:rPr>
            <w:noProof/>
            <w:webHidden/>
          </w:rPr>
          <w:instrText xml:space="preserve"> PAGEREF _Toc354313828 \h </w:instrText>
        </w:r>
        <w:r>
          <w:rPr>
            <w:noProof/>
            <w:webHidden/>
          </w:rPr>
        </w:r>
        <w:r>
          <w:rPr>
            <w:noProof/>
            <w:webHidden/>
          </w:rPr>
          <w:fldChar w:fldCharType="separate"/>
        </w:r>
        <w:r w:rsidR="004F454E">
          <w:rPr>
            <w:noProof/>
            <w:webHidden/>
          </w:rPr>
          <w:t>20</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29" w:history="1">
        <w:r w:rsidR="004F454E" w:rsidRPr="00762F94">
          <w:rPr>
            <w:rStyle w:val="Lienhypertexte"/>
            <w:rFonts w:cs="Arial"/>
            <w:noProof/>
          </w:rPr>
          <w:t>3.2.1.</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Structure de l’échantillon et bases de sondage</w:t>
        </w:r>
        <w:r w:rsidR="004F454E">
          <w:rPr>
            <w:noProof/>
            <w:webHidden/>
          </w:rPr>
          <w:tab/>
        </w:r>
        <w:r>
          <w:rPr>
            <w:noProof/>
            <w:webHidden/>
          </w:rPr>
          <w:fldChar w:fldCharType="begin"/>
        </w:r>
        <w:r w:rsidR="004F454E">
          <w:rPr>
            <w:noProof/>
            <w:webHidden/>
          </w:rPr>
          <w:instrText xml:space="preserve"> PAGEREF _Toc354313829 \h </w:instrText>
        </w:r>
        <w:r>
          <w:rPr>
            <w:noProof/>
            <w:webHidden/>
          </w:rPr>
        </w:r>
        <w:r>
          <w:rPr>
            <w:noProof/>
            <w:webHidden/>
          </w:rPr>
          <w:fldChar w:fldCharType="separate"/>
        </w:r>
        <w:r w:rsidR="004F454E">
          <w:rPr>
            <w:noProof/>
            <w:webHidden/>
          </w:rPr>
          <w:t>20</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30" w:history="1">
        <w:r w:rsidR="004F454E" w:rsidRPr="00762F94">
          <w:rPr>
            <w:rStyle w:val="Lienhypertexte"/>
            <w:rFonts w:cs="Arial"/>
            <w:noProof/>
          </w:rPr>
          <w:t>3.2.2.</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Taille de l’échantillon</w:t>
        </w:r>
        <w:r w:rsidR="004F454E">
          <w:rPr>
            <w:noProof/>
            <w:webHidden/>
          </w:rPr>
          <w:tab/>
        </w:r>
        <w:r>
          <w:rPr>
            <w:noProof/>
            <w:webHidden/>
          </w:rPr>
          <w:fldChar w:fldCharType="begin"/>
        </w:r>
        <w:r w:rsidR="004F454E">
          <w:rPr>
            <w:noProof/>
            <w:webHidden/>
          </w:rPr>
          <w:instrText xml:space="preserve"> PAGEREF _Toc354313830 \h </w:instrText>
        </w:r>
        <w:r>
          <w:rPr>
            <w:noProof/>
            <w:webHidden/>
          </w:rPr>
        </w:r>
        <w:r>
          <w:rPr>
            <w:noProof/>
            <w:webHidden/>
          </w:rPr>
          <w:fldChar w:fldCharType="separate"/>
        </w:r>
        <w:r w:rsidR="004F454E">
          <w:rPr>
            <w:noProof/>
            <w:webHidden/>
          </w:rPr>
          <w:t>21</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831" w:history="1">
        <w:r w:rsidR="004F454E" w:rsidRPr="00762F94">
          <w:rPr>
            <w:rStyle w:val="Lienhypertexte"/>
            <w:rFonts w:cs="Arial"/>
            <w:noProof/>
          </w:rPr>
          <w:t>3.3.</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Organisation de la collecte</w:t>
        </w:r>
        <w:r w:rsidR="004F454E">
          <w:rPr>
            <w:noProof/>
            <w:webHidden/>
          </w:rPr>
          <w:tab/>
        </w:r>
        <w:r>
          <w:rPr>
            <w:noProof/>
            <w:webHidden/>
          </w:rPr>
          <w:fldChar w:fldCharType="begin"/>
        </w:r>
        <w:r w:rsidR="004F454E">
          <w:rPr>
            <w:noProof/>
            <w:webHidden/>
          </w:rPr>
          <w:instrText xml:space="preserve"> PAGEREF _Toc354313831 \h </w:instrText>
        </w:r>
        <w:r>
          <w:rPr>
            <w:noProof/>
            <w:webHidden/>
          </w:rPr>
        </w:r>
        <w:r>
          <w:rPr>
            <w:noProof/>
            <w:webHidden/>
          </w:rPr>
          <w:fldChar w:fldCharType="separate"/>
        </w:r>
        <w:r w:rsidR="004F454E">
          <w:rPr>
            <w:noProof/>
            <w:webHidden/>
          </w:rPr>
          <w:t>21</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32" w:history="1">
        <w:r w:rsidR="004F454E" w:rsidRPr="00762F94">
          <w:rPr>
            <w:rStyle w:val="Lienhypertexte"/>
            <w:rFonts w:cs="Arial"/>
            <w:noProof/>
          </w:rPr>
          <w:t>3.3.1.</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Cadre organisationnel de l’enquête</w:t>
        </w:r>
        <w:r w:rsidR="004F454E">
          <w:rPr>
            <w:noProof/>
            <w:webHidden/>
          </w:rPr>
          <w:tab/>
        </w:r>
        <w:r>
          <w:rPr>
            <w:noProof/>
            <w:webHidden/>
          </w:rPr>
          <w:fldChar w:fldCharType="begin"/>
        </w:r>
        <w:r w:rsidR="004F454E">
          <w:rPr>
            <w:noProof/>
            <w:webHidden/>
          </w:rPr>
          <w:instrText xml:space="preserve"> PAGEREF _Toc354313832 \h </w:instrText>
        </w:r>
        <w:r>
          <w:rPr>
            <w:noProof/>
            <w:webHidden/>
          </w:rPr>
        </w:r>
        <w:r>
          <w:rPr>
            <w:noProof/>
            <w:webHidden/>
          </w:rPr>
          <w:fldChar w:fldCharType="separate"/>
        </w:r>
        <w:r w:rsidR="004F454E">
          <w:rPr>
            <w:noProof/>
            <w:webHidden/>
          </w:rPr>
          <w:t>21</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33" w:history="1">
        <w:r w:rsidR="004F454E" w:rsidRPr="00762F94">
          <w:rPr>
            <w:rStyle w:val="Lienhypertexte"/>
            <w:rFonts w:cs="Arial"/>
            <w:noProof/>
          </w:rPr>
          <w:t>3.3.2.</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Supports de collecte</w:t>
        </w:r>
        <w:r w:rsidR="004F454E">
          <w:rPr>
            <w:noProof/>
            <w:webHidden/>
          </w:rPr>
          <w:tab/>
        </w:r>
        <w:r>
          <w:rPr>
            <w:noProof/>
            <w:webHidden/>
          </w:rPr>
          <w:fldChar w:fldCharType="begin"/>
        </w:r>
        <w:r w:rsidR="004F454E">
          <w:rPr>
            <w:noProof/>
            <w:webHidden/>
          </w:rPr>
          <w:instrText xml:space="preserve"> PAGEREF _Toc354313833 \h </w:instrText>
        </w:r>
        <w:r>
          <w:rPr>
            <w:noProof/>
            <w:webHidden/>
          </w:rPr>
        </w:r>
        <w:r>
          <w:rPr>
            <w:noProof/>
            <w:webHidden/>
          </w:rPr>
          <w:fldChar w:fldCharType="separate"/>
        </w:r>
        <w:r w:rsidR="004F454E">
          <w:rPr>
            <w:noProof/>
            <w:webHidden/>
          </w:rPr>
          <w:t>22</w:t>
        </w:r>
        <w:r>
          <w:rPr>
            <w:noProof/>
            <w:webHidden/>
          </w:rPr>
          <w:fldChar w:fldCharType="end"/>
        </w:r>
      </w:hyperlink>
    </w:p>
    <w:p w:rsidR="004F454E" w:rsidRDefault="00DF50D8">
      <w:pPr>
        <w:pStyle w:val="TM3"/>
        <w:tabs>
          <w:tab w:val="left" w:pos="1100"/>
          <w:tab w:val="right" w:leader="dot" w:pos="9062"/>
        </w:tabs>
        <w:rPr>
          <w:rFonts w:asciiTheme="minorHAnsi" w:eastAsiaTheme="minorEastAsia" w:hAnsiTheme="minorHAnsi" w:cstheme="minorBidi"/>
          <w:i w:val="0"/>
          <w:iCs w:val="0"/>
          <w:noProof/>
          <w:sz w:val="22"/>
          <w:szCs w:val="22"/>
          <w:lang w:val="en-US" w:eastAsia="en-US"/>
        </w:rPr>
      </w:pPr>
      <w:hyperlink w:anchor="_Toc354313834" w:history="1">
        <w:r w:rsidR="004F454E" w:rsidRPr="00762F94">
          <w:rPr>
            <w:rStyle w:val="Lienhypertexte"/>
            <w:rFonts w:cs="Arial"/>
            <w:noProof/>
          </w:rPr>
          <w:t>1.3.5</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Déroulement des opérations</w:t>
        </w:r>
        <w:r w:rsidR="004F454E">
          <w:rPr>
            <w:noProof/>
            <w:webHidden/>
          </w:rPr>
          <w:tab/>
        </w:r>
        <w:r>
          <w:rPr>
            <w:noProof/>
            <w:webHidden/>
          </w:rPr>
          <w:fldChar w:fldCharType="begin"/>
        </w:r>
        <w:r w:rsidR="004F454E">
          <w:rPr>
            <w:noProof/>
            <w:webHidden/>
          </w:rPr>
          <w:instrText xml:space="preserve"> PAGEREF _Toc354313834 \h </w:instrText>
        </w:r>
        <w:r>
          <w:rPr>
            <w:noProof/>
            <w:webHidden/>
          </w:rPr>
        </w:r>
        <w:r>
          <w:rPr>
            <w:noProof/>
            <w:webHidden/>
          </w:rPr>
          <w:fldChar w:fldCharType="separate"/>
        </w:r>
        <w:r w:rsidR="004F454E">
          <w:rPr>
            <w:noProof/>
            <w:webHidden/>
          </w:rPr>
          <w:t>22</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835" w:history="1">
        <w:r w:rsidR="004F454E" w:rsidRPr="00762F94">
          <w:rPr>
            <w:rStyle w:val="Lienhypertexte"/>
            <w:rFonts w:cs="Arial"/>
            <w:noProof/>
          </w:rPr>
          <w:t>3.4.</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Traitement des données</w:t>
        </w:r>
        <w:r w:rsidR="004F454E">
          <w:rPr>
            <w:noProof/>
            <w:webHidden/>
          </w:rPr>
          <w:tab/>
        </w:r>
        <w:r>
          <w:rPr>
            <w:noProof/>
            <w:webHidden/>
          </w:rPr>
          <w:fldChar w:fldCharType="begin"/>
        </w:r>
        <w:r w:rsidR="004F454E">
          <w:rPr>
            <w:noProof/>
            <w:webHidden/>
          </w:rPr>
          <w:instrText xml:space="preserve"> PAGEREF _Toc354313835 \h </w:instrText>
        </w:r>
        <w:r>
          <w:rPr>
            <w:noProof/>
            <w:webHidden/>
          </w:rPr>
        </w:r>
        <w:r>
          <w:rPr>
            <w:noProof/>
            <w:webHidden/>
          </w:rPr>
          <w:fldChar w:fldCharType="separate"/>
        </w:r>
        <w:r w:rsidR="004F454E">
          <w:rPr>
            <w:noProof/>
            <w:webHidden/>
          </w:rPr>
          <w:t>23</w:t>
        </w:r>
        <w:r>
          <w:rPr>
            <w:noProof/>
            <w:webHidden/>
          </w:rPr>
          <w:fldChar w:fldCharType="end"/>
        </w:r>
      </w:hyperlink>
    </w:p>
    <w:p w:rsidR="004F454E" w:rsidRDefault="00DF50D8">
      <w:pPr>
        <w:pStyle w:val="TM1"/>
        <w:tabs>
          <w:tab w:val="right" w:leader="dot" w:pos="9062"/>
        </w:tabs>
        <w:rPr>
          <w:rFonts w:asciiTheme="minorHAnsi" w:eastAsiaTheme="minorEastAsia" w:hAnsiTheme="minorHAnsi" w:cstheme="minorBidi"/>
          <w:b w:val="0"/>
          <w:bCs w:val="0"/>
          <w:caps w:val="0"/>
          <w:noProof/>
          <w:sz w:val="22"/>
          <w:szCs w:val="22"/>
          <w:lang w:val="en-US" w:eastAsia="en-US"/>
        </w:rPr>
      </w:pPr>
      <w:hyperlink w:anchor="_Toc354313836" w:history="1">
        <w:r w:rsidR="004F454E" w:rsidRPr="00762F94">
          <w:rPr>
            <w:rStyle w:val="Lienhypertexte"/>
            <w:rFonts w:cs="Arial"/>
            <w:noProof/>
          </w:rPr>
          <w:t>Les publications comporteront trois volumes :</w:t>
        </w:r>
        <w:r w:rsidR="004F454E">
          <w:rPr>
            <w:noProof/>
            <w:webHidden/>
          </w:rPr>
          <w:tab/>
        </w:r>
        <w:r>
          <w:rPr>
            <w:noProof/>
            <w:webHidden/>
          </w:rPr>
          <w:fldChar w:fldCharType="begin"/>
        </w:r>
        <w:r w:rsidR="004F454E">
          <w:rPr>
            <w:noProof/>
            <w:webHidden/>
          </w:rPr>
          <w:instrText xml:space="preserve"> PAGEREF _Toc354313836 \h </w:instrText>
        </w:r>
        <w:r>
          <w:rPr>
            <w:noProof/>
            <w:webHidden/>
          </w:rPr>
        </w:r>
        <w:r>
          <w:rPr>
            <w:noProof/>
            <w:webHidden/>
          </w:rPr>
          <w:fldChar w:fldCharType="separate"/>
        </w:r>
        <w:r w:rsidR="004F454E">
          <w:rPr>
            <w:noProof/>
            <w:webHidden/>
          </w:rPr>
          <w:t>24</w:t>
        </w:r>
        <w:r>
          <w:rPr>
            <w:noProof/>
            <w:webHidden/>
          </w:rPr>
          <w:fldChar w:fldCharType="end"/>
        </w:r>
      </w:hyperlink>
    </w:p>
    <w:p w:rsidR="004F454E" w:rsidRDefault="00DF50D8">
      <w:pPr>
        <w:pStyle w:val="TM1"/>
        <w:tabs>
          <w:tab w:val="left" w:pos="440"/>
          <w:tab w:val="right" w:leader="dot" w:pos="9062"/>
        </w:tabs>
        <w:rPr>
          <w:rFonts w:asciiTheme="minorHAnsi" w:eastAsiaTheme="minorEastAsia" w:hAnsiTheme="minorHAnsi" w:cstheme="minorBidi"/>
          <w:b w:val="0"/>
          <w:bCs w:val="0"/>
          <w:caps w:val="0"/>
          <w:noProof/>
          <w:sz w:val="22"/>
          <w:szCs w:val="22"/>
          <w:lang w:val="en-US" w:eastAsia="en-US"/>
        </w:rPr>
      </w:pPr>
      <w:hyperlink w:anchor="_Toc354313837" w:history="1">
        <w:r w:rsidR="004F454E" w:rsidRPr="00762F94">
          <w:rPr>
            <w:rStyle w:val="Lienhypertexte"/>
            <w:rFonts w:cs="Arial"/>
            <w:noProof/>
          </w:rPr>
          <w:t>4.</w:t>
        </w:r>
        <w:r w:rsidR="004F454E">
          <w:rPr>
            <w:rFonts w:asciiTheme="minorHAnsi" w:eastAsiaTheme="minorEastAsia" w:hAnsiTheme="minorHAnsi" w:cstheme="minorBidi"/>
            <w:b w:val="0"/>
            <w:bCs w:val="0"/>
            <w:caps w:val="0"/>
            <w:noProof/>
            <w:sz w:val="22"/>
            <w:szCs w:val="22"/>
            <w:lang w:val="en-US" w:eastAsia="en-US"/>
          </w:rPr>
          <w:tab/>
        </w:r>
        <w:r w:rsidR="004F454E" w:rsidRPr="00762F94">
          <w:rPr>
            <w:rStyle w:val="Lienhypertexte"/>
            <w:rFonts w:cs="Arial"/>
            <w:noProof/>
          </w:rPr>
          <w:t>Quelques données agricoles communautaires des collines</w:t>
        </w:r>
        <w:r w:rsidR="004F454E">
          <w:rPr>
            <w:noProof/>
            <w:webHidden/>
          </w:rPr>
          <w:tab/>
        </w:r>
        <w:r>
          <w:rPr>
            <w:noProof/>
            <w:webHidden/>
          </w:rPr>
          <w:fldChar w:fldCharType="begin"/>
        </w:r>
        <w:r w:rsidR="004F454E">
          <w:rPr>
            <w:noProof/>
            <w:webHidden/>
          </w:rPr>
          <w:instrText xml:space="preserve"> PAGEREF _Toc354313837 \h </w:instrText>
        </w:r>
        <w:r>
          <w:rPr>
            <w:noProof/>
            <w:webHidden/>
          </w:rPr>
        </w:r>
        <w:r>
          <w:rPr>
            <w:noProof/>
            <w:webHidden/>
          </w:rPr>
          <w:fldChar w:fldCharType="separate"/>
        </w:r>
        <w:r w:rsidR="004F454E">
          <w:rPr>
            <w:noProof/>
            <w:webHidden/>
          </w:rPr>
          <w:t>25</w:t>
        </w:r>
        <w:r>
          <w:rPr>
            <w:noProof/>
            <w:webHidden/>
          </w:rPr>
          <w:fldChar w:fldCharType="end"/>
        </w:r>
      </w:hyperlink>
    </w:p>
    <w:p w:rsidR="004F454E" w:rsidRDefault="00DF50D8">
      <w:pPr>
        <w:pStyle w:val="TM1"/>
        <w:tabs>
          <w:tab w:val="left" w:pos="440"/>
          <w:tab w:val="right" w:leader="dot" w:pos="9062"/>
        </w:tabs>
        <w:rPr>
          <w:rFonts w:asciiTheme="minorHAnsi" w:eastAsiaTheme="minorEastAsia" w:hAnsiTheme="minorHAnsi" w:cstheme="minorBidi"/>
          <w:b w:val="0"/>
          <w:bCs w:val="0"/>
          <w:caps w:val="0"/>
          <w:noProof/>
          <w:sz w:val="22"/>
          <w:szCs w:val="22"/>
          <w:lang w:val="en-US" w:eastAsia="en-US"/>
        </w:rPr>
      </w:pPr>
      <w:hyperlink w:anchor="_Toc354313838" w:history="1">
        <w:r w:rsidR="004F454E" w:rsidRPr="00762F94">
          <w:rPr>
            <w:rStyle w:val="Lienhypertexte"/>
            <w:rFonts w:cs="Arial"/>
            <w:noProof/>
          </w:rPr>
          <w:t>5.</w:t>
        </w:r>
        <w:r w:rsidR="004F454E">
          <w:rPr>
            <w:rFonts w:asciiTheme="minorHAnsi" w:eastAsiaTheme="minorEastAsia" w:hAnsiTheme="minorHAnsi" w:cstheme="minorBidi"/>
            <w:b w:val="0"/>
            <w:bCs w:val="0"/>
            <w:caps w:val="0"/>
            <w:noProof/>
            <w:sz w:val="22"/>
            <w:szCs w:val="22"/>
            <w:lang w:val="en-US" w:eastAsia="en-US"/>
          </w:rPr>
          <w:tab/>
        </w:r>
        <w:r w:rsidR="004F454E" w:rsidRPr="00762F94">
          <w:rPr>
            <w:rStyle w:val="Lienhypertexte"/>
            <w:rFonts w:cs="Arial"/>
            <w:noProof/>
          </w:rPr>
          <w:t>Caractéristiques des ménages agricoles</w:t>
        </w:r>
        <w:r w:rsidR="004F454E">
          <w:rPr>
            <w:noProof/>
            <w:webHidden/>
          </w:rPr>
          <w:tab/>
        </w:r>
        <w:r>
          <w:rPr>
            <w:noProof/>
            <w:webHidden/>
          </w:rPr>
          <w:fldChar w:fldCharType="begin"/>
        </w:r>
        <w:r w:rsidR="004F454E">
          <w:rPr>
            <w:noProof/>
            <w:webHidden/>
          </w:rPr>
          <w:instrText xml:space="preserve"> PAGEREF _Toc354313838 \h </w:instrText>
        </w:r>
        <w:r>
          <w:rPr>
            <w:noProof/>
            <w:webHidden/>
          </w:rPr>
        </w:r>
        <w:r>
          <w:rPr>
            <w:noProof/>
            <w:webHidden/>
          </w:rPr>
          <w:fldChar w:fldCharType="separate"/>
        </w:r>
        <w:r w:rsidR="004F454E">
          <w:rPr>
            <w:noProof/>
            <w:webHidden/>
          </w:rPr>
          <w:t>28</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839" w:history="1">
        <w:r w:rsidR="004F454E" w:rsidRPr="00762F94">
          <w:rPr>
            <w:rStyle w:val="Lienhypertexte"/>
            <w:rFonts w:cs="Arial"/>
            <w:noProof/>
          </w:rPr>
          <w:t>5.1.</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Caractéristiques démographiques des ménages</w:t>
        </w:r>
        <w:r w:rsidR="004F454E">
          <w:rPr>
            <w:noProof/>
            <w:webHidden/>
          </w:rPr>
          <w:tab/>
        </w:r>
        <w:r>
          <w:rPr>
            <w:noProof/>
            <w:webHidden/>
          </w:rPr>
          <w:fldChar w:fldCharType="begin"/>
        </w:r>
        <w:r w:rsidR="004F454E">
          <w:rPr>
            <w:noProof/>
            <w:webHidden/>
          </w:rPr>
          <w:instrText xml:space="preserve"> PAGEREF _Toc354313839 \h </w:instrText>
        </w:r>
        <w:r>
          <w:rPr>
            <w:noProof/>
            <w:webHidden/>
          </w:rPr>
        </w:r>
        <w:r>
          <w:rPr>
            <w:noProof/>
            <w:webHidden/>
          </w:rPr>
          <w:fldChar w:fldCharType="separate"/>
        </w:r>
        <w:r w:rsidR="004F454E">
          <w:rPr>
            <w:noProof/>
            <w:webHidden/>
          </w:rPr>
          <w:t>28</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40" w:history="1">
        <w:r w:rsidR="004F454E" w:rsidRPr="00762F94">
          <w:rPr>
            <w:rStyle w:val="Lienhypertexte"/>
            <w:rFonts w:cs="Arial"/>
            <w:noProof/>
          </w:rPr>
          <w:t>5.1.1.</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Répartition des chefs de ménages agricoles par sexe</w:t>
        </w:r>
        <w:r w:rsidR="004F454E">
          <w:rPr>
            <w:noProof/>
            <w:webHidden/>
          </w:rPr>
          <w:tab/>
        </w:r>
        <w:r>
          <w:rPr>
            <w:noProof/>
            <w:webHidden/>
          </w:rPr>
          <w:fldChar w:fldCharType="begin"/>
        </w:r>
        <w:r w:rsidR="004F454E">
          <w:rPr>
            <w:noProof/>
            <w:webHidden/>
          </w:rPr>
          <w:instrText xml:space="preserve"> PAGEREF _Toc354313840 \h </w:instrText>
        </w:r>
        <w:r>
          <w:rPr>
            <w:noProof/>
            <w:webHidden/>
          </w:rPr>
        </w:r>
        <w:r>
          <w:rPr>
            <w:noProof/>
            <w:webHidden/>
          </w:rPr>
          <w:fldChar w:fldCharType="separate"/>
        </w:r>
        <w:r w:rsidR="004F454E">
          <w:rPr>
            <w:noProof/>
            <w:webHidden/>
          </w:rPr>
          <w:t>30</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41" w:history="1">
        <w:r w:rsidR="004F454E" w:rsidRPr="00762F94">
          <w:rPr>
            <w:rStyle w:val="Lienhypertexte"/>
            <w:rFonts w:cs="Arial"/>
            <w:noProof/>
          </w:rPr>
          <w:t>5.1.2.</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Taille moyenne du ménage agricole selon le sexe du chef de ménage</w:t>
        </w:r>
        <w:r w:rsidR="004F454E">
          <w:rPr>
            <w:noProof/>
            <w:webHidden/>
          </w:rPr>
          <w:tab/>
        </w:r>
        <w:r>
          <w:rPr>
            <w:noProof/>
            <w:webHidden/>
          </w:rPr>
          <w:fldChar w:fldCharType="begin"/>
        </w:r>
        <w:r w:rsidR="004F454E">
          <w:rPr>
            <w:noProof/>
            <w:webHidden/>
          </w:rPr>
          <w:instrText xml:space="preserve"> PAGEREF _Toc354313841 \h </w:instrText>
        </w:r>
        <w:r>
          <w:rPr>
            <w:noProof/>
            <w:webHidden/>
          </w:rPr>
        </w:r>
        <w:r>
          <w:rPr>
            <w:noProof/>
            <w:webHidden/>
          </w:rPr>
          <w:fldChar w:fldCharType="separate"/>
        </w:r>
        <w:r w:rsidR="004F454E">
          <w:rPr>
            <w:noProof/>
            <w:webHidden/>
          </w:rPr>
          <w:t>30</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42" w:history="1">
        <w:r w:rsidR="004F454E" w:rsidRPr="00762F94">
          <w:rPr>
            <w:rStyle w:val="Lienhypertexte"/>
            <w:rFonts w:cs="Arial"/>
            <w:noProof/>
          </w:rPr>
          <w:t>5.1.3.</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Age moyen des chefs de ménage agricole par sexe</w:t>
        </w:r>
        <w:r w:rsidR="004F454E">
          <w:rPr>
            <w:noProof/>
            <w:webHidden/>
          </w:rPr>
          <w:tab/>
        </w:r>
        <w:r>
          <w:rPr>
            <w:noProof/>
            <w:webHidden/>
          </w:rPr>
          <w:fldChar w:fldCharType="begin"/>
        </w:r>
        <w:r w:rsidR="004F454E">
          <w:rPr>
            <w:noProof/>
            <w:webHidden/>
          </w:rPr>
          <w:instrText xml:space="preserve"> PAGEREF _Toc354313842 \h </w:instrText>
        </w:r>
        <w:r>
          <w:rPr>
            <w:noProof/>
            <w:webHidden/>
          </w:rPr>
        </w:r>
        <w:r>
          <w:rPr>
            <w:noProof/>
            <w:webHidden/>
          </w:rPr>
          <w:fldChar w:fldCharType="separate"/>
        </w:r>
        <w:r w:rsidR="004F454E">
          <w:rPr>
            <w:noProof/>
            <w:webHidden/>
          </w:rPr>
          <w:t>32</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43" w:history="1">
        <w:r w:rsidR="004F454E" w:rsidRPr="00762F94">
          <w:rPr>
            <w:rStyle w:val="Lienhypertexte"/>
            <w:rFonts w:cs="Arial"/>
            <w:noProof/>
          </w:rPr>
          <w:t>5.1.4.</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Répartition des chefs de ménage agricole par tranche d'âge</w:t>
        </w:r>
        <w:r w:rsidR="004F454E">
          <w:rPr>
            <w:noProof/>
            <w:webHidden/>
          </w:rPr>
          <w:tab/>
        </w:r>
        <w:r>
          <w:rPr>
            <w:noProof/>
            <w:webHidden/>
          </w:rPr>
          <w:fldChar w:fldCharType="begin"/>
        </w:r>
        <w:r w:rsidR="004F454E">
          <w:rPr>
            <w:noProof/>
            <w:webHidden/>
          </w:rPr>
          <w:instrText xml:space="preserve"> PAGEREF _Toc354313843 \h </w:instrText>
        </w:r>
        <w:r>
          <w:rPr>
            <w:noProof/>
            <w:webHidden/>
          </w:rPr>
        </w:r>
        <w:r>
          <w:rPr>
            <w:noProof/>
            <w:webHidden/>
          </w:rPr>
          <w:fldChar w:fldCharType="separate"/>
        </w:r>
        <w:r w:rsidR="004F454E">
          <w:rPr>
            <w:noProof/>
            <w:webHidden/>
          </w:rPr>
          <w:t>32</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844" w:history="1">
        <w:r w:rsidR="004F454E" w:rsidRPr="00762F94">
          <w:rPr>
            <w:rStyle w:val="Lienhypertexte"/>
            <w:rFonts w:cs="Arial"/>
            <w:noProof/>
          </w:rPr>
          <w:t>5.2.</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Caractéristiques démographiques de la population agricole</w:t>
        </w:r>
        <w:r w:rsidR="004F454E">
          <w:rPr>
            <w:noProof/>
            <w:webHidden/>
          </w:rPr>
          <w:tab/>
        </w:r>
        <w:r>
          <w:rPr>
            <w:noProof/>
            <w:webHidden/>
          </w:rPr>
          <w:fldChar w:fldCharType="begin"/>
        </w:r>
        <w:r w:rsidR="004F454E">
          <w:rPr>
            <w:noProof/>
            <w:webHidden/>
          </w:rPr>
          <w:instrText xml:space="preserve"> PAGEREF _Toc354313844 \h </w:instrText>
        </w:r>
        <w:r>
          <w:rPr>
            <w:noProof/>
            <w:webHidden/>
          </w:rPr>
        </w:r>
        <w:r>
          <w:rPr>
            <w:noProof/>
            <w:webHidden/>
          </w:rPr>
          <w:fldChar w:fldCharType="separate"/>
        </w:r>
        <w:r w:rsidR="004F454E">
          <w:rPr>
            <w:noProof/>
            <w:webHidden/>
          </w:rPr>
          <w:t>33</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45" w:history="1">
        <w:r w:rsidR="004F454E" w:rsidRPr="00762F94">
          <w:rPr>
            <w:rStyle w:val="Lienhypertexte"/>
            <w:rFonts w:cs="Arial"/>
            <w:noProof/>
          </w:rPr>
          <w:t>5.2.1.</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Répartition de la population agricole selon la connaissance du kirundi et autres langues</w:t>
        </w:r>
        <w:r w:rsidR="004F454E">
          <w:rPr>
            <w:noProof/>
            <w:webHidden/>
          </w:rPr>
          <w:tab/>
        </w:r>
        <w:r>
          <w:rPr>
            <w:noProof/>
            <w:webHidden/>
          </w:rPr>
          <w:fldChar w:fldCharType="begin"/>
        </w:r>
        <w:r w:rsidR="004F454E">
          <w:rPr>
            <w:noProof/>
            <w:webHidden/>
          </w:rPr>
          <w:instrText xml:space="preserve"> PAGEREF _Toc354313845 \h </w:instrText>
        </w:r>
        <w:r>
          <w:rPr>
            <w:noProof/>
            <w:webHidden/>
          </w:rPr>
        </w:r>
        <w:r>
          <w:rPr>
            <w:noProof/>
            <w:webHidden/>
          </w:rPr>
          <w:fldChar w:fldCharType="separate"/>
        </w:r>
        <w:r w:rsidR="004F454E">
          <w:rPr>
            <w:noProof/>
            <w:webHidden/>
          </w:rPr>
          <w:t>36</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46" w:history="1">
        <w:r w:rsidR="004F454E" w:rsidRPr="00762F94">
          <w:rPr>
            <w:rStyle w:val="Lienhypertexte"/>
            <w:rFonts w:cs="Arial"/>
            <w:noProof/>
          </w:rPr>
          <w:t>5.2.2.</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Répartition de la population agricole selon l’état matrimonial</w:t>
        </w:r>
        <w:r w:rsidR="004F454E">
          <w:rPr>
            <w:noProof/>
            <w:webHidden/>
          </w:rPr>
          <w:tab/>
        </w:r>
        <w:r>
          <w:rPr>
            <w:noProof/>
            <w:webHidden/>
          </w:rPr>
          <w:fldChar w:fldCharType="begin"/>
        </w:r>
        <w:r w:rsidR="004F454E">
          <w:rPr>
            <w:noProof/>
            <w:webHidden/>
          </w:rPr>
          <w:instrText xml:space="preserve"> PAGEREF _Toc354313846 \h </w:instrText>
        </w:r>
        <w:r>
          <w:rPr>
            <w:noProof/>
            <w:webHidden/>
          </w:rPr>
        </w:r>
        <w:r>
          <w:rPr>
            <w:noProof/>
            <w:webHidden/>
          </w:rPr>
          <w:fldChar w:fldCharType="separate"/>
        </w:r>
        <w:r w:rsidR="004F454E">
          <w:rPr>
            <w:noProof/>
            <w:webHidden/>
          </w:rPr>
          <w:t>36</w:t>
        </w:r>
        <w:r>
          <w:rPr>
            <w:noProof/>
            <w:webHidden/>
          </w:rPr>
          <w:fldChar w:fldCharType="end"/>
        </w:r>
      </w:hyperlink>
    </w:p>
    <w:p w:rsidR="004F454E" w:rsidRDefault="00DF50D8">
      <w:pPr>
        <w:pStyle w:val="TM1"/>
        <w:tabs>
          <w:tab w:val="left" w:pos="440"/>
          <w:tab w:val="right" w:leader="dot" w:pos="9062"/>
        </w:tabs>
        <w:rPr>
          <w:rFonts w:asciiTheme="minorHAnsi" w:eastAsiaTheme="minorEastAsia" w:hAnsiTheme="minorHAnsi" w:cstheme="minorBidi"/>
          <w:b w:val="0"/>
          <w:bCs w:val="0"/>
          <w:caps w:val="0"/>
          <w:noProof/>
          <w:sz w:val="22"/>
          <w:szCs w:val="22"/>
          <w:lang w:val="en-US" w:eastAsia="en-US"/>
        </w:rPr>
      </w:pPr>
      <w:hyperlink w:anchor="_Toc354313847" w:history="1">
        <w:r w:rsidR="004F454E" w:rsidRPr="00762F94">
          <w:rPr>
            <w:rStyle w:val="Lienhypertexte"/>
            <w:rFonts w:cs="Arial"/>
            <w:noProof/>
          </w:rPr>
          <w:t>6.</w:t>
        </w:r>
        <w:r w:rsidR="004F454E">
          <w:rPr>
            <w:rFonts w:asciiTheme="minorHAnsi" w:eastAsiaTheme="minorEastAsia" w:hAnsiTheme="minorHAnsi" w:cstheme="minorBidi"/>
            <w:b w:val="0"/>
            <w:bCs w:val="0"/>
            <w:caps w:val="0"/>
            <w:noProof/>
            <w:sz w:val="22"/>
            <w:szCs w:val="22"/>
            <w:lang w:val="en-US" w:eastAsia="en-US"/>
          </w:rPr>
          <w:tab/>
        </w:r>
        <w:r w:rsidR="004F454E" w:rsidRPr="00762F94">
          <w:rPr>
            <w:rStyle w:val="Lienhypertexte"/>
            <w:rFonts w:cs="Arial"/>
            <w:noProof/>
          </w:rPr>
          <w:t>Superficie et typologie des exploitations agricoles</w:t>
        </w:r>
        <w:r w:rsidR="004F454E">
          <w:rPr>
            <w:noProof/>
            <w:webHidden/>
          </w:rPr>
          <w:tab/>
        </w:r>
        <w:r>
          <w:rPr>
            <w:noProof/>
            <w:webHidden/>
          </w:rPr>
          <w:fldChar w:fldCharType="begin"/>
        </w:r>
        <w:r w:rsidR="004F454E">
          <w:rPr>
            <w:noProof/>
            <w:webHidden/>
          </w:rPr>
          <w:instrText xml:space="preserve"> PAGEREF _Toc354313847 \h </w:instrText>
        </w:r>
        <w:r>
          <w:rPr>
            <w:noProof/>
            <w:webHidden/>
          </w:rPr>
        </w:r>
        <w:r>
          <w:rPr>
            <w:noProof/>
            <w:webHidden/>
          </w:rPr>
          <w:fldChar w:fldCharType="separate"/>
        </w:r>
        <w:r w:rsidR="004F454E">
          <w:rPr>
            <w:noProof/>
            <w:webHidden/>
          </w:rPr>
          <w:t>38</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848" w:history="1">
        <w:r w:rsidR="004F454E" w:rsidRPr="00762F94">
          <w:rPr>
            <w:rStyle w:val="Lienhypertexte"/>
            <w:rFonts w:cs="Arial"/>
            <w:noProof/>
          </w:rPr>
          <w:t>6.1.</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Superficie des exploitations</w:t>
        </w:r>
        <w:r w:rsidR="004F454E">
          <w:rPr>
            <w:noProof/>
            <w:webHidden/>
          </w:rPr>
          <w:tab/>
        </w:r>
        <w:r>
          <w:rPr>
            <w:noProof/>
            <w:webHidden/>
          </w:rPr>
          <w:fldChar w:fldCharType="begin"/>
        </w:r>
        <w:r w:rsidR="004F454E">
          <w:rPr>
            <w:noProof/>
            <w:webHidden/>
          </w:rPr>
          <w:instrText xml:space="preserve"> PAGEREF _Toc354313848 \h </w:instrText>
        </w:r>
        <w:r>
          <w:rPr>
            <w:noProof/>
            <w:webHidden/>
          </w:rPr>
        </w:r>
        <w:r>
          <w:rPr>
            <w:noProof/>
            <w:webHidden/>
          </w:rPr>
          <w:fldChar w:fldCharType="separate"/>
        </w:r>
        <w:r w:rsidR="004F454E">
          <w:rPr>
            <w:noProof/>
            <w:webHidden/>
          </w:rPr>
          <w:t>38</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49" w:history="1">
        <w:r w:rsidR="004F454E" w:rsidRPr="00762F94">
          <w:rPr>
            <w:rStyle w:val="Lienhypertexte"/>
            <w:rFonts w:cs="Arial"/>
            <w:noProof/>
          </w:rPr>
          <w:t>6.1.1.</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Superficie totale</w:t>
        </w:r>
        <w:r w:rsidR="004F454E">
          <w:rPr>
            <w:noProof/>
            <w:webHidden/>
          </w:rPr>
          <w:tab/>
        </w:r>
        <w:r>
          <w:rPr>
            <w:noProof/>
            <w:webHidden/>
          </w:rPr>
          <w:fldChar w:fldCharType="begin"/>
        </w:r>
        <w:r w:rsidR="004F454E">
          <w:rPr>
            <w:noProof/>
            <w:webHidden/>
          </w:rPr>
          <w:instrText xml:space="preserve"> PAGEREF _Toc354313849 \h </w:instrText>
        </w:r>
        <w:r>
          <w:rPr>
            <w:noProof/>
            <w:webHidden/>
          </w:rPr>
        </w:r>
        <w:r>
          <w:rPr>
            <w:noProof/>
            <w:webHidden/>
          </w:rPr>
          <w:fldChar w:fldCharType="separate"/>
        </w:r>
        <w:r w:rsidR="004F454E">
          <w:rPr>
            <w:noProof/>
            <w:webHidden/>
          </w:rPr>
          <w:t>38</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50" w:history="1">
        <w:r w:rsidR="004F454E" w:rsidRPr="00762F94">
          <w:rPr>
            <w:rStyle w:val="Lienhypertexte"/>
            <w:rFonts w:cs="Arial"/>
            <w:noProof/>
          </w:rPr>
          <w:t>6.1.2.</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Superficie totale physique cultivée</w:t>
        </w:r>
        <w:r w:rsidR="004F454E">
          <w:rPr>
            <w:noProof/>
            <w:webHidden/>
          </w:rPr>
          <w:tab/>
        </w:r>
        <w:r>
          <w:rPr>
            <w:noProof/>
            <w:webHidden/>
          </w:rPr>
          <w:fldChar w:fldCharType="begin"/>
        </w:r>
        <w:r w:rsidR="004F454E">
          <w:rPr>
            <w:noProof/>
            <w:webHidden/>
          </w:rPr>
          <w:instrText xml:space="preserve"> PAGEREF _Toc354313850 \h </w:instrText>
        </w:r>
        <w:r>
          <w:rPr>
            <w:noProof/>
            <w:webHidden/>
          </w:rPr>
        </w:r>
        <w:r>
          <w:rPr>
            <w:noProof/>
            <w:webHidden/>
          </w:rPr>
          <w:fldChar w:fldCharType="separate"/>
        </w:r>
        <w:r w:rsidR="004F454E">
          <w:rPr>
            <w:noProof/>
            <w:webHidden/>
          </w:rPr>
          <w:t>40</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51" w:history="1">
        <w:r w:rsidR="004F454E" w:rsidRPr="00762F94">
          <w:rPr>
            <w:rStyle w:val="Lienhypertexte"/>
            <w:rFonts w:cs="Arial"/>
            <w:noProof/>
          </w:rPr>
          <w:t>6.1.3.</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Superficie en jachère</w:t>
        </w:r>
        <w:r w:rsidR="004F454E">
          <w:rPr>
            <w:noProof/>
            <w:webHidden/>
          </w:rPr>
          <w:tab/>
        </w:r>
        <w:r>
          <w:rPr>
            <w:noProof/>
            <w:webHidden/>
          </w:rPr>
          <w:fldChar w:fldCharType="begin"/>
        </w:r>
        <w:r w:rsidR="004F454E">
          <w:rPr>
            <w:noProof/>
            <w:webHidden/>
          </w:rPr>
          <w:instrText xml:space="preserve"> PAGEREF _Toc354313851 \h </w:instrText>
        </w:r>
        <w:r>
          <w:rPr>
            <w:noProof/>
            <w:webHidden/>
          </w:rPr>
        </w:r>
        <w:r>
          <w:rPr>
            <w:noProof/>
            <w:webHidden/>
          </w:rPr>
          <w:fldChar w:fldCharType="separate"/>
        </w:r>
        <w:r w:rsidR="004F454E">
          <w:rPr>
            <w:noProof/>
            <w:webHidden/>
          </w:rPr>
          <w:t>40</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52" w:history="1">
        <w:r w:rsidR="004F454E" w:rsidRPr="00762F94">
          <w:rPr>
            <w:rStyle w:val="Lienhypertexte"/>
            <w:rFonts w:cs="Arial"/>
            <w:noProof/>
          </w:rPr>
          <w:t>6.1.4.</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Superficie des prairies et pâturages</w:t>
        </w:r>
        <w:r w:rsidR="004F454E">
          <w:rPr>
            <w:noProof/>
            <w:webHidden/>
          </w:rPr>
          <w:tab/>
        </w:r>
        <w:r>
          <w:rPr>
            <w:noProof/>
            <w:webHidden/>
          </w:rPr>
          <w:fldChar w:fldCharType="begin"/>
        </w:r>
        <w:r w:rsidR="004F454E">
          <w:rPr>
            <w:noProof/>
            <w:webHidden/>
          </w:rPr>
          <w:instrText xml:space="preserve"> PAGEREF _Toc354313852 \h </w:instrText>
        </w:r>
        <w:r>
          <w:rPr>
            <w:noProof/>
            <w:webHidden/>
          </w:rPr>
        </w:r>
        <w:r>
          <w:rPr>
            <w:noProof/>
            <w:webHidden/>
          </w:rPr>
          <w:fldChar w:fldCharType="separate"/>
        </w:r>
        <w:r w:rsidR="004F454E">
          <w:rPr>
            <w:noProof/>
            <w:webHidden/>
          </w:rPr>
          <w:t>40</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53" w:history="1">
        <w:r w:rsidR="004F454E" w:rsidRPr="00762F94">
          <w:rPr>
            <w:rStyle w:val="Lienhypertexte"/>
            <w:rFonts w:cs="Arial"/>
            <w:noProof/>
          </w:rPr>
          <w:t>6.1.5.</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Superficie des boisements</w:t>
        </w:r>
        <w:r w:rsidR="004F454E">
          <w:rPr>
            <w:noProof/>
            <w:webHidden/>
          </w:rPr>
          <w:tab/>
        </w:r>
        <w:r>
          <w:rPr>
            <w:noProof/>
            <w:webHidden/>
          </w:rPr>
          <w:fldChar w:fldCharType="begin"/>
        </w:r>
        <w:r w:rsidR="004F454E">
          <w:rPr>
            <w:noProof/>
            <w:webHidden/>
          </w:rPr>
          <w:instrText xml:space="preserve"> PAGEREF _Toc354313853 \h </w:instrText>
        </w:r>
        <w:r>
          <w:rPr>
            <w:noProof/>
            <w:webHidden/>
          </w:rPr>
        </w:r>
        <w:r>
          <w:rPr>
            <w:noProof/>
            <w:webHidden/>
          </w:rPr>
          <w:fldChar w:fldCharType="separate"/>
        </w:r>
        <w:r w:rsidR="004F454E">
          <w:rPr>
            <w:noProof/>
            <w:webHidden/>
          </w:rPr>
          <w:t>40</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54" w:history="1">
        <w:r w:rsidR="004F454E" w:rsidRPr="00762F94">
          <w:rPr>
            <w:rStyle w:val="Lienhypertexte"/>
            <w:rFonts w:cs="Arial"/>
            <w:noProof/>
          </w:rPr>
          <w:t>6.1.6.</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Superficie des étangs piscicoles</w:t>
        </w:r>
        <w:r w:rsidR="004F454E">
          <w:rPr>
            <w:noProof/>
            <w:webHidden/>
          </w:rPr>
          <w:tab/>
        </w:r>
        <w:r>
          <w:rPr>
            <w:noProof/>
            <w:webHidden/>
          </w:rPr>
          <w:fldChar w:fldCharType="begin"/>
        </w:r>
        <w:r w:rsidR="004F454E">
          <w:rPr>
            <w:noProof/>
            <w:webHidden/>
          </w:rPr>
          <w:instrText xml:space="preserve"> PAGEREF _Toc354313854 \h </w:instrText>
        </w:r>
        <w:r>
          <w:rPr>
            <w:noProof/>
            <w:webHidden/>
          </w:rPr>
        </w:r>
        <w:r>
          <w:rPr>
            <w:noProof/>
            <w:webHidden/>
          </w:rPr>
          <w:fldChar w:fldCharType="separate"/>
        </w:r>
        <w:r w:rsidR="004F454E">
          <w:rPr>
            <w:noProof/>
            <w:webHidden/>
          </w:rPr>
          <w:t>41</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55" w:history="1">
        <w:r w:rsidR="004F454E" w:rsidRPr="00762F94">
          <w:rPr>
            <w:rStyle w:val="Lienhypertexte"/>
            <w:rFonts w:cs="Arial"/>
            <w:noProof/>
          </w:rPr>
          <w:t>6.1.7.</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Taux d’exploitation des sols</w:t>
        </w:r>
        <w:r w:rsidR="004F454E">
          <w:rPr>
            <w:noProof/>
            <w:webHidden/>
          </w:rPr>
          <w:tab/>
        </w:r>
        <w:r>
          <w:rPr>
            <w:noProof/>
            <w:webHidden/>
          </w:rPr>
          <w:fldChar w:fldCharType="begin"/>
        </w:r>
        <w:r w:rsidR="004F454E">
          <w:rPr>
            <w:noProof/>
            <w:webHidden/>
          </w:rPr>
          <w:instrText xml:space="preserve"> PAGEREF _Toc354313855 \h </w:instrText>
        </w:r>
        <w:r>
          <w:rPr>
            <w:noProof/>
            <w:webHidden/>
          </w:rPr>
        </w:r>
        <w:r>
          <w:rPr>
            <w:noProof/>
            <w:webHidden/>
          </w:rPr>
          <w:fldChar w:fldCharType="separate"/>
        </w:r>
        <w:r w:rsidR="004F454E">
          <w:rPr>
            <w:noProof/>
            <w:webHidden/>
          </w:rPr>
          <w:t>41</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856" w:history="1">
        <w:r w:rsidR="004F454E" w:rsidRPr="00762F94">
          <w:rPr>
            <w:rStyle w:val="Lienhypertexte"/>
            <w:rFonts w:cs="Arial"/>
            <w:noProof/>
          </w:rPr>
          <w:t>6.2.</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Typologie des exploitations</w:t>
        </w:r>
        <w:r w:rsidR="004F454E">
          <w:rPr>
            <w:noProof/>
            <w:webHidden/>
          </w:rPr>
          <w:tab/>
        </w:r>
        <w:r>
          <w:rPr>
            <w:noProof/>
            <w:webHidden/>
          </w:rPr>
          <w:fldChar w:fldCharType="begin"/>
        </w:r>
        <w:r w:rsidR="004F454E">
          <w:rPr>
            <w:noProof/>
            <w:webHidden/>
          </w:rPr>
          <w:instrText xml:space="preserve"> PAGEREF _Toc354313856 \h </w:instrText>
        </w:r>
        <w:r>
          <w:rPr>
            <w:noProof/>
            <w:webHidden/>
          </w:rPr>
        </w:r>
        <w:r>
          <w:rPr>
            <w:noProof/>
            <w:webHidden/>
          </w:rPr>
          <w:fldChar w:fldCharType="separate"/>
        </w:r>
        <w:r w:rsidR="004F454E">
          <w:rPr>
            <w:noProof/>
            <w:webHidden/>
          </w:rPr>
          <w:t>42</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57" w:history="1">
        <w:r w:rsidR="004F454E" w:rsidRPr="00762F94">
          <w:rPr>
            <w:rStyle w:val="Lienhypertexte"/>
            <w:rFonts w:cs="Arial"/>
            <w:noProof/>
          </w:rPr>
          <w:t>6.2.1.</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Méthodologie</w:t>
        </w:r>
        <w:r w:rsidR="004F454E">
          <w:rPr>
            <w:noProof/>
            <w:webHidden/>
          </w:rPr>
          <w:tab/>
        </w:r>
        <w:r>
          <w:rPr>
            <w:noProof/>
            <w:webHidden/>
          </w:rPr>
          <w:fldChar w:fldCharType="begin"/>
        </w:r>
        <w:r w:rsidR="004F454E">
          <w:rPr>
            <w:noProof/>
            <w:webHidden/>
          </w:rPr>
          <w:instrText xml:space="preserve"> PAGEREF _Toc354313857 \h </w:instrText>
        </w:r>
        <w:r>
          <w:rPr>
            <w:noProof/>
            <w:webHidden/>
          </w:rPr>
        </w:r>
        <w:r>
          <w:rPr>
            <w:noProof/>
            <w:webHidden/>
          </w:rPr>
          <w:fldChar w:fldCharType="separate"/>
        </w:r>
        <w:r w:rsidR="004F454E">
          <w:rPr>
            <w:noProof/>
            <w:webHidden/>
          </w:rPr>
          <w:t>42</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58" w:history="1">
        <w:r w:rsidR="004F454E" w:rsidRPr="00762F94">
          <w:rPr>
            <w:rStyle w:val="Lienhypertexte"/>
            <w:rFonts w:cs="Arial"/>
            <w:noProof/>
          </w:rPr>
          <w:t>6.2.2.</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Résultats et descriptions des classes</w:t>
        </w:r>
        <w:r w:rsidR="004F454E">
          <w:rPr>
            <w:noProof/>
            <w:webHidden/>
          </w:rPr>
          <w:tab/>
        </w:r>
        <w:r>
          <w:rPr>
            <w:noProof/>
            <w:webHidden/>
          </w:rPr>
          <w:fldChar w:fldCharType="begin"/>
        </w:r>
        <w:r w:rsidR="004F454E">
          <w:rPr>
            <w:noProof/>
            <w:webHidden/>
          </w:rPr>
          <w:instrText xml:space="preserve"> PAGEREF _Toc354313858 \h </w:instrText>
        </w:r>
        <w:r>
          <w:rPr>
            <w:noProof/>
            <w:webHidden/>
          </w:rPr>
        </w:r>
        <w:r>
          <w:rPr>
            <w:noProof/>
            <w:webHidden/>
          </w:rPr>
          <w:fldChar w:fldCharType="separate"/>
        </w:r>
        <w:r w:rsidR="004F454E">
          <w:rPr>
            <w:noProof/>
            <w:webHidden/>
          </w:rPr>
          <w:t>43</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59" w:history="1">
        <w:r w:rsidR="004F454E" w:rsidRPr="00762F94">
          <w:rPr>
            <w:rStyle w:val="Lienhypertexte"/>
            <w:rFonts w:cs="Arial"/>
            <w:noProof/>
          </w:rPr>
          <w:t>6.2.3.</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Proportions des quatre classes par province et par région naturelle</w:t>
        </w:r>
        <w:r w:rsidR="004F454E">
          <w:rPr>
            <w:noProof/>
            <w:webHidden/>
          </w:rPr>
          <w:tab/>
        </w:r>
        <w:r>
          <w:rPr>
            <w:noProof/>
            <w:webHidden/>
          </w:rPr>
          <w:fldChar w:fldCharType="begin"/>
        </w:r>
        <w:r w:rsidR="004F454E">
          <w:rPr>
            <w:noProof/>
            <w:webHidden/>
          </w:rPr>
          <w:instrText xml:space="preserve"> PAGEREF _Toc354313859 \h </w:instrText>
        </w:r>
        <w:r>
          <w:rPr>
            <w:noProof/>
            <w:webHidden/>
          </w:rPr>
        </w:r>
        <w:r>
          <w:rPr>
            <w:noProof/>
            <w:webHidden/>
          </w:rPr>
          <w:fldChar w:fldCharType="separate"/>
        </w:r>
        <w:r w:rsidR="004F454E">
          <w:rPr>
            <w:noProof/>
            <w:webHidden/>
          </w:rPr>
          <w:t>45</w:t>
        </w:r>
        <w:r>
          <w:rPr>
            <w:noProof/>
            <w:webHidden/>
          </w:rPr>
          <w:fldChar w:fldCharType="end"/>
        </w:r>
      </w:hyperlink>
    </w:p>
    <w:p w:rsidR="004F454E" w:rsidRDefault="00DF50D8">
      <w:pPr>
        <w:pStyle w:val="TM1"/>
        <w:tabs>
          <w:tab w:val="left" w:pos="440"/>
          <w:tab w:val="right" w:leader="dot" w:pos="9062"/>
        </w:tabs>
        <w:rPr>
          <w:rFonts w:asciiTheme="minorHAnsi" w:eastAsiaTheme="minorEastAsia" w:hAnsiTheme="minorHAnsi" w:cstheme="minorBidi"/>
          <w:b w:val="0"/>
          <w:bCs w:val="0"/>
          <w:caps w:val="0"/>
          <w:noProof/>
          <w:sz w:val="22"/>
          <w:szCs w:val="22"/>
          <w:lang w:val="en-US" w:eastAsia="en-US"/>
        </w:rPr>
      </w:pPr>
      <w:hyperlink w:anchor="_Toc354313860" w:history="1">
        <w:r w:rsidR="004F454E" w:rsidRPr="00762F94">
          <w:rPr>
            <w:rStyle w:val="Lienhypertexte"/>
            <w:rFonts w:cs="Arial"/>
            <w:noProof/>
          </w:rPr>
          <w:t>7.</w:t>
        </w:r>
        <w:r w:rsidR="004F454E">
          <w:rPr>
            <w:rFonts w:asciiTheme="minorHAnsi" w:eastAsiaTheme="minorEastAsia" w:hAnsiTheme="minorHAnsi" w:cstheme="minorBidi"/>
            <w:b w:val="0"/>
            <w:bCs w:val="0"/>
            <w:caps w:val="0"/>
            <w:noProof/>
            <w:sz w:val="22"/>
            <w:szCs w:val="22"/>
            <w:lang w:val="en-US" w:eastAsia="en-US"/>
          </w:rPr>
          <w:tab/>
        </w:r>
        <w:r w:rsidR="004F454E" w:rsidRPr="00762F94">
          <w:rPr>
            <w:rStyle w:val="Lienhypertexte"/>
            <w:rFonts w:cs="Arial"/>
            <w:noProof/>
          </w:rPr>
          <w:t>Caractéristiques des champs et parcelles</w:t>
        </w:r>
        <w:r w:rsidR="004F454E">
          <w:rPr>
            <w:noProof/>
            <w:webHidden/>
          </w:rPr>
          <w:tab/>
        </w:r>
        <w:r>
          <w:rPr>
            <w:noProof/>
            <w:webHidden/>
          </w:rPr>
          <w:fldChar w:fldCharType="begin"/>
        </w:r>
        <w:r w:rsidR="004F454E">
          <w:rPr>
            <w:noProof/>
            <w:webHidden/>
          </w:rPr>
          <w:instrText xml:space="preserve"> PAGEREF _Toc354313860 \h </w:instrText>
        </w:r>
        <w:r>
          <w:rPr>
            <w:noProof/>
            <w:webHidden/>
          </w:rPr>
        </w:r>
        <w:r>
          <w:rPr>
            <w:noProof/>
            <w:webHidden/>
          </w:rPr>
          <w:fldChar w:fldCharType="separate"/>
        </w:r>
        <w:r w:rsidR="004F454E">
          <w:rPr>
            <w:noProof/>
            <w:webHidden/>
          </w:rPr>
          <w:t>47</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861" w:history="1">
        <w:r w:rsidR="004F454E" w:rsidRPr="00762F94">
          <w:rPr>
            <w:rStyle w:val="Lienhypertexte"/>
            <w:rFonts w:cs="Arial"/>
            <w:noProof/>
          </w:rPr>
          <w:t>7.1.</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Caractéristiques des champs et des parcelles exploités</w:t>
        </w:r>
        <w:r w:rsidR="004F454E">
          <w:rPr>
            <w:noProof/>
            <w:webHidden/>
          </w:rPr>
          <w:tab/>
        </w:r>
        <w:r>
          <w:rPr>
            <w:noProof/>
            <w:webHidden/>
          </w:rPr>
          <w:fldChar w:fldCharType="begin"/>
        </w:r>
        <w:r w:rsidR="004F454E">
          <w:rPr>
            <w:noProof/>
            <w:webHidden/>
          </w:rPr>
          <w:instrText xml:space="preserve"> PAGEREF _Toc354313861 \h </w:instrText>
        </w:r>
        <w:r>
          <w:rPr>
            <w:noProof/>
            <w:webHidden/>
          </w:rPr>
        </w:r>
        <w:r>
          <w:rPr>
            <w:noProof/>
            <w:webHidden/>
          </w:rPr>
          <w:fldChar w:fldCharType="separate"/>
        </w:r>
        <w:r w:rsidR="004F454E">
          <w:rPr>
            <w:noProof/>
            <w:webHidden/>
          </w:rPr>
          <w:t>47</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862" w:history="1">
        <w:r w:rsidR="004F454E" w:rsidRPr="00762F94">
          <w:rPr>
            <w:rStyle w:val="Lienhypertexte"/>
            <w:rFonts w:cs="Arial"/>
            <w:noProof/>
          </w:rPr>
          <w:t>7.2.</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système d’exploitation des parcelles</w:t>
        </w:r>
        <w:r w:rsidR="004F454E">
          <w:rPr>
            <w:noProof/>
            <w:webHidden/>
          </w:rPr>
          <w:tab/>
        </w:r>
        <w:r>
          <w:rPr>
            <w:noProof/>
            <w:webHidden/>
          </w:rPr>
          <w:fldChar w:fldCharType="begin"/>
        </w:r>
        <w:r w:rsidR="004F454E">
          <w:rPr>
            <w:noProof/>
            <w:webHidden/>
          </w:rPr>
          <w:instrText xml:space="preserve"> PAGEREF _Toc354313862 \h </w:instrText>
        </w:r>
        <w:r>
          <w:rPr>
            <w:noProof/>
            <w:webHidden/>
          </w:rPr>
        </w:r>
        <w:r>
          <w:rPr>
            <w:noProof/>
            <w:webHidden/>
          </w:rPr>
          <w:fldChar w:fldCharType="separate"/>
        </w:r>
        <w:r w:rsidR="004F454E">
          <w:rPr>
            <w:noProof/>
            <w:webHidden/>
          </w:rPr>
          <w:t>50</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63" w:history="1">
        <w:r w:rsidR="004F454E" w:rsidRPr="00762F94">
          <w:rPr>
            <w:rStyle w:val="Lienhypertexte"/>
            <w:rFonts w:cs="Arial"/>
            <w:noProof/>
          </w:rPr>
          <w:t>7.2.1.</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Mode d’acquisition</w:t>
        </w:r>
        <w:r w:rsidR="004F454E">
          <w:rPr>
            <w:noProof/>
            <w:webHidden/>
          </w:rPr>
          <w:tab/>
        </w:r>
        <w:r>
          <w:rPr>
            <w:noProof/>
            <w:webHidden/>
          </w:rPr>
          <w:fldChar w:fldCharType="begin"/>
        </w:r>
        <w:r w:rsidR="004F454E">
          <w:rPr>
            <w:noProof/>
            <w:webHidden/>
          </w:rPr>
          <w:instrText xml:space="preserve"> PAGEREF _Toc354313863 \h </w:instrText>
        </w:r>
        <w:r>
          <w:rPr>
            <w:noProof/>
            <w:webHidden/>
          </w:rPr>
        </w:r>
        <w:r>
          <w:rPr>
            <w:noProof/>
            <w:webHidden/>
          </w:rPr>
          <w:fldChar w:fldCharType="separate"/>
        </w:r>
        <w:r w:rsidR="004F454E">
          <w:rPr>
            <w:noProof/>
            <w:webHidden/>
          </w:rPr>
          <w:t>50</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64" w:history="1">
        <w:r w:rsidR="004F454E" w:rsidRPr="00762F94">
          <w:rPr>
            <w:rStyle w:val="Lienhypertexte"/>
            <w:rFonts w:cs="Arial"/>
            <w:noProof/>
          </w:rPr>
          <w:t>7.2.2.</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Gestion des parcelles interne aux ménages</w:t>
        </w:r>
        <w:r w:rsidR="004F454E">
          <w:rPr>
            <w:noProof/>
            <w:webHidden/>
          </w:rPr>
          <w:tab/>
        </w:r>
        <w:r>
          <w:rPr>
            <w:noProof/>
            <w:webHidden/>
          </w:rPr>
          <w:fldChar w:fldCharType="begin"/>
        </w:r>
        <w:r w:rsidR="004F454E">
          <w:rPr>
            <w:noProof/>
            <w:webHidden/>
          </w:rPr>
          <w:instrText xml:space="preserve"> PAGEREF _Toc354313864 \h </w:instrText>
        </w:r>
        <w:r>
          <w:rPr>
            <w:noProof/>
            <w:webHidden/>
          </w:rPr>
        </w:r>
        <w:r>
          <w:rPr>
            <w:noProof/>
            <w:webHidden/>
          </w:rPr>
          <w:fldChar w:fldCharType="separate"/>
        </w:r>
        <w:r w:rsidR="004F454E">
          <w:rPr>
            <w:noProof/>
            <w:webHidden/>
          </w:rPr>
          <w:t>52</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65" w:history="1">
        <w:r w:rsidR="004F454E" w:rsidRPr="00762F94">
          <w:rPr>
            <w:rStyle w:val="Lienhypertexte"/>
            <w:rFonts w:cs="Arial"/>
            <w:noProof/>
          </w:rPr>
          <w:t>7.2.3.</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Dispositifs antiérosifs</w:t>
        </w:r>
        <w:r w:rsidR="004F454E">
          <w:rPr>
            <w:noProof/>
            <w:webHidden/>
          </w:rPr>
          <w:tab/>
        </w:r>
        <w:r>
          <w:rPr>
            <w:noProof/>
            <w:webHidden/>
          </w:rPr>
          <w:fldChar w:fldCharType="begin"/>
        </w:r>
        <w:r w:rsidR="004F454E">
          <w:rPr>
            <w:noProof/>
            <w:webHidden/>
          </w:rPr>
          <w:instrText xml:space="preserve"> PAGEREF _Toc354313865 \h </w:instrText>
        </w:r>
        <w:r>
          <w:rPr>
            <w:noProof/>
            <w:webHidden/>
          </w:rPr>
        </w:r>
        <w:r>
          <w:rPr>
            <w:noProof/>
            <w:webHidden/>
          </w:rPr>
          <w:fldChar w:fldCharType="separate"/>
        </w:r>
        <w:r w:rsidR="004F454E">
          <w:rPr>
            <w:noProof/>
            <w:webHidden/>
          </w:rPr>
          <w:t>52</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866" w:history="1">
        <w:r w:rsidR="004F454E" w:rsidRPr="00762F94">
          <w:rPr>
            <w:rStyle w:val="Lienhypertexte"/>
            <w:rFonts w:cs="Arial"/>
            <w:noProof/>
          </w:rPr>
          <w:t>7.3.</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Type de cultures pratiquées au cours des trois saisons</w:t>
        </w:r>
        <w:r w:rsidR="004F454E">
          <w:rPr>
            <w:noProof/>
            <w:webHidden/>
          </w:rPr>
          <w:tab/>
        </w:r>
        <w:r>
          <w:rPr>
            <w:noProof/>
            <w:webHidden/>
          </w:rPr>
          <w:fldChar w:fldCharType="begin"/>
        </w:r>
        <w:r w:rsidR="004F454E">
          <w:rPr>
            <w:noProof/>
            <w:webHidden/>
          </w:rPr>
          <w:instrText xml:space="preserve"> PAGEREF _Toc354313866 \h </w:instrText>
        </w:r>
        <w:r>
          <w:rPr>
            <w:noProof/>
            <w:webHidden/>
          </w:rPr>
        </w:r>
        <w:r>
          <w:rPr>
            <w:noProof/>
            <w:webHidden/>
          </w:rPr>
          <w:fldChar w:fldCharType="separate"/>
        </w:r>
        <w:r w:rsidR="004F454E">
          <w:rPr>
            <w:noProof/>
            <w:webHidden/>
          </w:rPr>
          <w:t>54</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67" w:history="1">
        <w:r w:rsidR="004F454E" w:rsidRPr="00762F94">
          <w:rPr>
            <w:rStyle w:val="Lienhypertexte"/>
            <w:rFonts w:cs="Arial"/>
            <w:noProof/>
          </w:rPr>
          <w:t>7.3.1.</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Structure de la superficie cultivée par saison et par relief</w:t>
        </w:r>
        <w:r w:rsidR="004F454E">
          <w:rPr>
            <w:noProof/>
            <w:webHidden/>
          </w:rPr>
          <w:tab/>
        </w:r>
        <w:r>
          <w:rPr>
            <w:noProof/>
            <w:webHidden/>
          </w:rPr>
          <w:fldChar w:fldCharType="begin"/>
        </w:r>
        <w:r w:rsidR="004F454E">
          <w:rPr>
            <w:noProof/>
            <w:webHidden/>
          </w:rPr>
          <w:instrText xml:space="preserve"> PAGEREF _Toc354313867 \h </w:instrText>
        </w:r>
        <w:r>
          <w:rPr>
            <w:noProof/>
            <w:webHidden/>
          </w:rPr>
        </w:r>
        <w:r>
          <w:rPr>
            <w:noProof/>
            <w:webHidden/>
          </w:rPr>
          <w:fldChar w:fldCharType="separate"/>
        </w:r>
        <w:r w:rsidR="004F454E">
          <w:rPr>
            <w:noProof/>
            <w:webHidden/>
          </w:rPr>
          <w:t>54</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68" w:history="1">
        <w:r w:rsidR="004F454E" w:rsidRPr="00762F94">
          <w:rPr>
            <w:rStyle w:val="Lienhypertexte"/>
            <w:rFonts w:cs="Arial"/>
            <w:noProof/>
          </w:rPr>
          <w:t>7.3.2.</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Type d’association</w:t>
        </w:r>
        <w:r w:rsidR="004F454E">
          <w:rPr>
            <w:noProof/>
            <w:webHidden/>
          </w:rPr>
          <w:tab/>
        </w:r>
        <w:r>
          <w:rPr>
            <w:noProof/>
            <w:webHidden/>
          </w:rPr>
          <w:fldChar w:fldCharType="begin"/>
        </w:r>
        <w:r w:rsidR="004F454E">
          <w:rPr>
            <w:noProof/>
            <w:webHidden/>
          </w:rPr>
          <w:instrText xml:space="preserve"> PAGEREF _Toc354313868 \h </w:instrText>
        </w:r>
        <w:r>
          <w:rPr>
            <w:noProof/>
            <w:webHidden/>
          </w:rPr>
        </w:r>
        <w:r>
          <w:rPr>
            <w:noProof/>
            <w:webHidden/>
          </w:rPr>
          <w:fldChar w:fldCharType="separate"/>
        </w:r>
        <w:r w:rsidR="004F454E">
          <w:rPr>
            <w:noProof/>
            <w:webHidden/>
          </w:rPr>
          <w:t>57</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69" w:history="1">
        <w:r w:rsidR="004F454E" w:rsidRPr="00762F94">
          <w:rPr>
            <w:rStyle w:val="Lienhypertexte"/>
            <w:rFonts w:cs="Arial"/>
            <w:noProof/>
          </w:rPr>
          <w:t>7.3.3.</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Taux de pratique des cultures</w:t>
        </w:r>
        <w:r w:rsidR="004F454E">
          <w:rPr>
            <w:noProof/>
            <w:webHidden/>
          </w:rPr>
          <w:tab/>
        </w:r>
        <w:r>
          <w:rPr>
            <w:noProof/>
            <w:webHidden/>
          </w:rPr>
          <w:fldChar w:fldCharType="begin"/>
        </w:r>
        <w:r w:rsidR="004F454E">
          <w:rPr>
            <w:noProof/>
            <w:webHidden/>
          </w:rPr>
          <w:instrText xml:space="preserve"> PAGEREF _Toc354313869 \h </w:instrText>
        </w:r>
        <w:r>
          <w:rPr>
            <w:noProof/>
            <w:webHidden/>
          </w:rPr>
        </w:r>
        <w:r>
          <w:rPr>
            <w:noProof/>
            <w:webHidden/>
          </w:rPr>
          <w:fldChar w:fldCharType="separate"/>
        </w:r>
        <w:r w:rsidR="004F454E">
          <w:rPr>
            <w:noProof/>
            <w:webHidden/>
          </w:rPr>
          <w:t>60</w:t>
        </w:r>
        <w:r>
          <w:rPr>
            <w:noProof/>
            <w:webHidden/>
          </w:rPr>
          <w:fldChar w:fldCharType="end"/>
        </w:r>
      </w:hyperlink>
    </w:p>
    <w:p w:rsidR="004F454E" w:rsidRDefault="00DF50D8">
      <w:pPr>
        <w:pStyle w:val="TM1"/>
        <w:tabs>
          <w:tab w:val="left" w:pos="440"/>
          <w:tab w:val="right" w:leader="dot" w:pos="9062"/>
        </w:tabs>
        <w:rPr>
          <w:rFonts w:asciiTheme="minorHAnsi" w:eastAsiaTheme="minorEastAsia" w:hAnsiTheme="minorHAnsi" w:cstheme="minorBidi"/>
          <w:b w:val="0"/>
          <w:bCs w:val="0"/>
          <w:caps w:val="0"/>
          <w:noProof/>
          <w:sz w:val="22"/>
          <w:szCs w:val="22"/>
          <w:lang w:val="en-US" w:eastAsia="en-US"/>
        </w:rPr>
      </w:pPr>
      <w:hyperlink w:anchor="_Toc354313870" w:history="1">
        <w:r w:rsidR="004F454E" w:rsidRPr="00762F94">
          <w:rPr>
            <w:rStyle w:val="Lienhypertexte"/>
            <w:rFonts w:cs="Arial"/>
            <w:noProof/>
          </w:rPr>
          <w:t>8.</w:t>
        </w:r>
        <w:r w:rsidR="004F454E">
          <w:rPr>
            <w:rFonts w:asciiTheme="minorHAnsi" w:eastAsiaTheme="minorEastAsia" w:hAnsiTheme="minorHAnsi" w:cstheme="minorBidi"/>
            <w:b w:val="0"/>
            <w:bCs w:val="0"/>
            <w:caps w:val="0"/>
            <w:noProof/>
            <w:sz w:val="22"/>
            <w:szCs w:val="22"/>
            <w:lang w:val="en-US" w:eastAsia="en-US"/>
          </w:rPr>
          <w:tab/>
        </w:r>
        <w:r w:rsidR="004F454E" w:rsidRPr="00762F94">
          <w:rPr>
            <w:rStyle w:val="Lienhypertexte"/>
            <w:rFonts w:cs="Arial"/>
            <w:noProof/>
          </w:rPr>
          <w:t>Caractéristiques des différentes filières</w:t>
        </w:r>
        <w:r w:rsidR="004F454E">
          <w:rPr>
            <w:noProof/>
            <w:webHidden/>
          </w:rPr>
          <w:tab/>
        </w:r>
        <w:r>
          <w:rPr>
            <w:noProof/>
            <w:webHidden/>
          </w:rPr>
          <w:fldChar w:fldCharType="begin"/>
        </w:r>
        <w:r w:rsidR="004F454E">
          <w:rPr>
            <w:noProof/>
            <w:webHidden/>
          </w:rPr>
          <w:instrText xml:space="preserve"> PAGEREF _Toc354313870 \h </w:instrText>
        </w:r>
        <w:r>
          <w:rPr>
            <w:noProof/>
            <w:webHidden/>
          </w:rPr>
        </w:r>
        <w:r>
          <w:rPr>
            <w:noProof/>
            <w:webHidden/>
          </w:rPr>
          <w:fldChar w:fldCharType="separate"/>
        </w:r>
        <w:r w:rsidR="004F454E">
          <w:rPr>
            <w:noProof/>
            <w:webHidden/>
          </w:rPr>
          <w:t>64</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871" w:history="1">
        <w:r w:rsidR="004F454E" w:rsidRPr="00762F94">
          <w:rPr>
            <w:rStyle w:val="Lienhypertexte"/>
            <w:rFonts w:cs="Arial"/>
            <w:noProof/>
          </w:rPr>
          <w:t>8.1.</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Superficie totale des cultures vivrières par saison</w:t>
        </w:r>
        <w:r w:rsidR="004F454E">
          <w:rPr>
            <w:noProof/>
            <w:webHidden/>
          </w:rPr>
          <w:tab/>
        </w:r>
        <w:r>
          <w:rPr>
            <w:noProof/>
            <w:webHidden/>
          </w:rPr>
          <w:fldChar w:fldCharType="begin"/>
        </w:r>
        <w:r w:rsidR="004F454E">
          <w:rPr>
            <w:noProof/>
            <w:webHidden/>
          </w:rPr>
          <w:instrText xml:space="preserve"> PAGEREF _Toc354313871 \h </w:instrText>
        </w:r>
        <w:r>
          <w:rPr>
            <w:noProof/>
            <w:webHidden/>
          </w:rPr>
        </w:r>
        <w:r>
          <w:rPr>
            <w:noProof/>
            <w:webHidden/>
          </w:rPr>
          <w:fldChar w:fldCharType="separate"/>
        </w:r>
        <w:r w:rsidR="004F454E">
          <w:rPr>
            <w:noProof/>
            <w:webHidden/>
          </w:rPr>
          <w:t>64</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72" w:history="1">
        <w:r w:rsidR="004F454E" w:rsidRPr="00762F94">
          <w:rPr>
            <w:rStyle w:val="Lienhypertexte"/>
            <w:rFonts w:cs="Arial"/>
            <w:noProof/>
          </w:rPr>
          <w:t>8.1.1.</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lang w:val="fr-BE"/>
          </w:rPr>
          <w:t>Superficie par région naturelle</w:t>
        </w:r>
        <w:r w:rsidR="004F454E">
          <w:rPr>
            <w:noProof/>
            <w:webHidden/>
          </w:rPr>
          <w:tab/>
        </w:r>
        <w:r>
          <w:rPr>
            <w:noProof/>
            <w:webHidden/>
          </w:rPr>
          <w:fldChar w:fldCharType="begin"/>
        </w:r>
        <w:r w:rsidR="004F454E">
          <w:rPr>
            <w:noProof/>
            <w:webHidden/>
          </w:rPr>
          <w:instrText xml:space="preserve"> PAGEREF _Toc354313872 \h </w:instrText>
        </w:r>
        <w:r>
          <w:rPr>
            <w:noProof/>
            <w:webHidden/>
          </w:rPr>
        </w:r>
        <w:r>
          <w:rPr>
            <w:noProof/>
            <w:webHidden/>
          </w:rPr>
          <w:fldChar w:fldCharType="separate"/>
        </w:r>
        <w:r w:rsidR="004F454E">
          <w:rPr>
            <w:noProof/>
            <w:webHidden/>
          </w:rPr>
          <w:t>64</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73" w:history="1">
        <w:r w:rsidR="004F454E" w:rsidRPr="00762F94">
          <w:rPr>
            <w:rStyle w:val="Lienhypertexte"/>
            <w:rFonts w:cs="Arial"/>
            <w:noProof/>
            <w:lang w:val="fr-BE"/>
          </w:rPr>
          <w:t>8.1.2.</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lang w:val="fr-BE"/>
          </w:rPr>
          <w:t>Superficie par province</w:t>
        </w:r>
        <w:r w:rsidR="004F454E">
          <w:rPr>
            <w:noProof/>
            <w:webHidden/>
          </w:rPr>
          <w:tab/>
        </w:r>
        <w:r>
          <w:rPr>
            <w:noProof/>
            <w:webHidden/>
          </w:rPr>
          <w:fldChar w:fldCharType="begin"/>
        </w:r>
        <w:r w:rsidR="004F454E">
          <w:rPr>
            <w:noProof/>
            <w:webHidden/>
          </w:rPr>
          <w:instrText xml:space="preserve"> PAGEREF _Toc354313873 \h </w:instrText>
        </w:r>
        <w:r>
          <w:rPr>
            <w:noProof/>
            <w:webHidden/>
          </w:rPr>
        </w:r>
        <w:r>
          <w:rPr>
            <w:noProof/>
            <w:webHidden/>
          </w:rPr>
          <w:fldChar w:fldCharType="separate"/>
        </w:r>
        <w:r w:rsidR="004F454E">
          <w:rPr>
            <w:noProof/>
            <w:webHidden/>
          </w:rPr>
          <w:t>65</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874" w:history="1">
        <w:r w:rsidR="004F454E" w:rsidRPr="00762F94">
          <w:rPr>
            <w:rStyle w:val="Lienhypertexte"/>
            <w:rFonts w:cs="Arial"/>
            <w:noProof/>
          </w:rPr>
          <w:t>8.2.</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Production totale par groupe de culture</w:t>
        </w:r>
        <w:r w:rsidR="004F454E">
          <w:rPr>
            <w:noProof/>
            <w:webHidden/>
          </w:rPr>
          <w:tab/>
        </w:r>
        <w:r>
          <w:rPr>
            <w:noProof/>
            <w:webHidden/>
          </w:rPr>
          <w:fldChar w:fldCharType="begin"/>
        </w:r>
        <w:r w:rsidR="004F454E">
          <w:rPr>
            <w:noProof/>
            <w:webHidden/>
          </w:rPr>
          <w:instrText xml:space="preserve"> PAGEREF _Toc354313874 \h </w:instrText>
        </w:r>
        <w:r>
          <w:rPr>
            <w:noProof/>
            <w:webHidden/>
          </w:rPr>
        </w:r>
        <w:r>
          <w:rPr>
            <w:noProof/>
            <w:webHidden/>
          </w:rPr>
          <w:fldChar w:fldCharType="separate"/>
        </w:r>
        <w:r w:rsidR="004F454E">
          <w:rPr>
            <w:noProof/>
            <w:webHidden/>
          </w:rPr>
          <w:t>65</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875" w:history="1">
        <w:r w:rsidR="004F454E" w:rsidRPr="00762F94">
          <w:rPr>
            <w:rStyle w:val="Lienhypertexte"/>
            <w:rFonts w:cs="Arial"/>
            <w:noProof/>
          </w:rPr>
          <w:t>8.3.</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Céréales</w:t>
        </w:r>
        <w:r w:rsidR="004F454E">
          <w:rPr>
            <w:noProof/>
            <w:webHidden/>
          </w:rPr>
          <w:tab/>
        </w:r>
        <w:r>
          <w:rPr>
            <w:noProof/>
            <w:webHidden/>
          </w:rPr>
          <w:fldChar w:fldCharType="begin"/>
        </w:r>
        <w:r w:rsidR="004F454E">
          <w:rPr>
            <w:noProof/>
            <w:webHidden/>
          </w:rPr>
          <w:instrText xml:space="preserve"> PAGEREF _Toc354313875 \h </w:instrText>
        </w:r>
        <w:r>
          <w:rPr>
            <w:noProof/>
            <w:webHidden/>
          </w:rPr>
        </w:r>
        <w:r>
          <w:rPr>
            <w:noProof/>
            <w:webHidden/>
          </w:rPr>
          <w:fldChar w:fldCharType="separate"/>
        </w:r>
        <w:r w:rsidR="004F454E">
          <w:rPr>
            <w:noProof/>
            <w:webHidden/>
          </w:rPr>
          <w:t>68</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76" w:history="1">
        <w:r w:rsidR="004F454E" w:rsidRPr="00762F94">
          <w:rPr>
            <w:rStyle w:val="Lienhypertexte"/>
            <w:rFonts w:cs="Arial"/>
            <w:noProof/>
          </w:rPr>
          <w:t>8.3.1.</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Superficies</w:t>
        </w:r>
        <w:r w:rsidR="004F454E">
          <w:rPr>
            <w:noProof/>
            <w:webHidden/>
          </w:rPr>
          <w:tab/>
        </w:r>
        <w:r>
          <w:rPr>
            <w:noProof/>
            <w:webHidden/>
          </w:rPr>
          <w:fldChar w:fldCharType="begin"/>
        </w:r>
        <w:r w:rsidR="004F454E">
          <w:rPr>
            <w:noProof/>
            <w:webHidden/>
          </w:rPr>
          <w:instrText xml:space="preserve"> PAGEREF _Toc354313876 \h </w:instrText>
        </w:r>
        <w:r>
          <w:rPr>
            <w:noProof/>
            <w:webHidden/>
          </w:rPr>
        </w:r>
        <w:r>
          <w:rPr>
            <w:noProof/>
            <w:webHidden/>
          </w:rPr>
          <w:fldChar w:fldCharType="separate"/>
        </w:r>
        <w:r w:rsidR="004F454E">
          <w:rPr>
            <w:noProof/>
            <w:webHidden/>
          </w:rPr>
          <w:t>68</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77" w:history="1">
        <w:r w:rsidR="004F454E" w:rsidRPr="00762F94">
          <w:rPr>
            <w:rStyle w:val="Lienhypertexte"/>
            <w:rFonts w:cs="Arial"/>
            <w:noProof/>
          </w:rPr>
          <w:t>8.3.2.</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Rendements</w:t>
        </w:r>
        <w:r w:rsidR="004F454E">
          <w:rPr>
            <w:noProof/>
            <w:webHidden/>
          </w:rPr>
          <w:tab/>
        </w:r>
        <w:r>
          <w:rPr>
            <w:noProof/>
            <w:webHidden/>
          </w:rPr>
          <w:fldChar w:fldCharType="begin"/>
        </w:r>
        <w:r w:rsidR="004F454E">
          <w:rPr>
            <w:noProof/>
            <w:webHidden/>
          </w:rPr>
          <w:instrText xml:space="preserve"> PAGEREF _Toc354313877 \h </w:instrText>
        </w:r>
        <w:r>
          <w:rPr>
            <w:noProof/>
            <w:webHidden/>
          </w:rPr>
        </w:r>
        <w:r>
          <w:rPr>
            <w:noProof/>
            <w:webHidden/>
          </w:rPr>
          <w:fldChar w:fldCharType="separate"/>
        </w:r>
        <w:r w:rsidR="004F454E">
          <w:rPr>
            <w:noProof/>
            <w:webHidden/>
          </w:rPr>
          <w:t>75</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78" w:history="1">
        <w:r w:rsidR="004F454E" w:rsidRPr="00762F94">
          <w:rPr>
            <w:rStyle w:val="Lienhypertexte"/>
            <w:rFonts w:cs="Arial"/>
            <w:noProof/>
          </w:rPr>
          <w:t>8.3.3.</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Productions des céréales</w:t>
        </w:r>
        <w:r w:rsidR="004F454E">
          <w:rPr>
            <w:noProof/>
            <w:webHidden/>
          </w:rPr>
          <w:tab/>
        </w:r>
        <w:r>
          <w:rPr>
            <w:noProof/>
            <w:webHidden/>
          </w:rPr>
          <w:fldChar w:fldCharType="begin"/>
        </w:r>
        <w:r w:rsidR="004F454E">
          <w:rPr>
            <w:noProof/>
            <w:webHidden/>
          </w:rPr>
          <w:instrText xml:space="preserve"> PAGEREF _Toc354313878 \h </w:instrText>
        </w:r>
        <w:r>
          <w:rPr>
            <w:noProof/>
            <w:webHidden/>
          </w:rPr>
        </w:r>
        <w:r>
          <w:rPr>
            <w:noProof/>
            <w:webHidden/>
          </w:rPr>
          <w:fldChar w:fldCharType="separate"/>
        </w:r>
        <w:r w:rsidR="004F454E">
          <w:rPr>
            <w:noProof/>
            <w:webHidden/>
          </w:rPr>
          <w:t>81</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879" w:history="1">
        <w:r w:rsidR="004F454E" w:rsidRPr="00762F94">
          <w:rPr>
            <w:rStyle w:val="Lienhypertexte"/>
            <w:rFonts w:cs="Arial"/>
            <w:noProof/>
          </w:rPr>
          <w:t>8.4.</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Légumineuses</w:t>
        </w:r>
        <w:r w:rsidR="004F454E">
          <w:rPr>
            <w:noProof/>
            <w:webHidden/>
          </w:rPr>
          <w:tab/>
        </w:r>
        <w:r>
          <w:rPr>
            <w:noProof/>
            <w:webHidden/>
          </w:rPr>
          <w:fldChar w:fldCharType="begin"/>
        </w:r>
        <w:r w:rsidR="004F454E">
          <w:rPr>
            <w:noProof/>
            <w:webHidden/>
          </w:rPr>
          <w:instrText xml:space="preserve"> PAGEREF _Toc354313879 \h </w:instrText>
        </w:r>
        <w:r>
          <w:rPr>
            <w:noProof/>
            <w:webHidden/>
          </w:rPr>
        </w:r>
        <w:r>
          <w:rPr>
            <w:noProof/>
            <w:webHidden/>
          </w:rPr>
          <w:fldChar w:fldCharType="separate"/>
        </w:r>
        <w:r w:rsidR="004F454E">
          <w:rPr>
            <w:noProof/>
            <w:webHidden/>
          </w:rPr>
          <w:t>89</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80" w:history="1">
        <w:r w:rsidR="004F454E" w:rsidRPr="00762F94">
          <w:rPr>
            <w:rStyle w:val="Lienhypertexte"/>
            <w:rFonts w:cs="Arial"/>
            <w:noProof/>
          </w:rPr>
          <w:t>8.4.1.</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Superficies</w:t>
        </w:r>
        <w:r w:rsidR="004F454E">
          <w:rPr>
            <w:noProof/>
            <w:webHidden/>
          </w:rPr>
          <w:tab/>
        </w:r>
        <w:r>
          <w:rPr>
            <w:noProof/>
            <w:webHidden/>
          </w:rPr>
          <w:fldChar w:fldCharType="begin"/>
        </w:r>
        <w:r w:rsidR="004F454E">
          <w:rPr>
            <w:noProof/>
            <w:webHidden/>
          </w:rPr>
          <w:instrText xml:space="preserve"> PAGEREF _Toc354313880 \h </w:instrText>
        </w:r>
        <w:r>
          <w:rPr>
            <w:noProof/>
            <w:webHidden/>
          </w:rPr>
        </w:r>
        <w:r>
          <w:rPr>
            <w:noProof/>
            <w:webHidden/>
          </w:rPr>
          <w:fldChar w:fldCharType="separate"/>
        </w:r>
        <w:r w:rsidR="004F454E">
          <w:rPr>
            <w:noProof/>
            <w:webHidden/>
          </w:rPr>
          <w:t>89</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81" w:history="1">
        <w:r w:rsidR="004F454E" w:rsidRPr="00762F94">
          <w:rPr>
            <w:rStyle w:val="Lienhypertexte"/>
            <w:rFonts w:cs="Arial"/>
            <w:noProof/>
          </w:rPr>
          <w:t>8.4.2.</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Rendements</w:t>
        </w:r>
        <w:r w:rsidR="004F454E">
          <w:rPr>
            <w:noProof/>
            <w:webHidden/>
          </w:rPr>
          <w:tab/>
        </w:r>
        <w:r>
          <w:rPr>
            <w:noProof/>
            <w:webHidden/>
          </w:rPr>
          <w:fldChar w:fldCharType="begin"/>
        </w:r>
        <w:r w:rsidR="004F454E">
          <w:rPr>
            <w:noProof/>
            <w:webHidden/>
          </w:rPr>
          <w:instrText xml:space="preserve"> PAGEREF _Toc354313881 \h </w:instrText>
        </w:r>
        <w:r>
          <w:rPr>
            <w:noProof/>
            <w:webHidden/>
          </w:rPr>
        </w:r>
        <w:r>
          <w:rPr>
            <w:noProof/>
            <w:webHidden/>
          </w:rPr>
          <w:fldChar w:fldCharType="separate"/>
        </w:r>
        <w:r w:rsidR="004F454E">
          <w:rPr>
            <w:noProof/>
            <w:webHidden/>
          </w:rPr>
          <w:t>98</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82" w:history="1">
        <w:r w:rsidR="004F454E" w:rsidRPr="00762F94">
          <w:rPr>
            <w:rStyle w:val="Lienhypertexte"/>
            <w:rFonts w:cs="Arial"/>
            <w:noProof/>
          </w:rPr>
          <w:t>8.4.3.</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Productions</w:t>
        </w:r>
        <w:r w:rsidR="004F454E">
          <w:rPr>
            <w:noProof/>
            <w:webHidden/>
          </w:rPr>
          <w:tab/>
        </w:r>
        <w:r>
          <w:rPr>
            <w:noProof/>
            <w:webHidden/>
          </w:rPr>
          <w:fldChar w:fldCharType="begin"/>
        </w:r>
        <w:r w:rsidR="004F454E">
          <w:rPr>
            <w:noProof/>
            <w:webHidden/>
          </w:rPr>
          <w:instrText xml:space="preserve"> PAGEREF _Toc354313882 \h </w:instrText>
        </w:r>
        <w:r>
          <w:rPr>
            <w:noProof/>
            <w:webHidden/>
          </w:rPr>
        </w:r>
        <w:r>
          <w:rPr>
            <w:noProof/>
            <w:webHidden/>
          </w:rPr>
          <w:fldChar w:fldCharType="separate"/>
        </w:r>
        <w:r w:rsidR="004F454E">
          <w:rPr>
            <w:noProof/>
            <w:webHidden/>
          </w:rPr>
          <w:t>105</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883" w:history="1">
        <w:r w:rsidR="004F454E" w:rsidRPr="00762F94">
          <w:rPr>
            <w:rStyle w:val="Lienhypertexte"/>
            <w:rFonts w:cs="Arial"/>
            <w:noProof/>
          </w:rPr>
          <w:t>8.5.</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Banane</w:t>
        </w:r>
        <w:r w:rsidR="004F454E">
          <w:rPr>
            <w:noProof/>
            <w:webHidden/>
          </w:rPr>
          <w:tab/>
        </w:r>
        <w:r>
          <w:rPr>
            <w:noProof/>
            <w:webHidden/>
          </w:rPr>
          <w:fldChar w:fldCharType="begin"/>
        </w:r>
        <w:r w:rsidR="004F454E">
          <w:rPr>
            <w:noProof/>
            <w:webHidden/>
          </w:rPr>
          <w:instrText xml:space="preserve"> PAGEREF _Toc354313883 \h </w:instrText>
        </w:r>
        <w:r>
          <w:rPr>
            <w:noProof/>
            <w:webHidden/>
          </w:rPr>
        </w:r>
        <w:r>
          <w:rPr>
            <w:noProof/>
            <w:webHidden/>
          </w:rPr>
          <w:fldChar w:fldCharType="separate"/>
        </w:r>
        <w:r w:rsidR="004F454E">
          <w:rPr>
            <w:noProof/>
            <w:webHidden/>
          </w:rPr>
          <w:t>115</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84" w:history="1">
        <w:r w:rsidR="004F454E" w:rsidRPr="00762F94">
          <w:rPr>
            <w:rStyle w:val="Lienhypertexte"/>
            <w:rFonts w:cs="Arial"/>
            <w:noProof/>
          </w:rPr>
          <w:t>8.5.1.</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Superficies</w:t>
        </w:r>
        <w:r w:rsidR="004F454E">
          <w:rPr>
            <w:noProof/>
            <w:webHidden/>
          </w:rPr>
          <w:tab/>
        </w:r>
        <w:r>
          <w:rPr>
            <w:noProof/>
            <w:webHidden/>
          </w:rPr>
          <w:fldChar w:fldCharType="begin"/>
        </w:r>
        <w:r w:rsidR="004F454E">
          <w:rPr>
            <w:noProof/>
            <w:webHidden/>
          </w:rPr>
          <w:instrText xml:space="preserve"> PAGEREF _Toc354313884 \h </w:instrText>
        </w:r>
        <w:r>
          <w:rPr>
            <w:noProof/>
            <w:webHidden/>
          </w:rPr>
        </w:r>
        <w:r>
          <w:rPr>
            <w:noProof/>
            <w:webHidden/>
          </w:rPr>
          <w:fldChar w:fldCharType="separate"/>
        </w:r>
        <w:r w:rsidR="004F454E">
          <w:rPr>
            <w:noProof/>
            <w:webHidden/>
          </w:rPr>
          <w:t>115</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85" w:history="1">
        <w:r w:rsidR="004F454E" w:rsidRPr="00762F94">
          <w:rPr>
            <w:rStyle w:val="Lienhypertexte"/>
            <w:rFonts w:cs="Arial"/>
            <w:noProof/>
          </w:rPr>
          <w:t>8.5.2.</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Rendements</w:t>
        </w:r>
        <w:r w:rsidR="004F454E">
          <w:rPr>
            <w:noProof/>
            <w:webHidden/>
          </w:rPr>
          <w:tab/>
        </w:r>
        <w:r>
          <w:rPr>
            <w:noProof/>
            <w:webHidden/>
          </w:rPr>
          <w:fldChar w:fldCharType="begin"/>
        </w:r>
        <w:r w:rsidR="004F454E">
          <w:rPr>
            <w:noProof/>
            <w:webHidden/>
          </w:rPr>
          <w:instrText xml:space="preserve"> PAGEREF _Toc354313885 \h </w:instrText>
        </w:r>
        <w:r>
          <w:rPr>
            <w:noProof/>
            <w:webHidden/>
          </w:rPr>
        </w:r>
        <w:r>
          <w:rPr>
            <w:noProof/>
            <w:webHidden/>
          </w:rPr>
          <w:fldChar w:fldCharType="separate"/>
        </w:r>
        <w:r w:rsidR="004F454E">
          <w:rPr>
            <w:noProof/>
            <w:webHidden/>
          </w:rPr>
          <w:t>121</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86" w:history="1">
        <w:r w:rsidR="004F454E" w:rsidRPr="00762F94">
          <w:rPr>
            <w:rStyle w:val="Lienhypertexte"/>
            <w:rFonts w:cs="Arial"/>
            <w:noProof/>
          </w:rPr>
          <w:t>8.5.3.</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Productions</w:t>
        </w:r>
        <w:r w:rsidR="004F454E">
          <w:rPr>
            <w:noProof/>
            <w:webHidden/>
          </w:rPr>
          <w:tab/>
        </w:r>
        <w:r>
          <w:rPr>
            <w:noProof/>
            <w:webHidden/>
          </w:rPr>
          <w:fldChar w:fldCharType="begin"/>
        </w:r>
        <w:r w:rsidR="004F454E">
          <w:rPr>
            <w:noProof/>
            <w:webHidden/>
          </w:rPr>
          <w:instrText xml:space="preserve"> PAGEREF _Toc354313886 \h </w:instrText>
        </w:r>
        <w:r>
          <w:rPr>
            <w:noProof/>
            <w:webHidden/>
          </w:rPr>
        </w:r>
        <w:r>
          <w:rPr>
            <w:noProof/>
            <w:webHidden/>
          </w:rPr>
          <w:fldChar w:fldCharType="separate"/>
        </w:r>
        <w:r w:rsidR="004F454E">
          <w:rPr>
            <w:noProof/>
            <w:webHidden/>
          </w:rPr>
          <w:t>126</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887" w:history="1">
        <w:r w:rsidR="004F454E" w:rsidRPr="00762F94">
          <w:rPr>
            <w:rStyle w:val="Lienhypertexte"/>
            <w:rFonts w:cs="Arial"/>
            <w:noProof/>
          </w:rPr>
          <w:t>8.6.</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Tubercules et racines</w:t>
        </w:r>
        <w:r w:rsidR="004F454E">
          <w:rPr>
            <w:noProof/>
            <w:webHidden/>
          </w:rPr>
          <w:tab/>
        </w:r>
        <w:r>
          <w:rPr>
            <w:noProof/>
            <w:webHidden/>
          </w:rPr>
          <w:fldChar w:fldCharType="begin"/>
        </w:r>
        <w:r w:rsidR="004F454E">
          <w:rPr>
            <w:noProof/>
            <w:webHidden/>
          </w:rPr>
          <w:instrText xml:space="preserve"> PAGEREF _Toc354313887 \h </w:instrText>
        </w:r>
        <w:r>
          <w:rPr>
            <w:noProof/>
            <w:webHidden/>
          </w:rPr>
        </w:r>
        <w:r>
          <w:rPr>
            <w:noProof/>
            <w:webHidden/>
          </w:rPr>
          <w:fldChar w:fldCharType="separate"/>
        </w:r>
        <w:r w:rsidR="004F454E">
          <w:rPr>
            <w:noProof/>
            <w:webHidden/>
          </w:rPr>
          <w:t>133</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88" w:history="1">
        <w:r w:rsidR="004F454E" w:rsidRPr="00762F94">
          <w:rPr>
            <w:rStyle w:val="Lienhypertexte"/>
            <w:rFonts w:cs="Arial"/>
            <w:noProof/>
          </w:rPr>
          <w:t>8.6.1.</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Superficies</w:t>
        </w:r>
        <w:r w:rsidR="004F454E">
          <w:rPr>
            <w:noProof/>
            <w:webHidden/>
          </w:rPr>
          <w:tab/>
        </w:r>
        <w:r>
          <w:rPr>
            <w:noProof/>
            <w:webHidden/>
          </w:rPr>
          <w:fldChar w:fldCharType="begin"/>
        </w:r>
        <w:r w:rsidR="004F454E">
          <w:rPr>
            <w:noProof/>
            <w:webHidden/>
          </w:rPr>
          <w:instrText xml:space="preserve"> PAGEREF _Toc354313888 \h </w:instrText>
        </w:r>
        <w:r>
          <w:rPr>
            <w:noProof/>
            <w:webHidden/>
          </w:rPr>
        </w:r>
        <w:r>
          <w:rPr>
            <w:noProof/>
            <w:webHidden/>
          </w:rPr>
          <w:fldChar w:fldCharType="separate"/>
        </w:r>
        <w:r w:rsidR="004F454E">
          <w:rPr>
            <w:noProof/>
            <w:webHidden/>
          </w:rPr>
          <w:t>133</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89" w:history="1">
        <w:r w:rsidR="004F454E" w:rsidRPr="00762F94">
          <w:rPr>
            <w:rStyle w:val="Lienhypertexte"/>
            <w:rFonts w:cs="Arial"/>
            <w:noProof/>
          </w:rPr>
          <w:t>8.6.2.</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Rendements</w:t>
        </w:r>
        <w:r w:rsidR="004F454E">
          <w:rPr>
            <w:noProof/>
            <w:webHidden/>
          </w:rPr>
          <w:tab/>
        </w:r>
        <w:r>
          <w:rPr>
            <w:noProof/>
            <w:webHidden/>
          </w:rPr>
          <w:fldChar w:fldCharType="begin"/>
        </w:r>
        <w:r w:rsidR="004F454E">
          <w:rPr>
            <w:noProof/>
            <w:webHidden/>
          </w:rPr>
          <w:instrText xml:space="preserve"> PAGEREF _Toc354313889 \h </w:instrText>
        </w:r>
        <w:r>
          <w:rPr>
            <w:noProof/>
            <w:webHidden/>
          </w:rPr>
        </w:r>
        <w:r>
          <w:rPr>
            <w:noProof/>
            <w:webHidden/>
          </w:rPr>
          <w:fldChar w:fldCharType="separate"/>
        </w:r>
        <w:r w:rsidR="004F454E">
          <w:rPr>
            <w:noProof/>
            <w:webHidden/>
          </w:rPr>
          <w:t>145</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90" w:history="1">
        <w:r w:rsidR="004F454E" w:rsidRPr="00762F94">
          <w:rPr>
            <w:rStyle w:val="Lienhypertexte"/>
            <w:rFonts w:cs="Arial"/>
            <w:noProof/>
          </w:rPr>
          <w:t>8.6.3.</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Productions</w:t>
        </w:r>
        <w:r w:rsidR="004F454E">
          <w:rPr>
            <w:noProof/>
            <w:webHidden/>
          </w:rPr>
          <w:tab/>
        </w:r>
        <w:r>
          <w:rPr>
            <w:noProof/>
            <w:webHidden/>
          </w:rPr>
          <w:fldChar w:fldCharType="begin"/>
        </w:r>
        <w:r w:rsidR="004F454E">
          <w:rPr>
            <w:noProof/>
            <w:webHidden/>
          </w:rPr>
          <w:instrText xml:space="preserve"> PAGEREF _Toc354313890 \h </w:instrText>
        </w:r>
        <w:r>
          <w:rPr>
            <w:noProof/>
            <w:webHidden/>
          </w:rPr>
        </w:r>
        <w:r>
          <w:rPr>
            <w:noProof/>
            <w:webHidden/>
          </w:rPr>
          <w:fldChar w:fldCharType="separate"/>
        </w:r>
        <w:r w:rsidR="004F454E">
          <w:rPr>
            <w:noProof/>
            <w:webHidden/>
          </w:rPr>
          <w:t>154</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891" w:history="1">
        <w:r w:rsidR="004F454E" w:rsidRPr="00762F94">
          <w:rPr>
            <w:rStyle w:val="Lienhypertexte"/>
            <w:rFonts w:cs="Arial"/>
            <w:noProof/>
          </w:rPr>
          <w:t>8.7.</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Oléagineux</w:t>
        </w:r>
        <w:r w:rsidR="004F454E">
          <w:rPr>
            <w:noProof/>
            <w:webHidden/>
          </w:rPr>
          <w:tab/>
        </w:r>
        <w:r>
          <w:rPr>
            <w:noProof/>
            <w:webHidden/>
          </w:rPr>
          <w:fldChar w:fldCharType="begin"/>
        </w:r>
        <w:r w:rsidR="004F454E">
          <w:rPr>
            <w:noProof/>
            <w:webHidden/>
          </w:rPr>
          <w:instrText xml:space="preserve"> PAGEREF _Toc354313891 \h </w:instrText>
        </w:r>
        <w:r>
          <w:rPr>
            <w:noProof/>
            <w:webHidden/>
          </w:rPr>
        </w:r>
        <w:r>
          <w:rPr>
            <w:noProof/>
            <w:webHidden/>
          </w:rPr>
          <w:fldChar w:fldCharType="separate"/>
        </w:r>
        <w:r w:rsidR="004F454E">
          <w:rPr>
            <w:noProof/>
            <w:webHidden/>
          </w:rPr>
          <w:t>165</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92" w:history="1">
        <w:r w:rsidR="004F454E" w:rsidRPr="00762F94">
          <w:rPr>
            <w:rStyle w:val="Lienhypertexte"/>
            <w:rFonts w:cs="Arial"/>
            <w:noProof/>
          </w:rPr>
          <w:t>8.7.1.</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Superficies</w:t>
        </w:r>
        <w:r w:rsidR="004F454E">
          <w:rPr>
            <w:noProof/>
            <w:webHidden/>
          </w:rPr>
          <w:tab/>
        </w:r>
        <w:r>
          <w:rPr>
            <w:noProof/>
            <w:webHidden/>
          </w:rPr>
          <w:fldChar w:fldCharType="begin"/>
        </w:r>
        <w:r w:rsidR="004F454E">
          <w:rPr>
            <w:noProof/>
            <w:webHidden/>
          </w:rPr>
          <w:instrText xml:space="preserve"> PAGEREF _Toc354313892 \h </w:instrText>
        </w:r>
        <w:r>
          <w:rPr>
            <w:noProof/>
            <w:webHidden/>
          </w:rPr>
        </w:r>
        <w:r>
          <w:rPr>
            <w:noProof/>
            <w:webHidden/>
          </w:rPr>
          <w:fldChar w:fldCharType="separate"/>
        </w:r>
        <w:r w:rsidR="004F454E">
          <w:rPr>
            <w:noProof/>
            <w:webHidden/>
          </w:rPr>
          <w:t>165</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93" w:history="1">
        <w:r w:rsidR="004F454E" w:rsidRPr="00762F94">
          <w:rPr>
            <w:rStyle w:val="Lienhypertexte"/>
            <w:rFonts w:cs="Arial"/>
            <w:noProof/>
          </w:rPr>
          <w:t>8.7.2.</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Rendements</w:t>
        </w:r>
        <w:r w:rsidR="004F454E">
          <w:rPr>
            <w:noProof/>
            <w:webHidden/>
          </w:rPr>
          <w:tab/>
        </w:r>
        <w:r>
          <w:rPr>
            <w:noProof/>
            <w:webHidden/>
          </w:rPr>
          <w:fldChar w:fldCharType="begin"/>
        </w:r>
        <w:r w:rsidR="004F454E">
          <w:rPr>
            <w:noProof/>
            <w:webHidden/>
          </w:rPr>
          <w:instrText xml:space="preserve"> PAGEREF _Toc354313893 \h </w:instrText>
        </w:r>
        <w:r>
          <w:rPr>
            <w:noProof/>
            <w:webHidden/>
          </w:rPr>
        </w:r>
        <w:r>
          <w:rPr>
            <w:noProof/>
            <w:webHidden/>
          </w:rPr>
          <w:fldChar w:fldCharType="separate"/>
        </w:r>
        <w:r w:rsidR="004F454E">
          <w:rPr>
            <w:noProof/>
            <w:webHidden/>
          </w:rPr>
          <w:t>170</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94" w:history="1">
        <w:r w:rsidR="004F454E" w:rsidRPr="00762F94">
          <w:rPr>
            <w:rStyle w:val="Lienhypertexte"/>
            <w:rFonts w:cs="Arial"/>
            <w:noProof/>
          </w:rPr>
          <w:t>8.7.3.</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Productions</w:t>
        </w:r>
        <w:r w:rsidR="004F454E">
          <w:rPr>
            <w:noProof/>
            <w:webHidden/>
          </w:rPr>
          <w:tab/>
        </w:r>
        <w:r>
          <w:rPr>
            <w:noProof/>
            <w:webHidden/>
          </w:rPr>
          <w:fldChar w:fldCharType="begin"/>
        </w:r>
        <w:r w:rsidR="004F454E">
          <w:rPr>
            <w:noProof/>
            <w:webHidden/>
          </w:rPr>
          <w:instrText xml:space="preserve"> PAGEREF _Toc354313894 \h </w:instrText>
        </w:r>
        <w:r>
          <w:rPr>
            <w:noProof/>
            <w:webHidden/>
          </w:rPr>
        </w:r>
        <w:r>
          <w:rPr>
            <w:noProof/>
            <w:webHidden/>
          </w:rPr>
          <w:fldChar w:fldCharType="separate"/>
        </w:r>
        <w:r w:rsidR="004F454E">
          <w:rPr>
            <w:noProof/>
            <w:webHidden/>
          </w:rPr>
          <w:t>173</w:t>
        </w:r>
        <w:r>
          <w:rPr>
            <w:noProof/>
            <w:webHidden/>
          </w:rPr>
          <w:fldChar w:fldCharType="end"/>
        </w:r>
      </w:hyperlink>
    </w:p>
    <w:p w:rsidR="004F454E" w:rsidRDefault="00DF50D8">
      <w:pPr>
        <w:pStyle w:val="TM1"/>
        <w:tabs>
          <w:tab w:val="left" w:pos="440"/>
          <w:tab w:val="right" w:leader="dot" w:pos="9062"/>
        </w:tabs>
        <w:rPr>
          <w:rFonts w:asciiTheme="minorHAnsi" w:eastAsiaTheme="minorEastAsia" w:hAnsiTheme="minorHAnsi" w:cstheme="minorBidi"/>
          <w:b w:val="0"/>
          <w:bCs w:val="0"/>
          <w:caps w:val="0"/>
          <w:noProof/>
          <w:sz w:val="22"/>
          <w:szCs w:val="22"/>
          <w:lang w:val="en-US" w:eastAsia="en-US"/>
        </w:rPr>
      </w:pPr>
      <w:hyperlink w:anchor="_Toc354313895" w:history="1">
        <w:r w:rsidR="004F454E" w:rsidRPr="00762F94">
          <w:rPr>
            <w:rStyle w:val="Lienhypertexte"/>
            <w:rFonts w:cs="Arial"/>
            <w:noProof/>
          </w:rPr>
          <w:t>9.</w:t>
        </w:r>
        <w:r w:rsidR="004F454E">
          <w:rPr>
            <w:rFonts w:asciiTheme="minorHAnsi" w:eastAsiaTheme="minorEastAsia" w:hAnsiTheme="minorHAnsi" w:cstheme="minorBidi"/>
            <w:b w:val="0"/>
            <w:bCs w:val="0"/>
            <w:caps w:val="0"/>
            <w:noProof/>
            <w:sz w:val="22"/>
            <w:szCs w:val="22"/>
            <w:lang w:val="en-US" w:eastAsia="en-US"/>
          </w:rPr>
          <w:tab/>
        </w:r>
        <w:r w:rsidR="004F454E" w:rsidRPr="00762F94">
          <w:rPr>
            <w:rStyle w:val="Lienhypertexte"/>
            <w:rFonts w:cs="Arial"/>
            <w:noProof/>
          </w:rPr>
          <w:t>Cheptel rattaché aux ménages agricoles</w:t>
        </w:r>
        <w:r w:rsidR="004F454E">
          <w:rPr>
            <w:noProof/>
            <w:webHidden/>
          </w:rPr>
          <w:tab/>
        </w:r>
        <w:r>
          <w:rPr>
            <w:noProof/>
            <w:webHidden/>
          </w:rPr>
          <w:fldChar w:fldCharType="begin"/>
        </w:r>
        <w:r w:rsidR="004F454E">
          <w:rPr>
            <w:noProof/>
            <w:webHidden/>
          </w:rPr>
          <w:instrText xml:space="preserve"> PAGEREF _Toc354313895 \h </w:instrText>
        </w:r>
        <w:r>
          <w:rPr>
            <w:noProof/>
            <w:webHidden/>
          </w:rPr>
        </w:r>
        <w:r>
          <w:rPr>
            <w:noProof/>
            <w:webHidden/>
          </w:rPr>
          <w:fldChar w:fldCharType="separate"/>
        </w:r>
        <w:r w:rsidR="004F454E">
          <w:rPr>
            <w:noProof/>
            <w:webHidden/>
          </w:rPr>
          <w:t>178</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896" w:history="1">
        <w:r w:rsidR="004F454E" w:rsidRPr="00762F94">
          <w:rPr>
            <w:rStyle w:val="Lienhypertexte"/>
            <w:rFonts w:cs="Arial"/>
            <w:noProof/>
          </w:rPr>
          <w:t>9.1.</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Estimation du cheptel en unité de bétail tropical (UBT)</w:t>
        </w:r>
        <w:r w:rsidR="004F454E">
          <w:rPr>
            <w:noProof/>
            <w:webHidden/>
          </w:rPr>
          <w:tab/>
        </w:r>
        <w:r>
          <w:rPr>
            <w:noProof/>
            <w:webHidden/>
          </w:rPr>
          <w:fldChar w:fldCharType="begin"/>
        </w:r>
        <w:r w:rsidR="004F454E">
          <w:rPr>
            <w:noProof/>
            <w:webHidden/>
          </w:rPr>
          <w:instrText xml:space="preserve"> PAGEREF _Toc354313896 \h </w:instrText>
        </w:r>
        <w:r>
          <w:rPr>
            <w:noProof/>
            <w:webHidden/>
          </w:rPr>
        </w:r>
        <w:r>
          <w:rPr>
            <w:noProof/>
            <w:webHidden/>
          </w:rPr>
          <w:fldChar w:fldCharType="separate"/>
        </w:r>
        <w:r w:rsidR="004F454E">
          <w:rPr>
            <w:noProof/>
            <w:webHidden/>
          </w:rPr>
          <w:t>178</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897" w:history="1">
        <w:r w:rsidR="004F454E" w:rsidRPr="00762F94">
          <w:rPr>
            <w:rStyle w:val="Lienhypertexte"/>
            <w:rFonts w:cs="Arial"/>
            <w:noProof/>
          </w:rPr>
          <w:t>9.2.</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Effectif du cheptel par espèce</w:t>
        </w:r>
        <w:r w:rsidR="004F454E">
          <w:rPr>
            <w:noProof/>
            <w:webHidden/>
          </w:rPr>
          <w:tab/>
        </w:r>
        <w:r>
          <w:rPr>
            <w:noProof/>
            <w:webHidden/>
          </w:rPr>
          <w:fldChar w:fldCharType="begin"/>
        </w:r>
        <w:r w:rsidR="004F454E">
          <w:rPr>
            <w:noProof/>
            <w:webHidden/>
          </w:rPr>
          <w:instrText xml:space="preserve"> PAGEREF _Toc354313897 \h </w:instrText>
        </w:r>
        <w:r>
          <w:rPr>
            <w:noProof/>
            <w:webHidden/>
          </w:rPr>
        </w:r>
        <w:r>
          <w:rPr>
            <w:noProof/>
            <w:webHidden/>
          </w:rPr>
          <w:fldChar w:fldCharType="separate"/>
        </w:r>
        <w:r w:rsidR="004F454E">
          <w:rPr>
            <w:noProof/>
            <w:webHidden/>
          </w:rPr>
          <w:t>179</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98" w:history="1">
        <w:r w:rsidR="004F454E" w:rsidRPr="00762F94">
          <w:rPr>
            <w:rStyle w:val="Lienhypertexte"/>
            <w:rFonts w:cs="Arial"/>
            <w:noProof/>
          </w:rPr>
          <w:t>9.2.1.</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Ovins</w:t>
        </w:r>
        <w:r w:rsidR="004F454E">
          <w:rPr>
            <w:noProof/>
            <w:webHidden/>
          </w:rPr>
          <w:tab/>
        </w:r>
        <w:r>
          <w:rPr>
            <w:noProof/>
            <w:webHidden/>
          </w:rPr>
          <w:fldChar w:fldCharType="begin"/>
        </w:r>
        <w:r w:rsidR="004F454E">
          <w:rPr>
            <w:noProof/>
            <w:webHidden/>
          </w:rPr>
          <w:instrText xml:space="preserve"> PAGEREF _Toc354313898 \h </w:instrText>
        </w:r>
        <w:r>
          <w:rPr>
            <w:noProof/>
            <w:webHidden/>
          </w:rPr>
        </w:r>
        <w:r>
          <w:rPr>
            <w:noProof/>
            <w:webHidden/>
          </w:rPr>
          <w:fldChar w:fldCharType="separate"/>
        </w:r>
        <w:r w:rsidR="004F454E">
          <w:rPr>
            <w:noProof/>
            <w:webHidden/>
          </w:rPr>
          <w:t>182</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899" w:history="1">
        <w:r w:rsidR="004F454E" w:rsidRPr="00762F94">
          <w:rPr>
            <w:rStyle w:val="Lienhypertexte"/>
            <w:rFonts w:cs="Arial"/>
            <w:noProof/>
          </w:rPr>
          <w:t>9.2.2.</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Production de lait des vaches rattachées aux ménages agricoles</w:t>
        </w:r>
        <w:r w:rsidR="004F454E">
          <w:rPr>
            <w:noProof/>
            <w:webHidden/>
          </w:rPr>
          <w:tab/>
        </w:r>
        <w:r>
          <w:rPr>
            <w:noProof/>
            <w:webHidden/>
          </w:rPr>
          <w:fldChar w:fldCharType="begin"/>
        </w:r>
        <w:r w:rsidR="004F454E">
          <w:rPr>
            <w:noProof/>
            <w:webHidden/>
          </w:rPr>
          <w:instrText xml:space="preserve"> PAGEREF _Toc354313899 \h </w:instrText>
        </w:r>
        <w:r>
          <w:rPr>
            <w:noProof/>
            <w:webHidden/>
          </w:rPr>
        </w:r>
        <w:r>
          <w:rPr>
            <w:noProof/>
            <w:webHidden/>
          </w:rPr>
          <w:fldChar w:fldCharType="separate"/>
        </w:r>
        <w:r w:rsidR="004F454E">
          <w:rPr>
            <w:noProof/>
            <w:webHidden/>
          </w:rPr>
          <w:t>184</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900" w:history="1">
        <w:r w:rsidR="004F454E" w:rsidRPr="00762F94">
          <w:rPr>
            <w:rStyle w:val="Lienhypertexte"/>
            <w:rFonts w:cs="Arial"/>
            <w:noProof/>
          </w:rPr>
          <w:t>9.2.3.</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Bœufs de traction</w:t>
        </w:r>
        <w:r w:rsidR="004F454E">
          <w:rPr>
            <w:noProof/>
            <w:webHidden/>
          </w:rPr>
          <w:tab/>
        </w:r>
        <w:r>
          <w:rPr>
            <w:noProof/>
            <w:webHidden/>
          </w:rPr>
          <w:fldChar w:fldCharType="begin"/>
        </w:r>
        <w:r w:rsidR="004F454E">
          <w:rPr>
            <w:noProof/>
            <w:webHidden/>
          </w:rPr>
          <w:instrText xml:space="preserve"> PAGEREF _Toc354313900 \h </w:instrText>
        </w:r>
        <w:r>
          <w:rPr>
            <w:noProof/>
            <w:webHidden/>
          </w:rPr>
        </w:r>
        <w:r>
          <w:rPr>
            <w:noProof/>
            <w:webHidden/>
          </w:rPr>
          <w:fldChar w:fldCharType="separate"/>
        </w:r>
        <w:r w:rsidR="004F454E">
          <w:rPr>
            <w:noProof/>
            <w:webHidden/>
          </w:rPr>
          <w:t>185</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901" w:history="1">
        <w:r w:rsidR="004F454E" w:rsidRPr="00762F94">
          <w:rPr>
            <w:rStyle w:val="Lienhypertexte"/>
            <w:rFonts w:cs="Arial"/>
            <w:noProof/>
          </w:rPr>
          <w:t>9.2.4.</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Petits ruminants (Ovins et Caprins)</w:t>
        </w:r>
        <w:r w:rsidR="004F454E">
          <w:rPr>
            <w:noProof/>
            <w:webHidden/>
          </w:rPr>
          <w:tab/>
        </w:r>
        <w:r>
          <w:rPr>
            <w:noProof/>
            <w:webHidden/>
          </w:rPr>
          <w:fldChar w:fldCharType="begin"/>
        </w:r>
        <w:r w:rsidR="004F454E">
          <w:rPr>
            <w:noProof/>
            <w:webHidden/>
          </w:rPr>
          <w:instrText xml:space="preserve"> PAGEREF _Toc354313901 \h </w:instrText>
        </w:r>
        <w:r>
          <w:rPr>
            <w:noProof/>
            <w:webHidden/>
          </w:rPr>
        </w:r>
        <w:r>
          <w:rPr>
            <w:noProof/>
            <w:webHidden/>
          </w:rPr>
          <w:fldChar w:fldCharType="separate"/>
        </w:r>
        <w:r w:rsidR="004F454E">
          <w:rPr>
            <w:noProof/>
            <w:webHidden/>
          </w:rPr>
          <w:t>185</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902" w:history="1">
        <w:r w:rsidR="004F454E" w:rsidRPr="00762F94">
          <w:rPr>
            <w:rStyle w:val="Lienhypertexte"/>
            <w:rFonts w:cs="Arial"/>
            <w:noProof/>
          </w:rPr>
          <w:t>9.2.5.</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Porcins</w:t>
        </w:r>
        <w:r w:rsidR="004F454E">
          <w:rPr>
            <w:noProof/>
            <w:webHidden/>
          </w:rPr>
          <w:tab/>
        </w:r>
        <w:r>
          <w:rPr>
            <w:noProof/>
            <w:webHidden/>
          </w:rPr>
          <w:fldChar w:fldCharType="begin"/>
        </w:r>
        <w:r w:rsidR="004F454E">
          <w:rPr>
            <w:noProof/>
            <w:webHidden/>
          </w:rPr>
          <w:instrText xml:space="preserve"> PAGEREF _Toc354313902 \h </w:instrText>
        </w:r>
        <w:r>
          <w:rPr>
            <w:noProof/>
            <w:webHidden/>
          </w:rPr>
        </w:r>
        <w:r>
          <w:rPr>
            <w:noProof/>
            <w:webHidden/>
          </w:rPr>
          <w:fldChar w:fldCharType="separate"/>
        </w:r>
        <w:r w:rsidR="004F454E">
          <w:rPr>
            <w:noProof/>
            <w:webHidden/>
          </w:rPr>
          <w:t>187</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903" w:history="1">
        <w:r w:rsidR="004F454E" w:rsidRPr="00762F94">
          <w:rPr>
            <w:rStyle w:val="Lienhypertexte"/>
            <w:rFonts w:cs="Arial"/>
            <w:noProof/>
          </w:rPr>
          <w:t>9.2.6.</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Lapins et cobayes</w:t>
        </w:r>
        <w:r w:rsidR="004F454E">
          <w:rPr>
            <w:noProof/>
            <w:webHidden/>
          </w:rPr>
          <w:tab/>
        </w:r>
        <w:r>
          <w:rPr>
            <w:noProof/>
            <w:webHidden/>
          </w:rPr>
          <w:fldChar w:fldCharType="begin"/>
        </w:r>
        <w:r w:rsidR="004F454E">
          <w:rPr>
            <w:noProof/>
            <w:webHidden/>
          </w:rPr>
          <w:instrText xml:space="preserve"> PAGEREF _Toc354313903 \h </w:instrText>
        </w:r>
        <w:r>
          <w:rPr>
            <w:noProof/>
            <w:webHidden/>
          </w:rPr>
        </w:r>
        <w:r>
          <w:rPr>
            <w:noProof/>
            <w:webHidden/>
          </w:rPr>
          <w:fldChar w:fldCharType="separate"/>
        </w:r>
        <w:r w:rsidR="004F454E">
          <w:rPr>
            <w:noProof/>
            <w:webHidden/>
          </w:rPr>
          <w:t>188</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904" w:history="1">
        <w:r w:rsidR="004F454E" w:rsidRPr="00762F94">
          <w:rPr>
            <w:rStyle w:val="Lienhypertexte"/>
            <w:rFonts w:cs="Arial"/>
            <w:noProof/>
          </w:rPr>
          <w:t>9.2.7.</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Volaille (poules, autres volailles)</w:t>
        </w:r>
        <w:r w:rsidR="004F454E">
          <w:rPr>
            <w:noProof/>
            <w:webHidden/>
          </w:rPr>
          <w:tab/>
        </w:r>
        <w:r>
          <w:rPr>
            <w:noProof/>
            <w:webHidden/>
          </w:rPr>
          <w:fldChar w:fldCharType="begin"/>
        </w:r>
        <w:r w:rsidR="004F454E">
          <w:rPr>
            <w:noProof/>
            <w:webHidden/>
          </w:rPr>
          <w:instrText xml:space="preserve"> PAGEREF _Toc354313904 \h </w:instrText>
        </w:r>
        <w:r>
          <w:rPr>
            <w:noProof/>
            <w:webHidden/>
          </w:rPr>
        </w:r>
        <w:r>
          <w:rPr>
            <w:noProof/>
            <w:webHidden/>
          </w:rPr>
          <w:fldChar w:fldCharType="separate"/>
        </w:r>
        <w:r w:rsidR="004F454E">
          <w:rPr>
            <w:noProof/>
            <w:webHidden/>
          </w:rPr>
          <w:t>189</w:t>
        </w:r>
        <w:r>
          <w:rPr>
            <w:noProof/>
            <w:webHidden/>
          </w:rPr>
          <w:fldChar w:fldCharType="end"/>
        </w:r>
      </w:hyperlink>
    </w:p>
    <w:p w:rsidR="004F454E" w:rsidRDefault="00DF50D8">
      <w:pPr>
        <w:pStyle w:val="TM1"/>
        <w:tabs>
          <w:tab w:val="left" w:pos="660"/>
          <w:tab w:val="right" w:leader="dot" w:pos="9062"/>
        </w:tabs>
        <w:rPr>
          <w:rFonts w:asciiTheme="minorHAnsi" w:eastAsiaTheme="minorEastAsia" w:hAnsiTheme="minorHAnsi" w:cstheme="minorBidi"/>
          <w:b w:val="0"/>
          <w:bCs w:val="0"/>
          <w:caps w:val="0"/>
          <w:noProof/>
          <w:sz w:val="22"/>
          <w:szCs w:val="22"/>
          <w:lang w:val="en-US" w:eastAsia="en-US"/>
        </w:rPr>
      </w:pPr>
      <w:hyperlink w:anchor="_Toc354313905" w:history="1">
        <w:r w:rsidR="004F454E" w:rsidRPr="00762F94">
          <w:rPr>
            <w:rStyle w:val="Lienhypertexte"/>
            <w:rFonts w:cs="Arial"/>
            <w:noProof/>
          </w:rPr>
          <w:t>10.</w:t>
        </w:r>
        <w:r w:rsidR="004F454E">
          <w:rPr>
            <w:rFonts w:asciiTheme="minorHAnsi" w:eastAsiaTheme="minorEastAsia" w:hAnsiTheme="minorHAnsi" w:cstheme="minorBidi"/>
            <w:b w:val="0"/>
            <w:bCs w:val="0"/>
            <w:caps w:val="0"/>
            <w:noProof/>
            <w:sz w:val="22"/>
            <w:szCs w:val="22"/>
            <w:lang w:val="en-US" w:eastAsia="en-US"/>
          </w:rPr>
          <w:tab/>
        </w:r>
        <w:r w:rsidR="004F454E" w:rsidRPr="00762F94">
          <w:rPr>
            <w:rStyle w:val="Lienhypertexte"/>
            <w:rFonts w:cs="Arial"/>
            <w:noProof/>
          </w:rPr>
          <w:t>Pêche</w:t>
        </w:r>
        <w:r w:rsidR="004F454E">
          <w:rPr>
            <w:noProof/>
            <w:webHidden/>
          </w:rPr>
          <w:tab/>
        </w:r>
        <w:r>
          <w:rPr>
            <w:noProof/>
            <w:webHidden/>
          </w:rPr>
          <w:fldChar w:fldCharType="begin"/>
        </w:r>
        <w:r w:rsidR="004F454E">
          <w:rPr>
            <w:noProof/>
            <w:webHidden/>
          </w:rPr>
          <w:instrText xml:space="preserve"> PAGEREF _Toc354313905 \h </w:instrText>
        </w:r>
        <w:r>
          <w:rPr>
            <w:noProof/>
            <w:webHidden/>
          </w:rPr>
        </w:r>
        <w:r>
          <w:rPr>
            <w:noProof/>
            <w:webHidden/>
          </w:rPr>
          <w:fldChar w:fldCharType="separate"/>
        </w:r>
        <w:r w:rsidR="004F454E">
          <w:rPr>
            <w:noProof/>
            <w:webHidden/>
          </w:rPr>
          <w:t>191</w:t>
        </w:r>
        <w:r>
          <w:rPr>
            <w:noProof/>
            <w:webHidden/>
          </w:rPr>
          <w:fldChar w:fldCharType="end"/>
        </w:r>
      </w:hyperlink>
    </w:p>
    <w:p w:rsidR="004F454E" w:rsidRDefault="00DF50D8">
      <w:pPr>
        <w:pStyle w:val="TM1"/>
        <w:tabs>
          <w:tab w:val="left" w:pos="660"/>
          <w:tab w:val="right" w:leader="dot" w:pos="9062"/>
        </w:tabs>
        <w:rPr>
          <w:rFonts w:asciiTheme="minorHAnsi" w:eastAsiaTheme="minorEastAsia" w:hAnsiTheme="minorHAnsi" w:cstheme="minorBidi"/>
          <w:b w:val="0"/>
          <w:bCs w:val="0"/>
          <w:caps w:val="0"/>
          <w:noProof/>
          <w:sz w:val="22"/>
          <w:szCs w:val="22"/>
          <w:lang w:val="en-US" w:eastAsia="en-US"/>
        </w:rPr>
      </w:pPr>
      <w:hyperlink w:anchor="_Toc354313906" w:history="1">
        <w:r w:rsidR="004F454E" w:rsidRPr="00762F94">
          <w:rPr>
            <w:rStyle w:val="Lienhypertexte"/>
            <w:rFonts w:cs="Arial"/>
            <w:noProof/>
          </w:rPr>
          <w:t>11.</w:t>
        </w:r>
        <w:r w:rsidR="004F454E">
          <w:rPr>
            <w:rFonts w:asciiTheme="minorHAnsi" w:eastAsiaTheme="minorEastAsia" w:hAnsiTheme="minorHAnsi" w:cstheme="minorBidi"/>
            <w:b w:val="0"/>
            <w:bCs w:val="0"/>
            <w:caps w:val="0"/>
            <w:noProof/>
            <w:sz w:val="22"/>
            <w:szCs w:val="22"/>
            <w:lang w:val="en-US" w:eastAsia="en-US"/>
          </w:rPr>
          <w:tab/>
        </w:r>
        <w:r w:rsidR="004F454E" w:rsidRPr="00762F94">
          <w:rPr>
            <w:rStyle w:val="Lienhypertexte"/>
            <w:rFonts w:cs="Arial"/>
            <w:noProof/>
          </w:rPr>
          <w:t>Apiculture</w:t>
        </w:r>
        <w:r w:rsidR="004F454E">
          <w:rPr>
            <w:noProof/>
            <w:webHidden/>
          </w:rPr>
          <w:tab/>
        </w:r>
        <w:r>
          <w:rPr>
            <w:noProof/>
            <w:webHidden/>
          </w:rPr>
          <w:fldChar w:fldCharType="begin"/>
        </w:r>
        <w:r w:rsidR="004F454E">
          <w:rPr>
            <w:noProof/>
            <w:webHidden/>
          </w:rPr>
          <w:instrText xml:space="preserve"> PAGEREF _Toc354313906 \h </w:instrText>
        </w:r>
        <w:r>
          <w:rPr>
            <w:noProof/>
            <w:webHidden/>
          </w:rPr>
        </w:r>
        <w:r>
          <w:rPr>
            <w:noProof/>
            <w:webHidden/>
          </w:rPr>
          <w:fldChar w:fldCharType="separate"/>
        </w:r>
        <w:r w:rsidR="004F454E">
          <w:rPr>
            <w:noProof/>
            <w:webHidden/>
          </w:rPr>
          <w:t>192</w:t>
        </w:r>
        <w:r>
          <w:rPr>
            <w:noProof/>
            <w:webHidden/>
          </w:rPr>
          <w:fldChar w:fldCharType="end"/>
        </w:r>
      </w:hyperlink>
    </w:p>
    <w:p w:rsidR="004F454E" w:rsidRDefault="00DF50D8">
      <w:pPr>
        <w:pStyle w:val="TM1"/>
        <w:tabs>
          <w:tab w:val="left" w:pos="660"/>
          <w:tab w:val="right" w:leader="dot" w:pos="9062"/>
        </w:tabs>
        <w:rPr>
          <w:rFonts w:asciiTheme="minorHAnsi" w:eastAsiaTheme="minorEastAsia" w:hAnsiTheme="minorHAnsi" w:cstheme="minorBidi"/>
          <w:b w:val="0"/>
          <w:bCs w:val="0"/>
          <w:caps w:val="0"/>
          <w:noProof/>
          <w:sz w:val="22"/>
          <w:szCs w:val="22"/>
          <w:lang w:val="en-US" w:eastAsia="en-US"/>
        </w:rPr>
      </w:pPr>
      <w:hyperlink w:anchor="_Toc354313907" w:history="1">
        <w:r w:rsidR="004F454E" w:rsidRPr="00762F94">
          <w:rPr>
            <w:rStyle w:val="Lienhypertexte"/>
            <w:rFonts w:cs="Arial"/>
            <w:noProof/>
          </w:rPr>
          <w:t>12.</w:t>
        </w:r>
        <w:r w:rsidR="004F454E">
          <w:rPr>
            <w:rFonts w:asciiTheme="minorHAnsi" w:eastAsiaTheme="minorEastAsia" w:hAnsiTheme="minorHAnsi" w:cstheme="minorBidi"/>
            <w:b w:val="0"/>
            <w:bCs w:val="0"/>
            <w:caps w:val="0"/>
            <w:noProof/>
            <w:sz w:val="22"/>
            <w:szCs w:val="22"/>
            <w:lang w:val="en-US" w:eastAsia="en-US"/>
          </w:rPr>
          <w:tab/>
        </w:r>
        <w:r w:rsidR="004F454E" w:rsidRPr="00762F94">
          <w:rPr>
            <w:rStyle w:val="Lienhypertexte"/>
            <w:rFonts w:cs="Arial"/>
            <w:noProof/>
          </w:rPr>
          <w:t>Sylviculture</w:t>
        </w:r>
        <w:r w:rsidR="004F454E">
          <w:rPr>
            <w:noProof/>
            <w:webHidden/>
          </w:rPr>
          <w:tab/>
        </w:r>
        <w:r>
          <w:rPr>
            <w:noProof/>
            <w:webHidden/>
          </w:rPr>
          <w:fldChar w:fldCharType="begin"/>
        </w:r>
        <w:r w:rsidR="004F454E">
          <w:rPr>
            <w:noProof/>
            <w:webHidden/>
          </w:rPr>
          <w:instrText xml:space="preserve"> PAGEREF _Toc354313907 \h </w:instrText>
        </w:r>
        <w:r>
          <w:rPr>
            <w:noProof/>
            <w:webHidden/>
          </w:rPr>
        </w:r>
        <w:r>
          <w:rPr>
            <w:noProof/>
            <w:webHidden/>
          </w:rPr>
          <w:fldChar w:fldCharType="separate"/>
        </w:r>
        <w:r w:rsidR="004F454E">
          <w:rPr>
            <w:noProof/>
            <w:webHidden/>
          </w:rPr>
          <w:t>193</w:t>
        </w:r>
        <w:r>
          <w:rPr>
            <w:noProof/>
            <w:webHidden/>
          </w:rPr>
          <w:fldChar w:fldCharType="end"/>
        </w:r>
      </w:hyperlink>
    </w:p>
    <w:p w:rsidR="004F454E" w:rsidRDefault="00DF50D8">
      <w:pPr>
        <w:pStyle w:val="TM1"/>
        <w:tabs>
          <w:tab w:val="left" w:pos="660"/>
          <w:tab w:val="right" w:leader="dot" w:pos="9062"/>
        </w:tabs>
        <w:rPr>
          <w:rFonts w:asciiTheme="minorHAnsi" w:eastAsiaTheme="minorEastAsia" w:hAnsiTheme="minorHAnsi" w:cstheme="minorBidi"/>
          <w:b w:val="0"/>
          <w:bCs w:val="0"/>
          <w:caps w:val="0"/>
          <w:noProof/>
          <w:sz w:val="22"/>
          <w:szCs w:val="22"/>
          <w:lang w:val="en-US" w:eastAsia="en-US"/>
        </w:rPr>
      </w:pPr>
      <w:hyperlink w:anchor="_Toc354313908" w:history="1">
        <w:r w:rsidR="004F454E" w:rsidRPr="00762F94">
          <w:rPr>
            <w:rStyle w:val="Lienhypertexte"/>
            <w:rFonts w:cs="Arial"/>
            <w:noProof/>
          </w:rPr>
          <w:t>13.</w:t>
        </w:r>
        <w:r w:rsidR="004F454E">
          <w:rPr>
            <w:rFonts w:asciiTheme="minorHAnsi" w:eastAsiaTheme="minorEastAsia" w:hAnsiTheme="minorHAnsi" w:cstheme="minorBidi"/>
            <w:b w:val="0"/>
            <w:bCs w:val="0"/>
            <w:caps w:val="0"/>
            <w:noProof/>
            <w:sz w:val="22"/>
            <w:szCs w:val="22"/>
            <w:lang w:val="en-US" w:eastAsia="en-US"/>
          </w:rPr>
          <w:tab/>
        </w:r>
        <w:r w:rsidR="004F454E" w:rsidRPr="00762F94">
          <w:rPr>
            <w:rStyle w:val="Lienhypertexte"/>
            <w:rFonts w:cs="Arial"/>
            <w:noProof/>
          </w:rPr>
          <w:t>Accès aux ressources productives</w:t>
        </w:r>
        <w:r w:rsidR="004F454E">
          <w:rPr>
            <w:noProof/>
            <w:webHidden/>
          </w:rPr>
          <w:tab/>
        </w:r>
        <w:r>
          <w:rPr>
            <w:noProof/>
            <w:webHidden/>
          </w:rPr>
          <w:fldChar w:fldCharType="begin"/>
        </w:r>
        <w:r w:rsidR="004F454E">
          <w:rPr>
            <w:noProof/>
            <w:webHidden/>
          </w:rPr>
          <w:instrText xml:space="preserve"> PAGEREF _Toc354313908 \h </w:instrText>
        </w:r>
        <w:r>
          <w:rPr>
            <w:noProof/>
            <w:webHidden/>
          </w:rPr>
        </w:r>
        <w:r>
          <w:rPr>
            <w:noProof/>
            <w:webHidden/>
          </w:rPr>
          <w:fldChar w:fldCharType="separate"/>
        </w:r>
        <w:r w:rsidR="004F454E">
          <w:rPr>
            <w:noProof/>
            <w:webHidden/>
          </w:rPr>
          <w:t>194</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909" w:history="1">
        <w:r w:rsidR="004F454E" w:rsidRPr="00762F94">
          <w:rPr>
            <w:rStyle w:val="Lienhypertexte"/>
            <w:rFonts w:cs="Arial"/>
            <w:noProof/>
          </w:rPr>
          <w:t>13.1.</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Utilisation des intrants</w:t>
        </w:r>
        <w:r w:rsidR="004F454E">
          <w:rPr>
            <w:noProof/>
            <w:webHidden/>
          </w:rPr>
          <w:tab/>
        </w:r>
        <w:r>
          <w:rPr>
            <w:noProof/>
            <w:webHidden/>
          </w:rPr>
          <w:fldChar w:fldCharType="begin"/>
        </w:r>
        <w:r w:rsidR="004F454E">
          <w:rPr>
            <w:noProof/>
            <w:webHidden/>
          </w:rPr>
          <w:instrText xml:space="preserve"> PAGEREF _Toc354313909 \h </w:instrText>
        </w:r>
        <w:r>
          <w:rPr>
            <w:noProof/>
            <w:webHidden/>
          </w:rPr>
        </w:r>
        <w:r>
          <w:rPr>
            <w:noProof/>
            <w:webHidden/>
          </w:rPr>
          <w:fldChar w:fldCharType="separate"/>
        </w:r>
        <w:r w:rsidR="004F454E">
          <w:rPr>
            <w:noProof/>
            <w:webHidden/>
          </w:rPr>
          <w:t>194</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910" w:history="1">
        <w:r w:rsidR="004F454E" w:rsidRPr="00762F94">
          <w:rPr>
            <w:rStyle w:val="Lienhypertexte"/>
            <w:rFonts w:cs="Arial"/>
            <w:noProof/>
          </w:rPr>
          <w:t>13.1.1.</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Fumure organique</w:t>
        </w:r>
        <w:r w:rsidR="004F454E">
          <w:rPr>
            <w:noProof/>
            <w:webHidden/>
          </w:rPr>
          <w:tab/>
        </w:r>
        <w:r>
          <w:rPr>
            <w:noProof/>
            <w:webHidden/>
          </w:rPr>
          <w:fldChar w:fldCharType="begin"/>
        </w:r>
        <w:r w:rsidR="004F454E">
          <w:rPr>
            <w:noProof/>
            <w:webHidden/>
          </w:rPr>
          <w:instrText xml:space="preserve"> PAGEREF _Toc354313910 \h </w:instrText>
        </w:r>
        <w:r>
          <w:rPr>
            <w:noProof/>
            <w:webHidden/>
          </w:rPr>
        </w:r>
        <w:r>
          <w:rPr>
            <w:noProof/>
            <w:webHidden/>
          </w:rPr>
          <w:fldChar w:fldCharType="separate"/>
        </w:r>
        <w:r w:rsidR="004F454E">
          <w:rPr>
            <w:noProof/>
            <w:webHidden/>
          </w:rPr>
          <w:t>194</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911" w:history="1">
        <w:r w:rsidR="004F454E" w:rsidRPr="00762F94">
          <w:rPr>
            <w:rStyle w:val="Lienhypertexte"/>
            <w:rFonts w:cs="Arial"/>
            <w:noProof/>
          </w:rPr>
          <w:t>13.1.2.</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Semences et plants améliorés et locaux</w:t>
        </w:r>
        <w:r w:rsidR="004F454E">
          <w:rPr>
            <w:noProof/>
            <w:webHidden/>
          </w:rPr>
          <w:tab/>
        </w:r>
        <w:r>
          <w:rPr>
            <w:noProof/>
            <w:webHidden/>
          </w:rPr>
          <w:fldChar w:fldCharType="begin"/>
        </w:r>
        <w:r w:rsidR="004F454E">
          <w:rPr>
            <w:noProof/>
            <w:webHidden/>
          </w:rPr>
          <w:instrText xml:space="preserve"> PAGEREF _Toc354313911 \h </w:instrText>
        </w:r>
        <w:r>
          <w:rPr>
            <w:noProof/>
            <w:webHidden/>
          </w:rPr>
        </w:r>
        <w:r>
          <w:rPr>
            <w:noProof/>
            <w:webHidden/>
          </w:rPr>
          <w:fldChar w:fldCharType="separate"/>
        </w:r>
        <w:r w:rsidR="004F454E">
          <w:rPr>
            <w:noProof/>
            <w:webHidden/>
          </w:rPr>
          <w:t>194</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912" w:history="1">
        <w:r w:rsidR="004F454E" w:rsidRPr="00762F94">
          <w:rPr>
            <w:rStyle w:val="Lienhypertexte"/>
            <w:rFonts w:cs="Arial"/>
            <w:noProof/>
          </w:rPr>
          <w:t>13.1.3.</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Produits phytosanitaires</w:t>
        </w:r>
        <w:r w:rsidR="004F454E">
          <w:rPr>
            <w:noProof/>
            <w:webHidden/>
          </w:rPr>
          <w:tab/>
        </w:r>
        <w:r>
          <w:rPr>
            <w:noProof/>
            <w:webHidden/>
          </w:rPr>
          <w:fldChar w:fldCharType="begin"/>
        </w:r>
        <w:r w:rsidR="004F454E">
          <w:rPr>
            <w:noProof/>
            <w:webHidden/>
          </w:rPr>
          <w:instrText xml:space="preserve"> PAGEREF _Toc354313912 \h </w:instrText>
        </w:r>
        <w:r>
          <w:rPr>
            <w:noProof/>
            <w:webHidden/>
          </w:rPr>
        </w:r>
        <w:r>
          <w:rPr>
            <w:noProof/>
            <w:webHidden/>
          </w:rPr>
          <w:fldChar w:fldCharType="separate"/>
        </w:r>
        <w:r w:rsidR="004F454E">
          <w:rPr>
            <w:noProof/>
            <w:webHidden/>
          </w:rPr>
          <w:t>196</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913" w:history="1">
        <w:r w:rsidR="004F454E" w:rsidRPr="00762F94">
          <w:rPr>
            <w:rStyle w:val="Lienhypertexte"/>
            <w:rFonts w:cs="Arial"/>
            <w:noProof/>
          </w:rPr>
          <w:t>13.1.4.</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Engrais chimiques</w:t>
        </w:r>
        <w:r w:rsidR="004F454E">
          <w:rPr>
            <w:noProof/>
            <w:webHidden/>
          </w:rPr>
          <w:tab/>
        </w:r>
        <w:r>
          <w:rPr>
            <w:noProof/>
            <w:webHidden/>
          </w:rPr>
          <w:fldChar w:fldCharType="begin"/>
        </w:r>
        <w:r w:rsidR="004F454E">
          <w:rPr>
            <w:noProof/>
            <w:webHidden/>
          </w:rPr>
          <w:instrText xml:space="preserve"> PAGEREF _Toc354313913 \h </w:instrText>
        </w:r>
        <w:r>
          <w:rPr>
            <w:noProof/>
            <w:webHidden/>
          </w:rPr>
        </w:r>
        <w:r>
          <w:rPr>
            <w:noProof/>
            <w:webHidden/>
          </w:rPr>
          <w:fldChar w:fldCharType="separate"/>
        </w:r>
        <w:r w:rsidR="004F454E">
          <w:rPr>
            <w:noProof/>
            <w:webHidden/>
          </w:rPr>
          <w:t>196</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914" w:history="1">
        <w:r w:rsidR="004F454E" w:rsidRPr="00762F94">
          <w:rPr>
            <w:rStyle w:val="Lienhypertexte"/>
            <w:rFonts w:cs="Arial"/>
            <w:noProof/>
          </w:rPr>
          <w:t>13.2.</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Emploi et main-d’œuvre agricoles</w:t>
        </w:r>
        <w:r w:rsidR="004F454E">
          <w:rPr>
            <w:noProof/>
            <w:webHidden/>
          </w:rPr>
          <w:tab/>
        </w:r>
        <w:r>
          <w:rPr>
            <w:noProof/>
            <w:webHidden/>
          </w:rPr>
          <w:fldChar w:fldCharType="begin"/>
        </w:r>
        <w:r w:rsidR="004F454E">
          <w:rPr>
            <w:noProof/>
            <w:webHidden/>
          </w:rPr>
          <w:instrText xml:space="preserve"> PAGEREF _Toc354313914 \h </w:instrText>
        </w:r>
        <w:r>
          <w:rPr>
            <w:noProof/>
            <w:webHidden/>
          </w:rPr>
        </w:r>
        <w:r>
          <w:rPr>
            <w:noProof/>
            <w:webHidden/>
          </w:rPr>
          <w:fldChar w:fldCharType="separate"/>
        </w:r>
        <w:r w:rsidR="004F454E">
          <w:rPr>
            <w:noProof/>
            <w:webHidden/>
          </w:rPr>
          <w:t>197</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915" w:history="1">
        <w:r w:rsidR="004F454E" w:rsidRPr="00762F94">
          <w:rPr>
            <w:rStyle w:val="Lienhypertexte"/>
            <w:rFonts w:cs="Arial"/>
            <w:noProof/>
          </w:rPr>
          <w:t>13.3.</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Equipement</w:t>
        </w:r>
        <w:r w:rsidR="004F454E">
          <w:rPr>
            <w:noProof/>
            <w:webHidden/>
          </w:rPr>
          <w:tab/>
        </w:r>
        <w:r>
          <w:rPr>
            <w:noProof/>
            <w:webHidden/>
          </w:rPr>
          <w:fldChar w:fldCharType="begin"/>
        </w:r>
        <w:r w:rsidR="004F454E">
          <w:rPr>
            <w:noProof/>
            <w:webHidden/>
          </w:rPr>
          <w:instrText xml:space="preserve"> PAGEREF _Toc354313915 \h </w:instrText>
        </w:r>
        <w:r>
          <w:rPr>
            <w:noProof/>
            <w:webHidden/>
          </w:rPr>
        </w:r>
        <w:r>
          <w:rPr>
            <w:noProof/>
            <w:webHidden/>
          </w:rPr>
          <w:fldChar w:fldCharType="separate"/>
        </w:r>
        <w:r w:rsidR="004F454E">
          <w:rPr>
            <w:noProof/>
            <w:webHidden/>
          </w:rPr>
          <w:t>198</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916" w:history="1">
        <w:r w:rsidR="004F454E" w:rsidRPr="00762F94">
          <w:rPr>
            <w:rStyle w:val="Lienhypertexte"/>
            <w:rFonts w:cs="Arial"/>
            <w:noProof/>
          </w:rPr>
          <w:t>13.4.</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Organisations des producteurs</w:t>
        </w:r>
        <w:r w:rsidR="004F454E">
          <w:rPr>
            <w:noProof/>
            <w:webHidden/>
          </w:rPr>
          <w:tab/>
        </w:r>
        <w:r>
          <w:rPr>
            <w:noProof/>
            <w:webHidden/>
          </w:rPr>
          <w:fldChar w:fldCharType="begin"/>
        </w:r>
        <w:r w:rsidR="004F454E">
          <w:rPr>
            <w:noProof/>
            <w:webHidden/>
          </w:rPr>
          <w:instrText xml:space="preserve"> PAGEREF _Toc354313916 \h </w:instrText>
        </w:r>
        <w:r>
          <w:rPr>
            <w:noProof/>
            <w:webHidden/>
          </w:rPr>
        </w:r>
        <w:r>
          <w:rPr>
            <w:noProof/>
            <w:webHidden/>
          </w:rPr>
          <w:fldChar w:fldCharType="separate"/>
        </w:r>
        <w:r w:rsidR="004F454E">
          <w:rPr>
            <w:noProof/>
            <w:webHidden/>
          </w:rPr>
          <w:t>199</w:t>
        </w:r>
        <w:r>
          <w:rPr>
            <w:noProof/>
            <w:webHidden/>
          </w:rPr>
          <w:fldChar w:fldCharType="end"/>
        </w:r>
      </w:hyperlink>
    </w:p>
    <w:p w:rsidR="004F454E" w:rsidRDefault="00DF50D8">
      <w:pPr>
        <w:pStyle w:val="TM1"/>
        <w:tabs>
          <w:tab w:val="left" w:pos="660"/>
          <w:tab w:val="right" w:leader="dot" w:pos="9062"/>
        </w:tabs>
        <w:rPr>
          <w:rFonts w:asciiTheme="minorHAnsi" w:eastAsiaTheme="minorEastAsia" w:hAnsiTheme="minorHAnsi" w:cstheme="minorBidi"/>
          <w:b w:val="0"/>
          <w:bCs w:val="0"/>
          <w:caps w:val="0"/>
          <w:noProof/>
          <w:sz w:val="22"/>
          <w:szCs w:val="22"/>
          <w:lang w:val="en-US" w:eastAsia="en-US"/>
        </w:rPr>
      </w:pPr>
      <w:hyperlink w:anchor="_Toc354313917" w:history="1">
        <w:r w:rsidR="004F454E" w:rsidRPr="00762F94">
          <w:rPr>
            <w:rStyle w:val="Lienhypertexte"/>
            <w:rFonts w:cs="Arial"/>
            <w:noProof/>
          </w:rPr>
          <w:t>14.</w:t>
        </w:r>
        <w:r w:rsidR="004F454E">
          <w:rPr>
            <w:rFonts w:asciiTheme="minorHAnsi" w:eastAsiaTheme="minorEastAsia" w:hAnsiTheme="minorHAnsi" w:cstheme="minorBidi"/>
            <w:b w:val="0"/>
            <w:bCs w:val="0"/>
            <w:caps w:val="0"/>
            <w:noProof/>
            <w:sz w:val="22"/>
            <w:szCs w:val="22"/>
            <w:lang w:val="en-US" w:eastAsia="en-US"/>
          </w:rPr>
          <w:tab/>
        </w:r>
        <w:r w:rsidR="004F454E" w:rsidRPr="00762F94">
          <w:rPr>
            <w:rStyle w:val="Lienhypertexte"/>
            <w:rFonts w:cs="Arial"/>
            <w:noProof/>
          </w:rPr>
          <w:t>Valorisation des activités des ménages agricoles</w:t>
        </w:r>
        <w:r w:rsidR="004F454E">
          <w:rPr>
            <w:noProof/>
            <w:webHidden/>
          </w:rPr>
          <w:tab/>
        </w:r>
        <w:r>
          <w:rPr>
            <w:noProof/>
            <w:webHidden/>
          </w:rPr>
          <w:fldChar w:fldCharType="begin"/>
        </w:r>
        <w:r w:rsidR="004F454E">
          <w:rPr>
            <w:noProof/>
            <w:webHidden/>
          </w:rPr>
          <w:instrText xml:space="preserve"> PAGEREF _Toc354313917 \h </w:instrText>
        </w:r>
        <w:r>
          <w:rPr>
            <w:noProof/>
            <w:webHidden/>
          </w:rPr>
        </w:r>
        <w:r>
          <w:rPr>
            <w:noProof/>
            <w:webHidden/>
          </w:rPr>
          <w:fldChar w:fldCharType="separate"/>
        </w:r>
        <w:r w:rsidR="004F454E">
          <w:rPr>
            <w:noProof/>
            <w:webHidden/>
          </w:rPr>
          <w:t>202</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918" w:history="1">
        <w:r w:rsidR="004F454E" w:rsidRPr="00762F94">
          <w:rPr>
            <w:rStyle w:val="Lienhypertexte"/>
            <w:rFonts w:cs="Arial"/>
            <w:noProof/>
          </w:rPr>
          <w:t>14.1.</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Valorisation de la production par les prix au producteur</w:t>
        </w:r>
        <w:r w:rsidR="004F454E">
          <w:rPr>
            <w:noProof/>
            <w:webHidden/>
          </w:rPr>
          <w:tab/>
        </w:r>
        <w:r>
          <w:rPr>
            <w:noProof/>
            <w:webHidden/>
          </w:rPr>
          <w:fldChar w:fldCharType="begin"/>
        </w:r>
        <w:r w:rsidR="004F454E">
          <w:rPr>
            <w:noProof/>
            <w:webHidden/>
          </w:rPr>
          <w:instrText xml:space="preserve"> PAGEREF _Toc354313918 \h </w:instrText>
        </w:r>
        <w:r>
          <w:rPr>
            <w:noProof/>
            <w:webHidden/>
          </w:rPr>
        </w:r>
        <w:r>
          <w:rPr>
            <w:noProof/>
            <w:webHidden/>
          </w:rPr>
          <w:fldChar w:fldCharType="separate"/>
        </w:r>
        <w:r w:rsidR="004F454E">
          <w:rPr>
            <w:noProof/>
            <w:webHidden/>
          </w:rPr>
          <w:t>202</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919" w:history="1">
        <w:r w:rsidR="004F454E" w:rsidRPr="00762F94">
          <w:rPr>
            <w:rStyle w:val="Lienhypertexte"/>
            <w:rFonts w:cs="Arial"/>
            <w:noProof/>
          </w:rPr>
          <w:t>14.2.</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Valorisation des activités de pêche, apiculture et sylviculture</w:t>
        </w:r>
        <w:r w:rsidR="004F454E">
          <w:rPr>
            <w:noProof/>
            <w:webHidden/>
          </w:rPr>
          <w:tab/>
        </w:r>
        <w:r>
          <w:rPr>
            <w:noProof/>
            <w:webHidden/>
          </w:rPr>
          <w:fldChar w:fldCharType="begin"/>
        </w:r>
        <w:r w:rsidR="004F454E">
          <w:rPr>
            <w:noProof/>
            <w:webHidden/>
          </w:rPr>
          <w:instrText xml:space="preserve"> PAGEREF _Toc354313919 \h </w:instrText>
        </w:r>
        <w:r>
          <w:rPr>
            <w:noProof/>
            <w:webHidden/>
          </w:rPr>
        </w:r>
        <w:r>
          <w:rPr>
            <w:noProof/>
            <w:webHidden/>
          </w:rPr>
          <w:fldChar w:fldCharType="separate"/>
        </w:r>
        <w:r w:rsidR="004F454E">
          <w:rPr>
            <w:noProof/>
            <w:webHidden/>
          </w:rPr>
          <w:t>203</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920" w:history="1">
        <w:r w:rsidR="004F454E" w:rsidRPr="00762F94">
          <w:rPr>
            <w:rStyle w:val="Lienhypertexte"/>
            <w:rFonts w:cs="Arial"/>
            <w:noProof/>
          </w:rPr>
          <w:t>14.3.</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Revenus des activités non agricoles</w:t>
        </w:r>
        <w:r w:rsidR="004F454E">
          <w:rPr>
            <w:noProof/>
            <w:webHidden/>
          </w:rPr>
          <w:tab/>
        </w:r>
        <w:r>
          <w:rPr>
            <w:noProof/>
            <w:webHidden/>
          </w:rPr>
          <w:fldChar w:fldCharType="begin"/>
        </w:r>
        <w:r w:rsidR="004F454E">
          <w:rPr>
            <w:noProof/>
            <w:webHidden/>
          </w:rPr>
          <w:instrText xml:space="preserve"> PAGEREF _Toc354313920 \h </w:instrText>
        </w:r>
        <w:r>
          <w:rPr>
            <w:noProof/>
            <w:webHidden/>
          </w:rPr>
        </w:r>
        <w:r>
          <w:rPr>
            <w:noProof/>
            <w:webHidden/>
          </w:rPr>
          <w:fldChar w:fldCharType="separate"/>
        </w:r>
        <w:r w:rsidR="004F454E">
          <w:rPr>
            <w:noProof/>
            <w:webHidden/>
          </w:rPr>
          <w:t>204</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921" w:history="1">
        <w:r w:rsidR="004F454E" w:rsidRPr="00762F94">
          <w:rPr>
            <w:rStyle w:val="Lienhypertexte"/>
            <w:rFonts w:cs="Arial"/>
            <w:noProof/>
          </w:rPr>
          <w:t>14.4.</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Valeur totale des activités des ménages agricoles</w:t>
        </w:r>
        <w:r w:rsidR="004F454E">
          <w:rPr>
            <w:noProof/>
            <w:webHidden/>
          </w:rPr>
          <w:tab/>
        </w:r>
        <w:r>
          <w:rPr>
            <w:noProof/>
            <w:webHidden/>
          </w:rPr>
          <w:fldChar w:fldCharType="begin"/>
        </w:r>
        <w:r w:rsidR="004F454E">
          <w:rPr>
            <w:noProof/>
            <w:webHidden/>
          </w:rPr>
          <w:instrText xml:space="preserve"> PAGEREF _Toc354313921 \h </w:instrText>
        </w:r>
        <w:r>
          <w:rPr>
            <w:noProof/>
            <w:webHidden/>
          </w:rPr>
        </w:r>
        <w:r>
          <w:rPr>
            <w:noProof/>
            <w:webHidden/>
          </w:rPr>
          <w:fldChar w:fldCharType="separate"/>
        </w:r>
        <w:r w:rsidR="004F454E">
          <w:rPr>
            <w:noProof/>
            <w:webHidden/>
          </w:rPr>
          <w:t>205</w:t>
        </w:r>
        <w:r>
          <w:rPr>
            <w:noProof/>
            <w:webHidden/>
          </w:rPr>
          <w:fldChar w:fldCharType="end"/>
        </w:r>
      </w:hyperlink>
    </w:p>
    <w:p w:rsidR="004F454E" w:rsidRDefault="00DF50D8">
      <w:pPr>
        <w:pStyle w:val="TM1"/>
        <w:tabs>
          <w:tab w:val="left" w:pos="660"/>
          <w:tab w:val="right" w:leader="dot" w:pos="9062"/>
        </w:tabs>
        <w:rPr>
          <w:rFonts w:asciiTheme="minorHAnsi" w:eastAsiaTheme="minorEastAsia" w:hAnsiTheme="minorHAnsi" w:cstheme="minorBidi"/>
          <w:b w:val="0"/>
          <w:bCs w:val="0"/>
          <w:caps w:val="0"/>
          <w:noProof/>
          <w:sz w:val="22"/>
          <w:szCs w:val="22"/>
          <w:lang w:val="en-US" w:eastAsia="en-US"/>
        </w:rPr>
      </w:pPr>
      <w:hyperlink w:anchor="_Toc354313922" w:history="1">
        <w:r w:rsidR="004F454E" w:rsidRPr="00762F94">
          <w:rPr>
            <w:rStyle w:val="Lienhypertexte"/>
            <w:rFonts w:cs="Arial"/>
            <w:noProof/>
          </w:rPr>
          <w:t>15.</w:t>
        </w:r>
        <w:r w:rsidR="004F454E">
          <w:rPr>
            <w:rFonts w:asciiTheme="minorHAnsi" w:eastAsiaTheme="minorEastAsia" w:hAnsiTheme="minorHAnsi" w:cstheme="minorBidi"/>
            <w:b w:val="0"/>
            <w:bCs w:val="0"/>
            <w:caps w:val="0"/>
            <w:noProof/>
            <w:sz w:val="22"/>
            <w:szCs w:val="22"/>
            <w:lang w:val="en-US" w:eastAsia="en-US"/>
          </w:rPr>
          <w:tab/>
        </w:r>
        <w:r w:rsidR="004F454E" w:rsidRPr="00762F94">
          <w:rPr>
            <w:rStyle w:val="Lienhypertexte"/>
            <w:rFonts w:cs="Arial"/>
            <w:noProof/>
          </w:rPr>
          <w:t>Principaux résultats par genre</w:t>
        </w:r>
        <w:r w:rsidR="004F454E">
          <w:rPr>
            <w:noProof/>
            <w:webHidden/>
          </w:rPr>
          <w:tab/>
        </w:r>
        <w:r>
          <w:rPr>
            <w:noProof/>
            <w:webHidden/>
          </w:rPr>
          <w:fldChar w:fldCharType="begin"/>
        </w:r>
        <w:r w:rsidR="004F454E">
          <w:rPr>
            <w:noProof/>
            <w:webHidden/>
          </w:rPr>
          <w:instrText xml:space="preserve"> PAGEREF _Toc354313922 \h </w:instrText>
        </w:r>
        <w:r>
          <w:rPr>
            <w:noProof/>
            <w:webHidden/>
          </w:rPr>
        </w:r>
        <w:r>
          <w:rPr>
            <w:noProof/>
            <w:webHidden/>
          </w:rPr>
          <w:fldChar w:fldCharType="separate"/>
        </w:r>
        <w:r w:rsidR="004F454E">
          <w:rPr>
            <w:noProof/>
            <w:webHidden/>
          </w:rPr>
          <w:t>207</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923" w:history="1">
        <w:r w:rsidR="004F454E" w:rsidRPr="00762F94">
          <w:rPr>
            <w:rStyle w:val="Lienhypertexte"/>
            <w:rFonts w:cs="Arial"/>
            <w:noProof/>
          </w:rPr>
          <w:t>15.1.</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Démographie des ménages agricoles</w:t>
        </w:r>
        <w:r w:rsidR="004F454E">
          <w:rPr>
            <w:noProof/>
            <w:webHidden/>
          </w:rPr>
          <w:tab/>
        </w:r>
        <w:r>
          <w:rPr>
            <w:noProof/>
            <w:webHidden/>
          </w:rPr>
          <w:fldChar w:fldCharType="begin"/>
        </w:r>
        <w:r w:rsidR="004F454E">
          <w:rPr>
            <w:noProof/>
            <w:webHidden/>
          </w:rPr>
          <w:instrText xml:space="preserve"> PAGEREF _Toc354313923 \h </w:instrText>
        </w:r>
        <w:r>
          <w:rPr>
            <w:noProof/>
            <w:webHidden/>
          </w:rPr>
        </w:r>
        <w:r>
          <w:rPr>
            <w:noProof/>
            <w:webHidden/>
          </w:rPr>
          <w:fldChar w:fldCharType="separate"/>
        </w:r>
        <w:r w:rsidR="004F454E">
          <w:rPr>
            <w:noProof/>
            <w:webHidden/>
          </w:rPr>
          <w:t>207</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924" w:history="1">
        <w:r w:rsidR="004F454E" w:rsidRPr="00762F94">
          <w:rPr>
            <w:rStyle w:val="Lienhypertexte"/>
            <w:rFonts w:cs="Arial"/>
            <w:noProof/>
          </w:rPr>
          <w:t>15.2.</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Taux de pratique des cultures des ménages selon le sexe du CM et par saison</w:t>
        </w:r>
        <w:r w:rsidR="004F454E">
          <w:rPr>
            <w:noProof/>
            <w:webHidden/>
          </w:rPr>
          <w:tab/>
        </w:r>
        <w:r>
          <w:rPr>
            <w:noProof/>
            <w:webHidden/>
          </w:rPr>
          <w:fldChar w:fldCharType="begin"/>
        </w:r>
        <w:r w:rsidR="004F454E">
          <w:rPr>
            <w:noProof/>
            <w:webHidden/>
          </w:rPr>
          <w:instrText xml:space="preserve"> PAGEREF _Toc354313924 \h </w:instrText>
        </w:r>
        <w:r>
          <w:rPr>
            <w:noProof/>
            <w:webHidden/>
          </w:rPr>
        </w:r>
        <w:r>
          <w:rPr>
            <w:noProof/>
            <w:webHidden/>
          </w:rPr>
          <w:fldChar w:fldCharType="separate"/>
        </w:r>
        <w:r w:rsidR="004F454E">
          <w:rPr>
            <w:noProof/>
            <w:webHidden/>
          </w:rPr>
          <w:t>209</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925" w:history="1">
        <w:r w:rsidR="004F454E" w:rsidRPr="00762F94">
          <w:rPr>
            <w:rStyle w:val="Lienhypertexte"/>
            <w:rFonts w:cs="Arial"/>
            <w:noProof/>
          </w:rPr>
          <w:t>15.3.</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Superficie cultivée des ménages selon le sexe du CM et par saison</w:t>
        </w:r>
        <w:r w:rsidR="004F454E">
          <w:rPr>
            <w:noProof/>
            <w:webHidden/>
          </w:rPr>
          <w:tab/>
        </w:r>
        <w:r>
          <w:rPr>
            <w:noProof/>
            <w:webHidden/>
          </w:rPr>
          <w:fldChar w:fldCharType="begin"/>
        </w:r>
        <w:r w:rsidR="004F454E">
          <w:rPr>
            <w:noProof/>
            <w:webHidden/>
          </w:rPr>
          <w:instrText xml:space="preserve"> PAGEREF _Toc354313925 \h </w:instrText>
        </w:r>
        <w:r>
          <w:rPr>
            <w:noProof/>
            <w:webHidden/>
          </w:rPr>
        </w:r>
        <w:r>
          <w:rPr>
            <w:noProof/>
            <w:webHidden/>
          </w:rPr>
          <w:fldChar w:fldCharType="separate"/>
        </w:r>
        <w:r w:rsidR="004F454E">
          <w:rPr>
            <w:noProof/>
            <w:webHidden/>
          </w:rPr>
          <w:t>209</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926" w:history="1">
        <w:r w:rsidR="004F454E" w:rsidRPr="00762F94">
          <w:rPr>
            <w:rStyle w:val="Lienhypertexte"/>
            <w:rFonts w:cs="Arial"/>
            <w:noProof/>
          </w:rPr>
          <w:t>15.4.</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Productions des ménages selon le sexe du CM et par saison</w:t>
        </w:r>
        <w:r w:rsidR="004F454E">
          <w:rPr>
            <w:noProof/>
            <w:webHidden/>
          </w:rPr>
          <w:tab/>
        </w:r>
        <w:r>
          <w:rPr>
            <w:noProof/>
            <w:webHidden/>
          </w:rPr>
          <w:fldChar w:fldCharType="begin"/>
        </w:r>
        <w:r w:rsidR="004F454E">
          <w:rPr>
            <w:noProof/>
            <w:webHidden/>
          </w:rPr>
          <w:instrText xml:space="preserve"> PAGEREF _Toc354313926 \h </w:instrText>
        </w:r>
        <w:r>
          <w:rPr>
            <w:noProof/>
            <w:webHidden/>
          </w:rPr>
        </w:r>
        <w:r>
          <w:rPr>
            <w:noProof/>
            <w:webHidden/>
          </w:rPr>
          <w:fldChar w:fldCharType="separate"/>
        </w:r>
        <w:r w:rsidR="004F454E">
          <w:rPr>
            <w:noProof/>
            <w:webHidden/>
          </w:rPr>
          <w:t>212</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927" w:history="1">
        <w:r w:rsidR="004F454E" w:rsidRPr="00762F94">
          <w:rPr>
            <w:rStyle w:val="Lienhypertexte"/>
            <w:rFonts w:cs="Arial"/>
            <w:noProof/>
          </w:rPr>
          <w:t>15.5.</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Elevage des ménages selon le sexe du CM et par type de bétail</w:t>
        </w:r>
        <w:r w:rsidR="004F454E">
          <w:rPr>
            <w:noProof/>
            <w:webHidden/>
          </w:rPr>
          <w:tab/>
        </w:r>
        <w:r>
          <w:rPr>
            <w:noProof/>
            <w:webHidden/>
          </w:rPr>
          <w:fldChar w:fldCharType="begin"/>
        </w:r>
        <w:r w:rsidR="004F454E">
          <w:rPr>
            <w:noProof/>
            <w:webHidden/>
          </w:rPr>
          <w:instrText xml:space="preserve"> PAGEREF _Toc354313927 \h </w:instrText>
        </w:r>
        <w:r>
          <w:rPr>
            <w:noProof/>
            <w:webHidden/>
          </w:rPr>
        </w:r>
        <w:r>
          <w:rPr>
            <w:noProof/>
            <w:webHidden/>
          </w:rPr>
          <w:fldChar w:fldCharType="separate"/>
        </w:r>
        <w:r w:rsidR="004F454E">
          <w:rPr>
            <w:noProof/>
            <w:webHidden/>
          </w:rPr>
          <w:t>214</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928" w:history="1">
        <w:r w:rsidR="004F454E" w:rsidRPr="00762F94">
          <w:rPr>
            <w:rStyle w:val="Lienhypertexte"/>
            <w:rFonts w:cs="Arial"/>
            <w:noProof/>
          </w:rPr>
          <w:t>15.6.</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Proportion de ménages utilisant des engrais chimiques par sexe du CM</w:t>
        </w:r>
        <w:r w:rsidR="004F454E">
          <w:rPr>
            <w:noProof/>
            <w:webHidden/>
          </w:rPr>
          <w:tab/>
        </w:r>
        <w:r>
          <w:rPr>
            <w:noProof/>
            <w:webHidden/>
          </w:rPr>
          <w:fldChar w:fldCharType="begin"/>
        </w:r>
        <w:r w:rsidR="004F454E">
          <w:rPr>
            <w:noProof/>
            <w:webHidden/>
          </w:rPr>
          <w:instrText xml:space="preserve"> PAGEREF _Toc354313928 \h </w:instrText>
        </w:r>
        <w:r>
          <w:rPr>
            <w:noProof/>
            <w:webHidden/>
          </w:rPr>
        </w:r>
        <w:r>
          <w:rPr>
            <w:noProof/>
            <w:webHidden/>
          </w:rPr>
          <w:fldChar w:fldCharType="separate"/>
        </w:r>
        <w:r w:rsidR="004F454E">
          <w:rPr>
            <w:noProof/>
            <w:webHidden/>
          </w:rPr>
          <w:t>217</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929" w:history="1">
        <w:r w:rsidR="004F454E" w:rsidRPr="00762F94">
          <w:rPr>
            <w:rStyle w:val="Lienhypertexte"/>
            <w:rFonts w:cs="Arial"/>
            <w:noProof/>
          </w:rPr>
          <w:t>15.7.</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Proportion des ménages adhérant à une organisation professionnelle (OP) par sexe du CM</w:t>
        </w:r>
        <w:r w:rsidR="004F454E">
          <w:rPr>
            <w:noProof/>
            <w:webHidden/>
          </w:rPr>
          <w:tab/>
        </w:r>
        <w:r>
          <w:rPr>
            <w:noProof/>
            <w:webHidden/>
          </w:rPr>
          <w:fldChar w:fldCharType="begin"/>
        </w:r>
        <w:r w:rsidR="004F454E">
          <w:rPr>
            <w:noProof/>
            <w:webHidden/>
          </w:rPr>
          <w:instrText xml:space="preserve"> PAGEREF _Toc354313929 \h </w:instrText>
        </w:r>
        <w:r>
          <w:rPr>
            <w:noProof/>
            <w:webHidden/>
          </w:rPr>
        </w:r>
        <w:r>
          <w:rPr>
            <w:noProof/>
            <w:webHidden/>
          </w:rPr>
          <w:fldChar w:fldCharType="separate"/>
        </w:r>
        <w:r w:rsidR="004F454E">
          <w:rPr>
            <w:noProof/>
            <w:webHidden/>
          </w:rPr>
          <w:t>218</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930" w:history="1">
        <w:r w:rsidR="004F454E" w:rsidRPr="00762F94">
          <w:rPr>
            <w:rStyle w:val="Lienhypertexte"/>
            <w:rFonts w:cs="Arial"/>
            <w:noProof/>
          </w:rPr>
          <w:t>15.8.</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Proportion des ménages encadrés par sexe du CM</w:t>
        </w:r>
        <w:r w:rsidR="004F454E">
          <w:rPr>
            <w:noProof/>
            <w:webHidden/>
          </w:rPr>
          <w:tab/>
        </w:r>
        <w:r>
          <w:rPr>
            <w:noProof/>
            <w:webHidden/>
          </w:rPr>
          <w:fldChar w:fldCharType="begin"/>
        </w:r>
        <w:r w:rsidR="004F454E">
          <w:rPr>
            <w:noProof/>
            <w:webHidden/>
          </w:rPr>
          <w:instrText xml:space="preserve"> PAGEREF _Toc354313930 \h </w:instrText>
        </w:r>
        <w:r>
          <w:rPr>
            <w:noProof/>
            <w:webHidden/>
          </w:rPr>
        </w:r>
        <w:r>
          <w:rPr>
            <w:noProof/>
            <w:webHidden/>
          </w:rPr>
          <w:fldChar w:fldCharType="separate"/>
        </w:r>
        <w:r w:rsidR="004F454E">
          <w:rPr>
            <w:noProof/>
            <w:webHidden/>
          </w:rPr>
          <w:t>220</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931" w:history="1">
        <w:r w:rsidR="004F454E" w:rsidRPr="00762F94">
          <w:rPr>
            <w:rStyle w:val="Lienhypertexte"/>
            <w:rFonts w:cs="Arial"/>
            <w:noProof/>
          </w:rPr>
          <w:t>15.9.</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Valeur  des activités des ménages agricoles selon le sexe du CM</w:t>
        </w:r>
        <w:r w:rsidR="004F454E">
          <w:rPr>
            <w:noProof/>
            <w:webHidden/>
          </w:rPr>
          <w:tab/>
        </w:r>
        <w:r>
          <w:rPr>
            <w:noProof/>
            <w:webHidden/>
          </w:rPr>
          <w:fldChar w:fldCharType="begin"/>
        </w:r>
        <w:r w:rsidR="004F454E">
          <w:rPr>
            <w:noProof/>
            <w:webHidden/>
          </w:rPr>
          <w:instrText xml:space="preserve"> PAGEREF _Toc354313931 \h </w:instrText>
        </w:r>
        <w:r>
          <w:rPr>
            <w:noProof/>
            <w:webHidden/>
          </w:rPr>
        </w:r>
        <w:r>
          <w:rPr>
            <w:noProof/>
            <w:webHidden/>
          </w:rPr>
          <w:fldChar w:fldCharType="separate"/>
        </w:r>
        <w:r w:rsidR="004F454E">
          <w:rPr>
            <w:noProof/>
            <w:webHidden/>
          </w:rPr>
          <w:t>221</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932" w:history="1">
        <w:r w:rsidR="004F454E" w:rsidRPr="00762F94">
          <w:rPr>
            <w:rStyle w:val="Lienhypertexte"/>
            <w:rFonts w:cs="Arial"/>
            <w:noProof/>
          </w:rPr>
          <w:t>15.9.1.</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Valeur des activités des ménages dirigés par des hommes</w:t>
        </w:r>
        <w:r w:rsidR="004F454E">
          <w:rPr>
            <w:noProof/>
            <w:webHidden/>
          </w:rPr>
          <w:tab/>
        </w:r>
        <w:r>
          <w:rPr>
            <w:noProof/>
            <w:webHidden/>
          </w:rPr>
          <w:fldChar w:fldCharType="begin"/>
        </w:r>
        <w:r w:rsidR="004F454E">
          <w:rPr>
            <w:noProof/>
            <w:webHidden/>
          </w:rPr>
          <w:instrText xml:space="preserve"> PAGEREF _Toc354313932 \h </w:instrText>
        </w:r>
        <w:r>
          <w:rPr>
            <w:noProof/>
            <w:webHidden/>
          </w:rPr>
        </w:r>
        <w:r>
          <w:rPr>
            <w:noProof/>
            <w:webHidden/>
          </w:rPr>
          <w:fldChar w:fldCharType="separate"/>
        </w:r>
        <w:r w:rsidR="004F454E">
          <w:rPr>
            <w:noProof/>
            <w:webHidden/>
          </w:rPr>
          <w:t>221</w:t>
        </w:r>
        <w:r>
          <w:rPr>
            <w:noProof/>
            <w:webHidden/>
          </w:rPr>
          <w:fldChar w:fldCharType="end"/>
        </w:r>
      </w:hyperlink>
    </w:p>
    <w:p w:rsidR="004F454E" w:rsidRDefault="00DF50D8">
      <w:pPr>
        <w:pStyle w:val="TM3"/>
        <w:tabs>
          <w:tab w:val="left" w:pos="1320"/>
          <w:tab w:val="right" w:leader="dot" w:pos="9062"/>
        </w:tabs>
        <w:rPr>
          <w:rFonts w:asciiTheme="minorHAnsi" w:eastAsiaTheme="minorEastAsia" w:hAnsiTheme="minorHAnsi" w:cstheme="minorBidi"/>
          <w:i w:val="0"/>
          <w:iCs w:val="0"/>
          <w:noProof/>
          <w:sz w:val="22"/>
          <w:szCs w:val="22"/>
          <w:lang w:val="en-US" w:eastAsia="en-US"/>
        </w:rPr>
      </w:pPr>
      <w:hyperlink w:anchor="_Toc354313933" w:history="1">
        <w:r w:rsidR="004F454E" w:rsidRPr="00762F94">
          <w:rPr>
            <w:rStyle w:val="Lienhypertexte"/>
            <w:rFonts w:cs="Arial"/>
            <w:noProof/>
          </w:rPr>
          <w:t>15.9.2.</w:t>
        </w:r>
        <w:r w:rsidR="004F454E">
          <w:rPr>
            <w:rFonts w:asciiTheme="minorHAnsi" w:eastAsiaTheme="minorEastAsia" w:hAnsiTheme="minorHAnsi" w:cstheme="minorBidi"/>
            <w:i w:val="0"/>
            <w:iCs w:val="0"/>
            <w:noProof/>
            <w:sz w:val="22"/>
            <w:szCs w:val="22"/>
            <w:lang w:val="en-US" w:eastAsia="en-US"/>
          </w:rPr>
          <w:tab/>
        </w:r>
        <w:r w:rsidR="004F454E" w:rsidRPr="00762F94">
          <w:rPr>
            <w:rStyle w:val="Lienhypertexte"/>
            <w:rFonts w:cs="Arial"/>
            <w:noProof/>
          </w:rPr>
          <w:t>Valeur des activités des ménages dirigés par des femmes</w:t>
        </w:r>
        <w:r w:rsidR="004F454E">
          <w:rPr>
            <w:noProof/>
            <w:webHidden/>
          </w:rPr>
          <w:tab/>
        </w:r>
        <w:r>
          <w:rPr>
            <w:noProof/>
            <w:webHidden/>
          </w:rPr>
          <w:fldChar w:fldCharType="begin"/>
        </w:r>
        <w:r w:rsidR="004F454E">
          <w:rPr>
            <w:noProof/>
            <w:webHidden/>
          </w:rPr>
          <w:instrText xml:space="preserve"> PAGEREF _Toc354313933 \h </w:instrText>
        </w:r>
        <w:r>
          <w:rPr>
            <w:noProof/>
            <w:webHidden/>
          </w:rPr>
        </w:r>
        <w:r>
          <w:rPr>
            <w:noProof/>
            <w:webHidden/>
          </w:rPr>
          <w:fldChar w:fldCharType="separate"/>
        </w:r>
        <w:r w:rsidR="004F454E">
          <w:rPr>
            <w:noProof/>
            <w:webHidden/>
          </w:rPr>
          <w:t>222</w:t>
        </w:r>
        <w:r>
          <w:rPr>
            <w:noProof/>
            <w:webHidden/>
          </w:rPr>
          <w:fldChar w:fldCharType="end"/>
        </w:r>
      </w:hyperlink>
    </w:p>
    <w:p w:rsidR="004F454E" w:rsidRDefault="00DF50D8">
      <w:pPr>
        <w:pStyle w:val="TM1"/>
        <w:tabs>
          <w:tab w:val="left" w:pos="660"/>
          <w:tab w:val="right" w:leader="dot" w:pos="9062"/>
        </w:tabs>
        <w:rPr>
          <w:rFonts w:asciiTheme="minorHAnsi" w:eastAsiaTheme="minorEastAsia" w:hAnsiTheme="minorHAnsi" w:cstheme="minorBidi"/>
          <w:b w:val="0"/>
          <w:bCs w:val="0"/>
          <w:caps w:val="0"/>
          <w:noProof/>
          <w:sz w:val="22"/>
          <w:szCs w:val="22"/>
          <w:lang w:val="en-US" w:eastAsia="en-US"/>
        </w:rPr>
      </w:pPr>
      <w:hyperlink w:anchor="_Toc354313934" w:history="1">
        <w:r w:rsidR="004F454E" w:rsidRPr="00762F94">
          <w:rPr>
            <w:rStyle w:val="Lienhypertexte"/>
            <w:rFonts w:cs="Arial"/>
            <w:noProof/>
          </w:rPr>
          <w:t>16.</w:t>
        </w:r>
        <w:r w:rsidR="004F454E">
          <w:rPr>
            <w:rFonts w:asciiTheme="minorHAnsi" w:eastAsiaTheme="minorEastAsia" w:hAnsiTheme="minorHAnsi" w:cstheme="minorBidi"/>
            <w:b w:val="0"/>
            <w:bCs w:val="0"/>
            <w:caps w:val="0"/>
            <w:noProof/>
            <w:sz w:val="22"/>
            <w:szCs w:val="22"/>
            <w:lang w:val="en-US" w:eastAsia="en-US"/>
          </w:rPr>
          <w:tab/>
        </w:r>
        <w:r w:rsidR="004F454E" w:rsidRPr="00762F94">
          <w:rPr>
            <w:rStyle w:val="Lienhypertexte"/>
            <w:rFonts w:cs="Arial"/>
            <w:noProof/>
          </w:rPr>
          <w:t>Annexe 1 : Note sur l’estimation des superficies et productions</w:t>
        </w:r>
        <w:r w:rsidR="004F454E">
          <w:rPr>
            <w:noProof/>
            <w:webHidden/>
          </w:rPr>
          <w:tab/>
        </w:r>
        <w:r>
          <w:rPr>
            <w:noProof/>
            <w:webHidden/>
          </w:rPr>
          <w:fldChar w:fldCharType="begin"/>
        </w:r>
        <w:r w:rsidR="004F454E">
          <w:rPr>
            <w:noProof/>
            <w:webHidden/>
          </w:rPr>
          <w:instrText xml:space="preserve"> PAGEREF _Toc354313934 \h </w:instrText>
        </w:r>
        <w:r>
          <w:rPr>
            <w:noProof/>
            <w:webHidden/>
          </w:rPr>
        </w:r>
        <w:r>
          <w:rPr>
            <w:noProof/>
            <w:webHidden/>
          </w:rPr>
          <w:fldChar w:fldCharType="separate"/>
        </w:r>
        <w:r w:rsidR="004F454E">
          <w:rPr>
            <w:noProof/>
            <w:webHidden/>
          </w:rPr>
          <w:t>224</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935" w:history="1">
        <w:r w:rsidR="004F454E" w:rsidRPr="00762F94">
          <w:rPr>
            <w:rStyle w:val="Lienhypertexte"/>
            <w:rFonts w:cs="Arial"/>
            <w:noProof/>
            <w:lang w:val="fr-BE"/>
          </w:rPr>
          <w:t>1.4</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Estimation de la superficie par culture</w:t>
        </w:r>
        <w:r w:rsidR="004F454E">
          <w:rPr>
            <w:noProof/>
            <w:webHidden/>
          </w:rPr>
          <w:tab/>
        </w:r>
        <w:r>
          <w:rPr>
            <w:noProof/>
            <w:webHidden/>
          </w:rPr>
          <w:fldChar w:fldCharType="begin"/>
        </w:r>
        <w:r w:rsidR="004F454E">
          <w:rPr>
            <w:noProof/>
            <w:webHidden/>
          </w:rPr>
          <w:instrText xml:space="preserve"> PAGEREF _Toc354313935 \h </w:instrText>
        </w:r>
        <w:r>
          <w:rPr>
            <w:noProof/>
            <w:webHidden/>
          </w:rPr>
        </w:r>
        <w:r>
          <w:rPr>
            <w:noProof/>
            <w:webHidden/>
          </w:rPr>
          <w:fldChar w:fldCharType="separate"/>
        </w:r>
        <w:r w:rsidR="004F454E">
          <w:rPr>
            <w:noProof/>
            <w:webHidden/>
          </w:rPr>
          <w:t>224</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936" w:history="1">
        <w:r w:rsidR="004F454E" w:rsidRPr="00762F94">
          <w:rPr>
            <w:rStyle w:val="Lienhypertexte"/>
            <w:rFonts w:cs="Arial"/>
            <w:noProof/>
            <w:lang w:val="fr-BE"/>
          </w:rPr>
          <w:t>1.5</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Estimation de la production</w:t>
        </w:r>
        <w:r w:rsidR="004F454E">
          <w:rPr>
            <w:noProof/>
            <w:webHidden/>
          </w:rPr>
          <w:tab/>
        </w:r>
        <w:r>
          <w:rPr>
            <w:noProof/>
            <w:webHidden/>
          </w:rPr>
          <w:fldChar w:fldCharType="begin"/>
        </w:r>
        <w:r w:rsidR="004F454E">
          <w:rPr>
            <w:noProof/>
            <w:webHidden/>
          </w:rPr>
          <w:instrText xml:space="preserve"> PAGEREF _Toc354313936 \h </w:instrText>
        </w:r>
        <w:r>
          <w:rPr>
            <w:noProof/>
            <w:webHidden/>
          </w:rPr>
        </w:r>
        <w:r>
          <w:rPr>
            <w:noProof/>
            <w:webHidden/>
          </w:rPr>
          <w:fldChar w:fldCharType="separate"/>
        </w:r>
        <w:r w:rsidR="004F454E">
          <w:rPr>
            <w:noProof/>
            <w:webHidden/>
          </w:rPr>
          <w:t>225</w:t>
        </w:r>
        <w:r>
          <w:rPr>
            <w:noProof/>
            <w:webHidden/>
          </w:rPr>
          <w:fldChar w:fldCharType="end"/>
        </w:r>
      </w:hyperlink>
    </w:p>
    <w:p w:rsidR="004F454E" w:rsidRDefault="00DF50D8">
      <w:pPr>
        <w:pStyle w:val="TM1"/>
        <w:tabs>
          <w:tab w:val="left" w:pos="660"/>
          <w:tab w:val="right" w:leader="dot" w:pos="9062"/>
        </w:tabs>
        <w:rPr>
          <w:rFonts w:asciiTheme="minorHAnsi" w:eastAsiaTheme="minorEastAsia" w:hAnsiTheme="minorHAnsi" w:cstheme="minorBidi"/>
          <w:b w:val="0"/>
          <w:bCs w:val="0"/>
          <w:caps w:val="0"/>
          <w:noProof/>
          <w:sz w:val="22"/>
          <w:szCs w:val="22"/>
          <w:lang w:val="en-US" w:eastAsia="en-US"/>
        </w:rPr>
      </w:pPr>
      <w:hyperlink w:anchor="_Toc354313937" w:history="1">
        <w:r w:rsidR="004F454E" w:rsidRPr="00762F94">
          <w:rPr>
            <w:rStyle w:val="Lienhypertexte"/>
            <w:rFonts w:cs="Arial"/>
            <w:noProof/>
          </w:rPr>
          <w:t>17.</w:t>
        </w:r>
        <w:r w:rsidR="004F454E">
          <w:rPr>
            <w:rFonts w:asciiTheme="minorHAnsi" w:eastAsiaTheme="minorEastAsia" w:hAnsiTheme="minorHAnsi" w:cstheme="minorBidi"/>
            <w:b w:val="0"/>
            <w:bCs w:val="0"/>
            <w:caps w:val="0"/>
            <w:noProof/>
            <w:sz w:val="22"/>
            <w:szCs w:val="22"/>
            <w:lang w:val="en-US" w:eastAsia="en-US"/>
          </w:rPr>
          <w:tab/>
        </w:r>
        <w:r w:rsidR="004F454E" w:rsidRPr="00762F94">
          <w:rPr>
            <w:rStyle w:val="Lienhypertexte"/>
            <w:rFonts w:cs="Arial"/>
            <w:noProof/>
          </w:rPr>
          <w:t>Annexe 2 : Prix des produits vivriers en 2012</w:t>
        </w:r>
        <w:r w:rsidR="004F454E">
          <w:rPr>
            <w:noProof/>
            <w:webHidden/>
          </w:rPr>
          <w:tab/>
        </w:r>
        <w:r>
          <w:rPr>
            <w:noProof/>
            <w:webHidden/>
          </w:rPr>
          <w:fldChar w:fldCharType="begin"/>
        </w:r>
        <w:r w:rsidR="004F454E">
          <w:rPr>
            <w:noProof/>
            <w:webHidden/>
          </w:rPr>
          <w:instrText xml:space="preserve"> PAGEREF _Toc354313937 \h </w:instrText>
        </w:r>
        <w:r>
          <w:rPr>
            <w:noProof/>
            <w:webHidden/>
          </w:rPr>
        </w:r>
        <w:r>
          <w:rPr>
            <w:noProof/>
            <w:webHidden/>
          </w:rPr>
          <w:fldChar w:fldCharType="separate"/>
        </w:r>
        <w:r w:rsidR="004F454E">
          <w:rPr>
            <w:noProof/>
            <w:webHidden/>
          </w:rPr>
          <w:t>227</w:t>
        </w:r>
        <w:r>
          <w:rPr>
            <w:noProof/>
            <w:webHidden/>
          </w:rPr>
          <w:fldChar w:fldCharType="end"/>
        </w:r>
      </w:hyperlink>
    </w:p>
    <w:p w:rsidR="004F454E" w:rsidRDefault="00DF50D8">
      <w:pPr>
        <w:pStyle w:val="TM1"/>
        <w:tabs>
          <w:tab w:val="left" w:pos="660"/>
          <w:tab w:val="right" w:leader="dot" w:pos="9062"/>
        </w:tabs>
        <w:rPr>
          <w:rFonts w:asciiTheme="minorHAnsi" w:eastAsiaTheme="minorEastAsia" w:hAnsiTheme="minorHAnsi" w:cstheme="minorBidi"/>
          <w:b w:val="0"/>
          <w:bCs w:val="0"/>
          <w:caps w:val="0"/>
          <w:noProof/>
          <w:sz w:val="22"/>
          <w:szCs w:val="22"/>
          <w:lang w:val="en-US" w:eastAsia="en-US"/>
        </w:rPr>
      </w:pPr>
      <w:hyperlink w:anchor="_Toc354313938" w:history="1">
        <w:r w:rsidR="004F454E" w:rsidRPr="00762F94">
          <w:rPr>
            <w:rStyle w:val="Lienhypertexte"/>
            <w:rFonts w:cs="Arial"/>
            <w:noProof/>
          </w:rPr>
          <w:t>18.</w:t>
        </w:r>
        <w:r w:rsidR="004F454E">
          <w:rPr>
            <w:rFonts w:asciiTheme="minorHAnsi" w:eastAsiaTheme="minorEastAsia" w:hAnsiTheme="minorHAnsi" w:cstheme="minorBidi"/>
            <w:b w:val="0"/>
            <w:bCs w:val="0"/>
            <w:caps w:val="0"/>
            <w:noProof/>
            <w:sz w:val="22"/>
            <w:szCs w:val="22"/>
            <w:lang w:val="en-US" w:eastAsia="en-US"/>
          </w:rPr>
          <w:tab/>
        </w:r>
        <w:r w:rsidR="004F454E" w:rsidRPr="00762F94">
          <w:rPr>
            <w:rStyle w:val="Lienhypertexte"/>
            <w:rFonts w:cs="Arial"/>
            <w:noProof/>
          </w:rPr>
          <w:t>Annexe 3 : Taux de conversion en équivalent céréale</w:t>
        </w:r>
        <w:r w:rsidR="004F454E">
          <w:rPr>
            <w:noProof/>
            <w:webHidden/>
          </w:rPr>
          <w:tab/>
        </w:r>
        <w:r>
          <w:rPr>
            <w:noProof/>
            <w:webHidden/>
          </w:rPr>
          <w:fldChar w:fldCharType="begin"/>
        </w:r>
        <w:r w:rsidR="004F454E">
          <w:rPr>
            <w:noProof/>
            <w:webHidden/>
          </w:rPr>
          <w:instrText xml:space="preserve"> PAGEREF _Toc354313938 \h </w:instrText>
        </w:r>
        <w:r>
          <w:rPr>
            <w:noProof/>
            <w:webHidden/>
          </w:rPr>
        </w:r>
        <w:r>
          <w:rPr>
            <w:noProof/>
            <w:webHidden/>
          </w:rPr>
          <w:fldChar w:fldCharType="separate"/>
        </w:r>
        <w:r w:rsidR="004F454E">
          <w:rPr>
            <w:noProof/>
            <w:webHidden/>
          </w:rPr>
          <w:t>228</w:t>
        </w:r>
        <w:r>
          <w:rPr>
            <w:noProof/>
            <w:webHidden/>
          </w:rPr>
          <w:fldChar w:fldCharType="end"/>
        </w:r>
      </w:hyperlink>
    </w:p>
    <w:p w:rsidR="004F454E" w:rsidRDefault="00DF50D8">
      <w:pPr>
        <w:pStyle w:val="TM1"/>
        <w:tabs>
          <w:tab w:val="left" w:pos="660"/>
          <w:tab w:val="right" w:leader="dot" w:pos="9062"/>
        </w:tabs>
        <w:rPr>
          <w:rFonts w:asciiTheme="minorHAnsi" w:eastAsiaTheme="minorEastAsia" w:hAnsiTheme="minorHAnsi" w:cstheme="minorBidi"/>
          <w:b w:val="0"/>
          <w:bCs w:val="0"/>
          <w:caps w:val="0"/>
          <w:noProof/>
          <w:sz w:val="22"/>
          <w:szCs w:val="22"/>
          <w:lang w:val="en-US" w:eastAsia="en-US"/>
        </w:rPr>
      </w:pPr>
      <w:hyperlink w:anchor="_Toc354313939" w:history="1">
        <w:r w:rsidR="004F454E" w:rsidRPr="00762F94">
          <w:rPr>
            <w:rStyle w:val="Lienhypertexte"/>
            <w:rFonts w:cs="Arial"/>
            <w:noProof/>
          </w:rPr>
          <w:t>19.</w:t>
        </w:r>
        <w:r w:rsidR="004F454E">
          <w:rPr>
            <w:rFonts w:asciiTheme="minorHAnsi" w:eastAsiaTheme="minorEastAsia" w:hAnsiTheme="minorHAnsi" w:cstheme="minorBidi"/>
            <w:b w:val="0"/>
            <w:bCs w:val="0"/>
            <w:caps w:val="0"/>
            <w:noProof/>
            <w:sz w:val="22"/>
            <w:szCs w:val="22"/>
            <w:lang w:val="en-US" w:eastAsia="en-US"/>
          </w:rPr>
          <w:tab/>
        </w:r>
        <w:r w:rsidR="004F454E" w:rsidRPr="00762F94">
          <w:rPr>
            <w:rStyle w:val="Lienhypertexte"/>
            <w:rFonts w:cs="Arial"/>
            <w:noProof/>
          </w:rPr>
          <w:t>Annexe 4 : Erreurs de sondage</w:t>
        </w:r>
        <w:r w:rsidR="004F454E">
          <w:rPr>
            <w:noProof/>
            <w:webHidden/>
          </w:rPr>
          <w:tab/>
        </w:r>
        <w:r>
          <w:rPr>
            <w:noProof/>
            <w:webHidden/>
          </w:rPr>
          <w:fldChar w:fldCharType="begin"/>
        </w:r>
        <w:r w:rsidR="004F454E">
          <w:rPr>
            <w:noProof/>
            <w:webHidden/>
          </w:rPr>
          <w:instrText xml:space="preserve"> PAGEREF _Toc354313939 \h </w:instrText>
        </w:r>
        <w:r>
          <w:rPr>
            <w:noProof/>
            <w:webHidden/>
          </w:rPr>
        </w:r>
        <w:r>
          <w:rPr>
            <w:noProof/>
            <w:webHidden/>
          </w:rPr>
          <w:fldChar w:fldCharType="separate"/>
        </w:r>
        <w:r w:rsidR="004F454E">
          <w:rPr>
            <w:noProof/>
            <w:webHidden/>
          </w:rPr>
          <w:t>229</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940" w:history="1">
        <w:r w:rsidR="004F454E" w:rsidRPr="00762F94">
          <w:rPr>
            <w:rStyle w:val="Lienhypertexte"/>
            <w:rFonts w:cs="Arial"/>
            <w:noProof/>
            <w:lang w:val="fr-BE"/>
          </w:rPr>
          <w:t>1.6</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Saison A</w:t>
        </w:r>
        <w:r w:rsidR="004F454E">
          <w:rPr>
            <w:noProof/>
            <w:webHidden/>
          </w:rPr>
          <w:tab/>
        </w:r>
        <w:r>
          <w:rPr>
            <w:noProof/>
            <w:webHidden/>
          </w:rPr>
          <w:fldChar w:fldCharType="begin"/>
        </w:r>
        <w:r w:rsidR="004F454E">
          <w:rPr>
            <w:noProof/>
            <w:webHidden/>
          </w:rPr>
          <w:instrText xml:space="preserve"> PAGEREF _Toc354313940 \h </w:instrText>
        </w:r>
        <w:r>
          <w:rPr>
            <w:noProof/>
            <w:webHidden/>
          </w:rPr>
        </w:r>
        <w:r>
          <w:rPr>
            <w:noProof/>
            <w:webHidden/>
          </w:rPr>
          <w:fldChar w:fldCharType="separate"/>
        </w:r>
        <w:r w:rsidR="004F454E">
          <w:rPr>
            <w:noProof/>
            <w:webHidden/>
          </w:rPr>
          <w:t>229</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941" w:history="1">
        <w:r w:rsidR="004F454E" w:rsidRPr="00762F94">
          <w:rPr>
            <w:rStyle w:val="Lienhypertexte"/>
            <w:rFonts w:cs="Arial"/>
            <w:noProof/>
            <w:lang w:val="fr-BE"/>
          </w:rPr>
          <w:t>1.7</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Saison B</w:t>
        </w:r>
        <w:r w:rsidR="004F454E">
          <w:rPr>
            <w:noProof/>
            <w:webHidden/>
          </w:rPr>
          <w:tab/>
        </w:r>
        <w:r>
          <w:rPr>
            <w:noProof/>
            <w:webHidden/>
          </w:rPr>
          <w:fldChar w:fldCharType="begin"/>
        </w:r>
        <w:r w:rsidR="004F454E">
          <w:rPr>
            <w:noProof/>
            <w:webHidden/>
          </w:rPr>
          <w:instrText xml:space="preserve"> PAGEREF _Toc354313941 \h </w:instrText>
        </w:r>
        <w:r>
          <w:rPr>
            <w:noProof/>
            <w:webHidden/>
          </w:rPr>
        </w:r>
        <w:r>
          <w:rPr>
            <w:noProof/>
            <w:webHidden/>
          </w:rPr>
          <w:fldChar w:fldCharType="separate"/>
        </w:r>
        <w:r w:rsidR="004F454E">
          <w:rPr>
            <w:noProof/>
            <w:webHidden/>
          </w:rPr>
          <w:t>231</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942" w:history="1">
        <w:r w:rsidR="004F454E" w:rsidRPr="00762F94">
          <w:rPr>
            <w:rStyle w:val="Lienhypertexte"/>
            <w:rFonts w:cs="Arial"/>
            <w:noProof/>
            <w:lang w:val="fr-BE"/>
          </w:rPr>
          <w:t>1.8</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Saison C</w:t>
        </w:r>
        <w:r w:rsidR="004F454E">
          <w:rPr>
            <w:noProof/>
            <w:webHidden/>
          </w:rPr>
          <w:tab/>
        </w:r>
        <w:r>
          <w:rPr>
            <w:noProof/>
            <w:webHidden/>
          </w:rPr>
          <w:fldChar w:fldCharType="begin"/>
        </w:r>
        <w:r w:rsidR="004F454E">
          <w:rPr>
            <w:noProof/>
            <w:webHidden/>
          </w:rPr>
          <w:instrText xml:space="preserve"> PAGEREF _Toc354313942 \h </w:instrText>
        </w:r>
        <w:r>
          <w:rPr>
            <w:noProof/>
            <w:webHidden/>
          </w:rPr>
        </w:r>
        <w:r>
          <w:rPr>
            <w:noProof/>
            <w:webHidden/>
          </w:rPr>
          <w:fldChar w:fldCharType="separate"/>
        </w:r>
        <w:r w:rsidR="004F454E">
          <w:rPr>
            <w:noProof/>
            <w:webHidden/>
          </w:rPr>
          <w:t>233</w:t>
        </w:r>
        <w:r>
          <w:rPr>
            <w:noProof/>
            <w:webHidden/>
          </w:rPr>
          <w:fldChar w:fldCharType="end"/>
        </w:r>
      </w:hyperlink>
    </w:p>
    <w:p w:rsidR="004F454E" w:rsidRDefault="00DF50D8">
      <w:pPr>
        <w:pStyle w:val="TM1"/>
        <w:tabs>
          <w:tab w:val="left" w:pos="660"/>
          <w:tab w:val="right" w:leader="dot" w:pos="9062"/>
        </w:tabs>
        <w:rPr>
          <w:rFonts w:asciiTheme="minorHAnsi" w:eastAsiaTheme="minorEastAsia" w:hAnsiTheme="minorHAnsi" w:cstheme="minorBidi"/>
          <w:b w:val="0"/>
          <w:bCs w:val="0"/>
          <w:caps w:val="0"/>
          <w:noProof/>
          <w:sz w:val="22"/>
          <w:szCs w:val="22"/>
          <w:lang w:val="en-US" w:eastAsia="en-US"/>
        </w:rPr>
      </w:pPr>
      <w:hyperlink w:anchor="_Toc354313943" w:history="1">
        <w:r w:rsidR="004F454E" w:rsidRPr="00762F94">
          <w:rPr>
            <w:rStyle w:val="Lienhypertexte"/>
            <w:rFonts w:cs="Arial"/>
            <w:noProof/>
          </w:rPr>
          <w:t>20.</w:t>
        </w:r>
        <w:r w:rsidR="004F454E">
          <w:rPr>
            <w:rFonts w:asciiTheme="minorHAnsi" w:eastAsiaTheme="minorEastAsia" w:hAnsiTheme="minorHAnsi" w:cstheme="minorBidi"/>
            <w:b w:val="0"/>
            <w:bCs w:val="0"/>
            <w:caps w:val="0"/>
            <w:noProof/>
            <w:sz w:val="22"/>
            <w:szCs w:val="22"/>
            <w:lang w:val="en-US" w:eastAsia="en-US"/>
          </w:rPr>
          <w:tab/>
        </w:r>
        <w:r w:rsidR="004F454E" w:rsidRPr="00762F94">
          <w:rPr>
            <w:rStyle w:val="Lienhypertexte"/>
            <w:rFonts w:cs="Arial"/>
            <w:noProof/>
          </w:rPr>
          <w:t>Annexe 5 : des analyses multivariées (multicritères)</w:t>
        </w:r>
        <w:r w:rsidR="004F454E">
          <w:rPr>
            <w:noProof/>
            <w:webHidden/>
          </w:rPr>
          <w:tab/>
        </w:r>
        <w:r>
          <w:rPr>
            <w:noProof/>
            <w:webHidden/>
          </w:rPr>
          <w:fldChar w:fldCharType="begin"/>
        </w:r>
        <w:r w:rsidR="004F454E">
          <w:rPr>
            <w:noProof/>
            <w:webHidden/>
          </w:rPr>
          <w:instrText xml:space="preserve"> PAGEREF _Toc354313943 \h </w:instrText>
        </w:r>
        <w:r>
          <w:rPr>
            <w:noProof/>
            <w:webHidden/>
          </w:rPr>
        </w:r>
        <w:r>
          <w:rPr>
            <w:noProof/>
            <w:webHidden/>
          </w:rPr>
          <w:fldChar w:fldCharType="separate"/>
        </w:r>
        <w:r w:rsidR="004F454E">
          <w:rPr>
            <w:noProof/>
            <w:webHidden/>
          </w:rPr>
          <w:t>235</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944" w:history="1">
        <w:r w:rsidR="004F454E" w:rsidRPr="00762F94">
          <w:rPr>
            <w:rStyle w:val="Lienhypertexte"/>
            <w:rFonts w:cs="Arial"/>
            <w:noProof/>
            <w:lang w:val="fr-BE"/>
          </w:rPr>
          <w:t>1.9</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Résultats de l’analyse en composante principales</w:t>
        </w:r>
        <w:r w:rsidR="004F454E">
          <w:rPr>
            <w:noProof/>
            <w:webHidden/>
          </w:rPr>
          <w:tab/>
        </w:r>
        <w:r>
          <w:rPr>
            <w:noProof/>
            <w:webHidden/>
          </w:rPr>
          <w:fldChar w:fldCharType="begin"/>
        </w:r>
        <w:r w:rsidR="004F454E">
          <w:rPr>
            <w:noProof/>
            <w:webHidden/>
          </w:rPr>
          <w:instrText xml:space="preserve"> PAGEREF _Toc354313944 \h </w:instrText>
        </w:r>
        <w:r>
          <w:rPr>
            <w:noProof/>
            <w:webHidden/>
          </w:rPr>
        </w:r>
        <w:r>
          <w:rPr>
            <w:noProof/>
            <w:webHidden/>
          </w:rPr>
          <w:fldChar w:fldCharType="separate"/>
        </w:r>
        <w:r w:rsidR="004F454E">
          <w:rPr>
            <w:noProof/>
            <w:webHidden/>
          </w:rPr>
          <w:t>235</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945" w:history="1">
        <w:r w:rsidR="004F454E" w:rsidRPr="00762F94">
          <w:rPr>
            <w:rStyle w:val="Lienhypertexte"/>
            <w:rFonts w:cs="Arial"/>
            <w:noProof/>
            <w:lang w:val="fr-BE"/>
          </w:rPr>
          <w:t>1.10</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Résultats de l’analyse des correspondances multiples</w:t>
        </w:r>
        <w:r w:rsidR="004F454E">
          <w:rPr>
            <w:noProof/>
            <w:webHidden/>
          </w:rPr>
          <w:tab/>
        </w:r>
        <w:r>
          <w:rPr>
            <w:noProof/>
            <w:webHidden/>
          </w:rPr>
          <w:fldChar w:fldCharType="begin"/>
        </w:r>
        <w:r w:rsidR="004F454E">
          <w:rPr>
            <w:noProof/>
            <w:webHidden/>
          </w:rPr>
          <w:instrText xml:space="preserve"> PAGEREF _Toc354313945 \h </w:instrText>
        </w:r>
        <w:r>
          <w:rPr>
            <w:noProof/>
            <w:webHidden/>
          </w:rPr>
        </w:r>
        <w:r>
          <w:rPr>
            <w:noProof/>
            <w:webHidden/>
          </w:rPr>
          <w:fldChar w:fldCharType="separate"/>
        </w:r>
        <w:r w:rsidR="004F454E">
          <w:rPr>
            <w:noProof/>
            <w:webHidden/>
          </w:rPr>
          <w:t>238</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946" w:history="1">
        <w:r w:rsidR="004F454E" w:rsidRPr="00762F94">
          <w:rPr>
            <w:rStyle w:val="Lienhypertexte"/>
            <w:rFonts w:cs="Arial"/>
            <w:noProof/>
            <w:lang w:val="fr-BE"/>
          </w:rPr>
          <w:t>1.11</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Résultats de la classification ascendante hiérarchique (CAH)</w:t>
        </w:r>
        <w:r w:rsidR="004F454E">
          <w:rPr>
            <w:noProof/>
            <w:webHidden/>
          </w:rPr>
          <w:tab/>
        </w:r>
        <w:r>
          <w:rPr>
            <w:noProof/>
            <w:webHidden/>
          </w:rPr>
          <w:fldChar w:fldCharType="begin"/>
        </w:r>
        <w:r w:rsidR="004F454E">
          <w:rPr>
            <w:noProof/>
            <w:webHidden/>
          </w:rPr>
          <w:instrText xml:space="preserve"> PAGEREF _Toc354313946 \h </w:instrText>
        </w:r>
        <w:r>
          <w:rPr>
            <w:noProof/>
            <w:webHidden/>
          </w:rPr>
        </w:r>
        <w:r>
          <w:rPr>
            <w:noProof/>
            <w:webHidden/>
          </w:rPr>
          <w:fldChar w:fldCharType="separate"/>
        </w:r>
        <w:r w:rsidR="004F454E">
          <w:rPr>
            <w:noProof/>
            <w:webHidden/>
          </w:rPr>
          <w:t>239</w:t>
        </w:r>
        <w:r>
          <w:rPr>
            <w:noProof/>
            <w:webHidden/>
          </w:rPr>
          <w:fldChar w:fldCharType="end"/>
        </w:r>
      </w:hyperlink>
    </w:p>
    <w:p w:rsidR="004F454E" w:rsidRDefault="00DF50D8">
      <w:pPr>
        <w:pStyle w:val="TM1"/>
        <w:tabs>
          <w:tab w:val="left" w:pos="660"/>
          <w:tab w:val="right" w:leader="dot" w:pos="9062"/>
        </w:tabs>
        <w:rPr>
          <w:rFonts w:asciiTheme="minorHAnsi" w:eastAsiaTheme="minorEastAsia" w:hAnsiTheme="minorHAnsi" w:cstheme="minorBidi"/>
          <w:b w:val="0"/>
          <w:bCs w:val="0"/>
          <w:caps w:val="0"/>
          <w:noProof/>
          <w:sz w:val="22"/>
          <w:szCs w:val="22"/>
          <w:lang w:val="en-US" w:eastAsia="en-US"/>
        </w:rPr>
      </w:pPr>
      <w:hyperlink w:anchor="_Toc354313947" w:history="1">
        <w:r w:rsidR="004F454E" w:rsidRPr="00762F94">
          <w:rPr>
            <w:rStyle w:val="Lienhypertexte"/>
            <w:rFonts w:cs="Arial"/>
            <w:noProof/>
          </w:rPr>
          <w:t>21.</w:t>
        </w:r>
        <w:r w:rsidR="004F454E">
          <w:rPr>
            <w:rFonts w:asciiTheme="minorHAnsi" w:eastAsiaTheme="minorEastAsia" w:hAnsiTheme="minorHAnsi" w:cstheme="minorBidi"/>
            <w:b w:val="0"/>
            <w:bCs w:val="0"/>
            <w:caps w:val="0"/>
            <w:noProof/>
            <w:sz w:val="22"/>
            <w:szCs w:val="22"/>
            <w:lang w:val="en-US" w:eastAsia="en-US"/>
          </w:rPr>
          <w:tab/>
        </w:r>
        <w:r w:rsidR="004F454E" w:rsidRPr="00762F94">
          <w:rPr>
            <w:rStyle w:val="Lienhypertexte"/>
            <w:rFonts w:cs="Arial"/>
            <w:noProof/>
          </w:rPr>
          <w:t>Annexes (fera l’objet d’un document à part)</w:t>
        </w:r>
        <w:r w:rsidR="004F454E">
          <w:rPr>
            <w:noProof/>
            <w:webHidden/>
          </w:rPr>
          <w:tab/>
        </w:r>
        <w:r>
          <w:rPr>
            <w:noProof/>
            <w:webHidden/>
          </w:rPr>
          <w:fldChar w:fldCharType="begin"/>
        </w:r>
        <w:r w:rsidR="004F454E">
          <w:rPr>
            <w:noProof/>
            <w:webHidden/>
          </w:rPr>
          <w:instrText xml:space="preserve"> PAGEREF _Toc354313947 \h </w:instrText>
        </w:r>
        <w:r>
          <w:rPr>
            <w:noProof/>
            <w:webHidden/>
          </w:rPr>
        </w:r>
        <w:r>
          <w:rPr>
            <w:noProof/>
            <w:webHidden/>
          </w:rPr>
          <w:fldChar w:fldCharType="separate"/>
        </w:r>
        <w:r w:rsidR="004F454E">
          <w:rPr>
            <w:noProof/>
            <w:webHidden/>
          </w:rPr>
          <w:t>242</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948" w:history="1">
        <w:r w:rsidR="004F454E" w:rsidRPr="00762F94">
          <w:rPr>
            <w:rStyle w:val="Lienhypertexte"/>
            <w:rFonts w:cs="Arial"/>
            <w:noProof/>
          </w:rPr>
          <w:t>1.1.</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Fiche des principaux indicateurs par province</w:t>
        </w:r>
        <w:r w:rsidR="004F454E">
          <w:rPr>
            <w:noProof/>
            <w:webHidden/>
          </w:rPr>
          <w:tab/>
        </w:r>
        <w:r>
          <w:rPr>
            <w:noProof/>
            <w:webHidden/>
          </w:rPr>
          <w:fldChar w:fldCharType="begin"/>
        </w:r>
        <w:r w:rsidR="004F454E">
          <w:rPr>
            <w:noProof/>
            <w:webHidden/>
          </w:rPr>
          <w:instrText xml:space="preserve"> PAGEREF _Toc354313948 \h </w:instrText>
        </w:r>
        <w:r>
          <w:rPr>
            <w:noProof/>
            <w:webHidden/>
          </w:rPr>
        </w:r>
        <w:r>
          <w:rPr>
            <w:noProof/>
            <w:webHidden/>
          </w:rPr>
          <w:fldChar w:fldCharType="separate"/>
        </w:r>
        <w:r w:rsidR="004F454E">
          <w:rPr>
            <w:noProof/>
            <w:webHidden/>
          </w:rPr>
          <w:t>242</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949" w:history="1">
        <w:r w:rsidR="004F454E" w:rsidRPr="00762F94">
          <w:rPr>
            <w:rStyle w:val="Lienhypertexte"/>
            <w:rFonts w:cs="Arial"/>
            <w:noProof/>
          </w:rPr>
          <w:t>1.2.</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Fiche des principaux indicateurs par région naturelle</w:t>
        </w:r>
        <w:r w:rsidR="004F454E">
          <w:rPr>
            <w:noProof/>
            <w:webHidden/>
          </w:rPr>
          <w:tab/>
        </w:r>
        <w:r>
          <w:rPr>
            <w:noProof/>
            <w:webHidden/>
          </w:rPr>
          <w:fldChar w:fldCharType="begin"/>
        </w:r>
        <w:r w:rsidR="004F454E">
          <w:rPr>
            <w:noProof/>
            <w:webHidden/>
          </w:rPr>
          <w:instrText xml:space="preserve"> PAGEREF _Toc354313949 \h </w:instrText>
        </w:r>
        <w:r>
          <w:rPr>
            <w:noProof/>
            <w:webHidden/>
          </w:rPr>
        </w:r>
        <w:r>
          <w:rPr>
            <w:noProof/>
            <w:webHidden/>
          </w:rPr>
          <w:fldChar w:fldCharType="separate"/>
        </w:r>
        <w:r w:rsidR="004F454E">
          <w:rPr>
            <w:noProof/>
            <w:webHidden/>
          </w:rPr>
          <w:t>242</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950" w:history="1">
        <w:r w:rsidR="004F454E" w:rsidRPr="00762F94">
          <w:rPr>
            <w:rStyle w:val="Lienhypertexte"/>
            <w:rFonts w:cs="Arial"/>
            <w:noProof/>
          </w:rPr>
          <w:t>1.3.</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Tableaux par province</w:t>
        </w:r>
        <w:r w:rsidR="004F454E">
          <w:rPr>
            <w:noProof/>
            <w:webHidden/>
          </w:rPr>
          <w:tab/>
        </w:r>
        <w:r>
          <w:rPr>
            <w:noProof/>
            <w:webHidden/>
          </w:rPr>
          <w:fldChar w:fldCharType="begin"/>
        </w:r>
        <w:r w:rsidR="004F454E">
          <w:rPr>
            <w:noProof/>
            <w:webHidden/>
          </w:rPr>
          <w:instrText xml:space="preserve"> PAGEREF _Toc354313950 \h </w:instrText>
        </w:r>
        <w:r>
          <w:rPr>
            <w:noProof/>
            <w:webHidden/>
          </w:rPr>
        </w:r>
        <w:r>
          <w:rPr>
            <w:noProof/>
            <w:webHidden/>
          </w:rPr>
          <w:fldChar w:fldCharType="separate"/>
        </w:r>
        <w:r w:rsidR="004F454E">
          <w:rPr>
            <w:noProof/>
            <w:webHidden/>
          </w:rPr>
          <w:t>242</w:t>
        </w:r>
        <w:r>
          <w:rPr>
            <w:noProof/>
            <w:webHidden/>
          </w:rPr>
          <w:fldChar w:fldCharType="end"/>
        </w:r>
      </w:hyperlink>
    </w:p>
    <w:p w:rsidR="004F454E" w:rsidRDefault="00DF50D8">
      <w:pPr>
        <w:pStyle w:val="TM2"/>
        <w:tabs>
          <w:tab w:val="left" w:pos="880"/>
          <w:tab w:val="right" w:leader="dot" w:pos="9062"/>
        </w:tabs>
        <w:rPr>
          <w:rFonts w:asciiTheme="minorHAnsi" w:eastAsiaTheme="minorEastAsia" w:hAnsiTheme="minorHAnsi" w:cstheme="minorBidi"/>
          <w:smallCaps w:val="0"/>
          <w:noProof/>
          <w:sz w:val="22"/>
          <w:szCs w:val="22"/>
          <w:lang w:val="en-US" w:eastAsia="en-US"/>
        </w:rPr>
      </w:pPr>
      <w:hyperlink w:anchor="_Toc354313951" w:history="1">
        <w:r w:rsidR="004F454E" w:rsidRPr="00762F94">
          <w:rPr>
            <w:rStyle w:val="Lienhypertexte"/>
            <w:rFonts w:cs="Arial"/>
            <w:noProof/>
          </w:rPr>
          <w:t>1.4.</w:t>
        </w:r>
        <w:r w:rsidR="004F454E">
          <w:rPr>
            <w:rFonts w:asciiTheme="minorHAnsi" w:eastAsiaTheme="minorEastAsia" w:hAnsiTheme="minorHAnsi" w:cstheme="minorBidi"/>
            <w:smallCaps w:val="0"/>
            <w:noProof/>
            <w:sz w:val="22"/>
            <w:szCs w:val="22"/>
            <w:lang w:val="en-US" w:eastAsia="en-US"/>
          </w:rPr>
          <w:tab/>
        </w:r>
        <w:r w:rsidR="004F454E" w:rsidRPr="00762F94">
          <w:rPr>
            <w:rStyle w:val="Lienhypertexte"/>
            <w:rFonts w:cs="Arial"/>
            <w:noProof/>
          </w:rPr>
          <w:t>Tableaux par région naturelle</w:t>
        </w:r>
        <w:r w:rsidR="004F454E">
          <w:rPr>
            <w:noProof/>
            <w:webHidden/>
          </w:rPr>
          <w:tab/>
        </w:r>
        <w:r>
          <w:rPr>
            <w:noProof/>
            <w:webHidden/>
          </w:rPr>
          <w:fldChar w:fldCharType="begin"/>
        </w:r>
        <w:r w:rsidR="004F454E">
          <w:rPr>
            <w:noProof/>
            <w:webHidden/>
          </w:rPr>
          <w:instrText xml:space="preserve"> PAGEREF _Toc354313951 \h </w:instrText>
        </w:r>
        <w:r>
          <w:rPr>
            <w:noProof/>
            <w:webHidden/>
          </w:rPr>
        </w:r>
        <w:r>
          <w:rPr>
            <w:noProof/>
            <w:webHidden/>
          </w:rPr>
          <w:fldChar w:fldCharType="separate"/>
        </w:r>
        <w:r w:rsidR="004F454E">
          <w:rPr>
            <w:noProof/>
            <w:webHidden/>
          </w:rPr>
          <w:t>242</w:t>
        </w:r>
        <w:r>
          <w:rPr>
            <w:noProof/>
            <w:webHidden/>
          </w:rPr>
          <w:fldChar w:fldCharType="end"/>
        </w:r>
      </w:hyperlink>
    </w:p>
    <w:p w:rsidR="00E51ED6" w:rsidRPr="00B6647E" w:rsidRDefault="00DF50D8" w:rsidP="00E51ED6">
      <w:pPr>
        <w:pStyle w:val="Tabledesillustrations"/>
        <w:tabs>
          <w:tab w:val="right" w:leader="dot" w:pos="9062"/>
        </w:tabs>
        <w:rPr>
          <w:rFonts w:cs="Arial"/>
          <w:color w:val="365F91"/>
          <w:sz w:val="24"/>
          <w:lang w:val="fr-BE"/>
        </w:rPr>
      </w:pPr>
      <w:r w:rsidRPr="00B6647E">
        <w:rPr>
          <w:rFonts w:cs="Arial"/>
          <w:color w:val="365F91"/>
        </w:rPr>
        <w:fldChar w:fldCharType="end"/>
      </w:r>
      <w:r w:rsidR="00E51ED6" w:rsidRPr="00B6647E">
        <w:rPr>
          <w:rFonts w:cs="Arial"/>
          <w:color w:val="365F91"/>
        </w:rPr>
        <w:br w:type="page"/>
      </w:r>
    </w:p>
    <w:p w:rsidR="00E51ED6" w:rsidRPr="00B6647E" w:rsidRDefault="00E51ED6" w:rsidP="00E51ED6">
      <w:pPr>
        <w:pStyle w:val="Titre1"/>
        <w:numPr>
          <w:ilvl w:val="0"/>
          <w:numId w:val="0"/>
        </w:numPr>
        <w:ind w:left="432" w:hanging="432"/>
        <w:rPr>
          <w:rFonts w:cs="Arial"/>
          <w:b w:val="0"/>
          <w:color w:val="365F91"/>
        </w:rPr>
        <w:sectPr w:rsidR="00E51ED6" w:rsidRPr="00B6647E" w:rsidSect="00E51ED6">
          <w:pgSz w:w="11906" w:h="16838"/>
          <w:pgMar w:top="1417" w:right="1417" w:bottom="1417" w:left="1417" w:header="708" w:footer="708" w:gutter="0"/>
          <w:pgNumType w:fmt="lowerRoman" w:start="1"/>
          <w:cols w:space="708"/>
          <w:docGrid w:linePitch="360"/>
        </w:sectPr>
      </w:pPr>
    </w:p>
    <w:p w:rsidR="00E51ED6" w:rsidRPr="00B6647E" w:rsidRDefault="00E51ED6" w:rsidP="00E51ED6">
      <w:pPr>
        <w:pStyle w:val="Titre1"/>
        <w:numPr>
          <w:ilvl w:val="0"/>
          <w:numId w:val="0"/>
        </w:numPr>
        <w:ind w:left="432" w:hanging="432"/>
        <w:rPr>
          <w:rFonts w:cs="Arial"/>
          <w:color w:val="365F91"/>
        </w:rPr>
      </w:pPr>
      <w:bookmarkStart w:id="11" w:name="_Toc354313813"/>
      <w:r w:rsidRPr="00B6647E">
        <w:rPr>
          <w:rFonts w:cs="Arial"/>
          <w:color w:val="365F91"/>
        </w:rPr>
        <w:lastRenderedPageBreak/>
        <w:t>Liste des abréviations</w:t>
      </w:r>
      <w:bookmarkEnd w:id="11"/>
    </w:p>
    <w:p w:rsidR="00E51ED6" w:rsidRPr="00B6647E" w:rsidRDefault="00DF50D8" w:rsidP="00E51ED6">
      <w:pPr>
        <w:spacing w:line="240" w:lineRule="auto"/>
        <w:rPr>
          <w:rFonts w:ascii="Arial" w:hAnsi="Arial" w:cs="Arial"/>
          <w:sz w:val="20"/>
          <w:szCs w:val="20"/>
        </w:rPr>
      </w:pPr>
      <w:r w:rsidRPr="00DF50D8">
        <w:rPr>
          <w:rFonts w:ascii="Arial" w:hAnsi="Arial" w:cs="Arial"/>
          <w:noProof/>
          <w:sz w:val="20"/>
          <w:szCs w:val="20"/>
        </w:rPr>
        <w:pict>
          <v:shape id="_x0000_s1048" type="#_x0000_t32" style="position:absolute;margin-left:1.15pt;margin-top:4.8pt;width:453.55pt;height:0;z-index:25170329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d8/qgIAAJcFAAAOAAAAZHJzL2Uyb0RvYy54bWysVE2PmzAQvVfqf7C4s0AghKAlqyyBXrbt&#10;SrtVzw42wSrYyHZCoqr/vWOT0GR7qarlgPwx8+bNzBvfPxy7Fh2oVEzwzAnufAdRXgnC+C5zvr2W&#10;buIgpTEnuBWcZs6JKudh9fHD/dCndCYa0RIqEYBwlQ595jRa96nnqaqhHVZ3oqccLmshO6xhK3ce&#10;kXgA9K71Zr4fe4OQpJeiokrB6Wa8dFYWv65ppb/WtaIatZkD3LT9S/vfmr+3usfpTuK+YdWZBv4P&#10;Fh1mHIJOUBusMdpL9hdUxyoplKj1XSU6T9Q1q6jNAbIJ/DfZvDS4pzYXKI7qpzKp94OtvhyeJWIk&#10;c5bQKY476NF6r4UNjWamPkOvUjDL+bM0GVZH/tI/ieqHQlzkDeY7ao1fTz34BsbDu3ExG9VDlO3w&#10;WRCwwYBvi3WsZWcgoQzoaHtymnpCjxpVcDhfxL6fzB1UXe48nF4ce6n0Jyo6ZBaZo7TEbNfoXHAO&#10;nRcysGHw4UlpQwunFwcTlYuSta0VQMvRkDlhEvi+9VCiZcTcGjsld9u8leiAQUNhPC+XY5Jwc20m&#10;xZ4Ti9ZQTIrzWmPWjmuI3nKDR60sR0qwO2pY2nPI2Erm59JfFkmRRG40iws38jcbd13mkRuXwWK+&#10;CTd5vgl+GaJBlDaMEMoN14t8g+jf5HEepFF4k4Cnqni36LZ8QPaW6bqc+4soTNzFYh66UVj47mNS&#10;5u46D+J4UTzmj8UbpoXNXr0P2amUhpXYaypfGjIgwowaZkloNE0YjHuY+LG/XDgItzt4pyotHSSF&#10;/s50Y8VrZGcwbno9i8IyHs9x2zd4VMDch8+qfDK3tZnCj5W6NNnspjadk/9TSxDFRQB2aMycjBO3&#10;FeT0LC/DBNNvnc4vlXlervewvn5PV78BAAD//wMAUEsDBBQABgAIAAAAIQAS6mQo3AAAAAUBAAAP&#10;AAAAZHJzL2Rvd25yZXYueG1sTI5RS8MwFIXfhf2HcAe+iEs3S1lr0zEUcQwRrP6AtLk2xeamNFnb&#10;+euNe9HHwzl858t3s+nYiINrLQlYryJgSLVVLTUCPt6fbrfAnJekZGcJBZzRwa5YXOUyU3aiNxxL&#10;37AAIZdJAdr7PuPc1RqNdCvbI4Xu0w5G+hCHhqtBTgFuOr6JooQb2VJ40LLHB431V3kyAqYxOb7c&#10;bPn8fXwtz00VHx71cyzE9XLe3wPzOPu/MfzqB3UoglNlT6Qc6wRs7sJQQJoAC20apTGw6pJ5kfP/&#10;9sUPAAAA//8DAFBLAQItABQABgAIAAAAIQC2gziS/gAAAOEBAAATAAAAAAAAAAAAAAAAAAAAAABb&#10;Q29udGVudF9UeXBlc10ueG1sUEsBAi0AFAAGAAgAAAAhADj9If/WAAAAlAEAAAsAAAAAAAAAAAAA&#10;AAAALwEAAF9yZWxzLy5yZWxzUEsBAi0AFAAGAAgAAAAhAAK13z+qAgAAlwUAAA4AAAAAAAAAAAAA&#10;AAAALgIAAGRycy9lMm9Eb2MueG1sUEsBAi0AFAAGAAgAAAAhABLqZCjcAAAABQEAAA8AAAAAAAAA&#10;AAAAAAAABAUAAGRycy9kb3ducmV2LnhtbFBLBQYAAAAABAAEAPMAAAANBgAAAAA=&#10;" strokecolor="#365f91" strokeweight="3pt">
            <v:shadow color="#243f60" opacity=".5" offset="1pt"/>
          </v:shape>
        </w:pict>
      </w:r>
    </w:p>
    <w:p w:rsidR="00E51ED6" w:rsidRPr="00B6647E" w:rsidRDefault="00E51ED6" w:rsidP="00E51ED6">
      <w:pPr>
        <w:spacing w:line="240" w:lineRule="auto"/>
        <w:rPr>
          <w:rFonts w:ascii="Arial" w:hAnsi="Arial" w:cs="Arial"/>
          <w:color w:val="000000"/>
          <w:sz w:val="20"/>
          <w:szCs w:val="20"/>
          <w:lang w:eastAsia="en-US"/>
        </w:rPr>
      </w:pPr>
    </w:p>
    <w:p w:rsidR="00E51ED6" w:rsidRPr="00B6647E" w:rsidRDefault="00E51ED6" w:rsidP="00E51ED6">
      <w:pPr>
        <w:spacing w:line="240" w:lineRule="auto"/>
        <w:rPr>
          <w:rFonts w:ascii="Arial" w:hAnsi="Arial" w:cs="Arial"/>
          <w:color w:val="000000"/>
          <w:sz w:val="20"/>
          <w:szCs w:val="20"/>
          <w:lang w:eastAsia="en-US"/>
        </w:rPr>
      </w:pPr>
      <w:r w:rsidRPr="00B6647E">
        <w:rPr>
          <w:rFonts w:ascii="Arial" w:hAnsi="Arial" w:cs="Arial"/>
          <w:color w:val="000000"/>
          <w:sz w:val="20"/>
          <w:szCs w:val="20"/>
          <w:lang w:eastAsia="en-US"/>
        </w:rPr>
        <w:t xml:space="preserve">CM </w:t>
      </w:r>
      <w:r w:rsidRPr="00B6647E">
        <w:rPr>
          <w:rFonts w:ascii="Arial" w:hAnsi="Arial" w:cs="Arial"/>
          <w:color w:val="000000"/>
          <w:sz w:val="20"/>
          <w:szCs w:val="20"/>
          <w:lang w:eastAsia="en-US"/>
        </w:rPr>
        <w:tab/>
      </w:r>
      <w:r w:rsidRPr="00B6647E">
        <w:rPr>
          <w:rFonts w:ascii="Arial" w:hAnsi="Arial" w:cs="Arial"/>
          <w:color w:val="000000"/>
          <w:sz w:val="20"/>
          <w:szCs w:val="20"/>
          <w:lang w:eastAsia="en-US"/>
        </w:rPr>
        <w:tab/>
        <w:t>:</w:t>
      </w:r>
      <w:r w:rsidRPr="00B6647E">
        <w:rPr>
          <w:rFonts w:ascii="Arial" w:hAnsi="Arial" w:cs="Arial"/>
          <w:color w:val="000000"/>
          <w:sz w:val="20"/>
          <w:szCs w:val="20"/>
          <w:lang w:eastAsia="en-US"/>
        </w:rPr>
        <w:tab/>
        <w:t>Chef de ménage</w:t>
      </w:r>
    </w:p>
    <w:p w:rsidR="00E51ED6" w:rsidRPr="00B6647E" w:rsidRDefault="00E51ED6" w:rsidP="00E51ED6">
      <w:pPr>
        <w:spacing w:line="240" w:lineRule="auto"/>
        <w:rPr>
          <w:rFonts w:ascii="Arial" w:hAnsi="Arial" w:cs="Arial"/>
          <w:color w:val="000000"/>
          <w:sz w:val="20"/>
          <w:szCs w:val="20"/>
          <w:lang w:eastAsia="en-US"/>
        </w:rPr>
      </w:pPr>
    </w:p>
    <w:p w:rsidR="00E51ED6" w:rsidRPr="00B6647E" w:rsidRDefault="00E51ED6" w:rsidP="00E51ED6">
      <w:pPr>
        <w:spacing w:line="240" w:lineRule="auto"/>
        <w:rPr>
          <w:rFonts w:ascii="Arial" w:hAnsi="Arial" w:cs="Arial"/>
          <w:color w:val="000000"/>
          <w:sz w:val="20"/>
          <w:szCs w:val="20"/>
          <w:lang w:eastAsia="en-US"/>
        </w:rPr>
      </w:pPr>
      <w:r w:rsidRPr="00B6647E">
        <w:rPr>
          <w:rFonts w:ascii="Arial" w:hAnsi="Arial" w:cs="Arial"/>
          <w:color w:val="000000"/>
          <w:sz w:val="20"/>
          <w:szCs w:val="20"/>
          <w:lang w:eastAsia="en-US"/>
        </w:rPr>
        <w:t xml:space="preserve">DSIA </w:t>
      </w:r>
      <w:r w:rsidRPr="00B6647E">
        <w:rPr>
          <w:rFonts w:ascii="Arial" w:hAnsi="Arial" w:cs="Arial"/>
          <w:color w:val="000000"/>
          <w:sz w:val="20"/>
          <w:szCs w:val="20"/>
          <w:lang w:eastAsia="en-US"/>
        </w:rPr>
        <w:tab/>
      </w:r>
      <w:r w:rsidRPr="00B6647E">
        <w:rPr>
          <w:rFonts w:ascii="Arial" w:hAnsi="Arial" w:cs="Arial"/>
          <w:color w:val="000000"/>
          <w:sz w:val="20"/>
          <w:szCs w:val="20"/>
          <w:lang w:eastAsia="en-US"/>
        </w:rPr>
        <w:tab/>
        <w:t>:</w:t>
      </w:r>
      <w:r w:rsidRPr="00B6647E">
        <w:rPr>
          <w:rFonts w:ascii="Arial" w:hAnsi="Arial" w:cs="Arial"/>
          <w:color w:val="000000"/>
          <w:sz w:val="20"/>
          <w:szCs w:val="20"/>
          <w:lang w:eastAsia="en-US"/>
        </w:rPr>
        <w:tab/>
        <w:t>Direction des Statistiques et Informations Agricoles</w:t>
      </w:r>
    </w:p>
    <w:p w:rsidR="00E51ED6" w:rsidRPr="00B6647E" w:rsidRDefault="00E51ED6" w:rsidP="00E51ED6">
      <w:pPr>
        <w:spacing w:line="240" w:lineRule="auto"/>
        <w:rPr>
          <w:rFonts w:ascii="Arial" w:hAnsi="Arial" w:cs="Arial"/>
          <w:color w:val="000000"/>
          <w:sz w:val="20"/>
          <w:szCs w:val="20"/>
          <w:lang w:eastAsia="en-US"/>
        </w:rPr>
      </w:pPr>
    </w:p>
    <w:p w:rsidR="00E51ED6" w:rsidRPr="00B6647E" w:rsidRDefault="00E51ED6" w:rsidP="00E51ED6">
      <w:pPr>
        <w:spacing w:line="240" w:lineRule="auto"/>
        <w:rPr>
          <w:rFonts w:ascii="Arial" w:hAnsi="Arial" w:cs="Arial"/>
          <w:color w:val="000000"/>
          <w:sz w:val="20"/>
          <w:szCs w:val="20"/>
          <w:lang w:eastAsia="en-US"/>
        </w:rPr>
      </w:pPr>
      <w:r w:rsidRPr="00B6647E">
        <w:rPr>
          <w:rFonts w:ascii="Arial" w:hAnsi="Arial" w:cs="Arial"/>
          <w:color w:val="000000"/>
          <w:sz w:val="20"/>
          <w:szCs w:val="20"/>
          <w:lang w:eastAsia="en-US"/>
        </w:rPr>
        <w:t xml:space="preserve">ENAB </w:t>
      </w:r>
      <w:r w:rsidRPr="00B6647E">
        <w:rPr>
          <w:rFonts w:ascii="Arial" w:hAnsi="Arial" w:cs="Arial"/>
          <w:color w:val="000000"/>
          <w:sz w:val="20"/>
          <w:szCs w:val="20"/>
          <w:lang w:eastAsia="en-US"/>
        </w:rPr>
        <w:tab/>
      </w:r>
      <w:r w:rsidRPr="00B6647E">
        <w:rPr>
          <w:rFonts w:ascii="Arial" w:hAnsi="Arial" w:cs="Arial"/>
          <w:color w:val="000000"/>
          <w:sz w:val="20"/>
          <w:szCs w:val="20"/>
          <w:lang w:eastAsia="en-US"/>
        </w:rPr>
        <w:tab/>
        <w:t>:</w:t>
      </w:r>
      <w:r w:rsidRPr="00B6647E">
        <w:rPr>
          <w:rFonts w:ascii="Arial" w:hAnsi="Arial" w:cs="Arial"/>
          <w:color w:val="000000"/>
          <w:sz w:val="20"/>
          <w:szCs w:val="20"/>
          <w:lang w:eastAsia="en-US"/>
        </w:rPr>
        <w:tab/>
        <w:t>Enquête Nationale Agricole du Burundi</w:t>
      </w:r>
    </w:p>
    <w:p w:rsidR="00E51ED6" w:rsidRPr="00B6647E" w:rsidRDefault="00E51ED6" w:rsidP="00E51ED6">
      <w:pPr>
        <w:spacing w:line="240" w:lineRule="auto"/>
        <w:rPr>
          <w:rFonts w:ascii="Arial" w:hAnsi="Arial" w:cs="Arial"/>
          <w:color w:val="000000"/>
          <w:sz w:val="20"/>
          <w:szCs w:val="20"/>
          <w:lang w:eastAsia="en-US"/>
        </w:rPr>
      </w:pPr>
    </w:p>
    <w:p w:rsidR="00E51ED6" w:rsidRPr="00B6647E" w:rsidRDefault="00E51ED6" w:rsidP="00E51ED6">
      <w:pPr>
        <w:spacing w:line="240" w:lineRule="auto"/>
        <w:rPr>
          <w:rFonts w:ascii="Arial" w:hAnsi="Arial" w:cs="Arial"/>
          <w:color w:val="000000"/>
          <w:sz w:val="20"/>
          <w:szCs w:val="20"/>
          <w:lang w:eastAsia="en-US"/>
        </w:rPr>
      </w:pPr>
      <w:r w:rsidRPr="00B6647E">
        <w:rPr>
          <w:rFonts w:ascii="Arial" w:hAnsi="Arial" w:cs="Arial"/>
          <w:color w:val="000000"/>
          <w:sz w:val="20"/>
          <w:szCs w:val="20"/>
          <w:lang w:eastAsia="en-US"/>
        </w:rPr>
        <w:t xml:space="preserve">FBu </w:t>
      </w:r>
      <w:r w:rsidRPr="00B6647E">
        <w:rPr>
          <w:rFonts w:ascii="Arial" w:hAnsi="Arial" w:cs="Arial"/>
          <w:color w:val="000000"/>
          <w:sz w:val="20"/>
          <w:szCs w:val="20"/>
          <w:lang w:eastAsia="en-US"/>
        </w:rPr>
        <w:tab/>
      </w:r>
      <w:r w:rsidRPr="00B6647E">
        <w:rPr>
          <w:rFonts w:ascii="Arial" w:hAnsi="Arial" w:cs="Arial"/>
          <w:color w:val="000000"/>
          <w:sz w:val="20"/>
          <w:szCs w:val="20"/>
          <w:lang w:eastAsia="en-US"/>
        </w:rPr>
        <w:tab/>
        <w:t>:</w:t>
      </w:r>
      <w:r w:rsidRPr="00B6647E">
        <w:rPr>
          <w:rFonts w:ascii="Arial" w:hAnsi="Arial" w:cs="Arial"/>
          <w:color w:val="000000"/>
          <w:sz w:val="20"/>
          <w:szCs w:val="20"/>
          <w:lang w:eastAsia="en-US"/>
        </w:rPr>
        <w:tab/>
        <w:t>Franc burundais</w:t>
      </w:r>
    </w:p>
    <w:p w:rsidR="00E51ED6" w:rsidRPr="00B6647E" w:rsidRDefault="00E51ED6" w:rsidP="00E51ED6">
      <w:pPr>
        <w:spacing w:line="240" w:lineRule="auto"/>
        <w:rPr>
          <w:rFonts w:ascii="Arial" w:hAnsi="Arial" w:cs="Arial"/>
          <w:color w:val="000000"/>
          <w:sz w:val="20"/>
          <w:szCs w:val="20"/>
          <w:lang w:eastAsia="en-US"/>
        </w:rPr>
      </w:pPr>
    </w:p>
    <w:p w:rsidR="00E51ED6" w:rsidRPr="00B6647E" w:rsidRDefault="00E51ED6" w:rsidP="00E51ED6">
      <w:pPr>
        <w:spacing w:line="240" w:lineRule="auto"/>
        <w:rPr>
          <w:rFonts w:ascii="Arial" w:hAnsi="Arial" w:cs="Arial"/>
          <w:color w:val="000000"/>
          <w:sz w:val="20"/>
          <w:szCs w:val="20"/>
          <w:lang w:eastAsia="en-US"/>
        </w:rPr>
      </w:pPr>
      <w:r w:rsidRPr="00B6647E">
        <w:rPr>
          <w:rFonts w:ascii="Arial" w:hAnsi="Arial" w:cs="Arial"/>
          <w:color w:val="000000"/>
          <w:sz w:val="20"/>
          <w:szCs w:val="20"/>
          <w:lang w:eastAsia="en-US"/>
        </w:rPr>
        <w:t xml:space="preserve">GPS </w:t>
      </w:r>
      <w:r w:rsidRPr="00B6647E">
        <w:rPr>
          <w:rFonts w:ascii="Arial" w:hAnsi="Arial" w:cs="Arial"/>
          <w:color w:val="000000"/>
          <w:sz w:val="20"/>
          <w:szCs w:val="20"/>
          <w:lang w:eastAsia="en-US"/>
        </w:rPr>
        <w:tab/>
      </w:r>
      <w:r w:rsidRPr="00B6647E">
        <w:rPr>
          <w:rFonts w:ascii="Arial" w:hAnsi="Arial" w:cs="Arial"/>
          <w:color w:val="000000"/>
          <w:sz w:val="20"/>
          <w:szCs w:val="20"/>
          <w:lang w:eastAsia="en-US"/>
        </w:rPr>
        <w:tab/>
        <w:t>:</w:t>
      </w:r>
      <w:r w:rsidRPr="00B6647E">
        <w:rPr>
          <w:rFonts w:ascii="Arial" w:hAnsi="Arial" w:cs="Arial"/>
          <w:color w:val="000000"/>
          <w:sz w:val="20"/>
          <w:szCs w:val="20"/>
          <w:lang w:eastAsia="en-US"/>
        </w:rPr>
        <w:tab/>
        <w:t>Global Position System</w:t>
      </w:r>
    </w:p>
    <w:p w:rsidR="00E51ED6" w:rsidRPr="00B6647E" w:rsidRDefault="00E51ED6" w:rsidP="00E51ED6">
      <w:pPr>
        <w:spacing w:line="240" w:lineRule="auto"/>
        <w:rPr>
          <w:rFonts w:ascii="Arial" w:hAnsi="Arial" w:cs="Arial"/>
          <w:color w:val="000000"/>
          <w:sz w:val="20"/>
          <w:szCs w:val="20"/>
          <w:lang w:eastAsia="en-US"/>
        </w:rPr>
      </w:pPr>
    </w:p>
    <w:p w:rsidR="00E51ED6" w:rsidRPr="00B6647E" w:rsidRDefault="00767E43" w:rsidP="00E51ED6">
      <w:pPr>
        <w:spacing w:line="240" w:lineRule="auto"/>
        <w:rPr>
          <w:rFonts w:ascii="Arial" w:hAnsi="Arial" w:cs="Arial"/>
          <w:color w:val="000000"/>
          <w:sz w:val="20"/>
          <w:szCs w:val="20"/>
          <w:lang w:eastAsia="en-US"/>
        </w:rPr>
      </w:pPr>
      <w:r>
        <w:rPr>
          <w:rFonts w:ascii="Arial" w:hAnsi="Arial" w:cs="Arial"/>
          <w:color w:val="000000"/>
          <w:sz w:val="20"/>
          <w:szCs w:val="20"/>
          <w:lang w:eastAsia="en-US"/>
        </w:rPr>
        <w:t xml:space="preserve">ISABU </w:t>
      </w:r>
      <w:r>
        <w:rPr>
          <w:rFonts w:ascii="Arial" w:hAnsi="Arial" w:cs="Arial"/>
          <w:color w:val="000000"/>
          <w:sz w:val="20"/>
          <w:szCs w:val="20"/>
          <w:lang w:eastAsia="en-US"/>
        </w:rPr>
        <w:tab/>
      </w:r>
      <w:r>
        <w:rPr>
          <w:rFonts w:ascii="Arial" w:hAnsi="Arial" w:cs="Arial"/>
          <w:color w:val="000000"/>
          <w:sz w:val="20"/>
          <w:szCs w:val="20"/>
          <w:lang w:eastAsia="en-US"/>
        </w:rPr>
        <w:tab/>
        <w:t>:</w:t>
      </w:r>
      <w:r>
        <w:rPr>
          <w:rFonts w:ascii="Arial" w:hAnsi="Arial" w:cs="Arial"/>
          <w:color w:val="000000"/>
          <w:sz w:val="20"/>
          <w:szCs w:val="20"/>
          <w:lang w:eastAsia="en-US"/>
        </w:rPr>
        <w:tab/>
        <w:t>Institut des Sciences</w:t>
      </w:r>
      <w:r w:rsidR="00E51ED6" w:rsidRPr="00B6647E">
        <w:rPr>
          <w:rFonts w:ascii="Arial" w:hAnsi="Arial" w:cs="Arial"/>
          <w:color w:val="000000"/>
          <w:sz w:val="20"/>
          <w:szCs w:val="20"/>
          <w:lang w:eastAsia="en-US"/>
        </w:rPr>
        <w:t xml:space="preserve"> Agronomique</w:t>
      </w:r>
      <w:r>
        <w:rPr>
          <w:rFonts w:ascii="Arial" w:hAnsi="Arial" w:cs="Arial"/>
          <w:color w:val="000000"/>
          <w:sz w:val="20"/>
          <w:szCs w:val="20"/>
          <w:lang w:eastAsia="en-US"/>
        </w:rPr>
        <w:t>s</w:t>
      </w:r>
      <w:r w:rsidR="00E51ED6" w:rsidRPr="00B6647E">
        <w:rPr>
          <w:rFonts w:ascii="Arial" w:hAnsi="Arial" w:cs="Arial"/>
          <w:color w:val="000000"/>
          <w:sz w:val="20"/>
          <w:szCs w:val="20"/>
          <w:lang w:eastAsia="en-US"/>
        </w:rPr>
        <w:t xml:space="preserve"> du Burundi</w:t>
      </w:r>
    </w:p>
    <w:p w:rsidR="00E51ED6" w:rsidRPr="00B6647E" w:rsidRDefault="00E51ED6" w:rsidP="00E51ED6">
      <w:pPr>
        <w:spacing w:line="240" w:lineRule="auto"/>
        <w:rPr>
          <w:rFonts w:ascii="Arial" w:hAnsi="Arial" w:cs="Arial"/>
          <w:color w:val="000000"/>
          <w:sz w:val="20"/>
          <w:szCs w:val="20"/>
          <w:lang w:eastAsia="en-US"/>
        </w:rPr>
      </w:pPr>
    </w:p>
    <w:p w:rsidR="00E51ED6" w:rsidRPr="00B6647E" w:rsidRDefault="00E51ED6" w:rsidP="00E51ED6">
      <w:pPr>
        <w:spacing w:line="240" w:lineRule="auto"/>
        <w:rPr>
          <w:rFonts w:ascii="Arial" w:hAnsi="Arial" w:cs="Arial"/>
          <w:color w:val="000000"/>
          <w:sz w:val="20"/>
          <w:szCs w:val="20"/>
          <w:lang w:eastAsia="en-US"/>
        </w:rPr>
      </w:pPr>
      <w:r w:rsidRPr="00B6647E">
        <w:rPr>
          <w:rFonts w:ascii="Arial" w:hAnsi="Arial" w:cs="Arial"/>
          <w:color w:val="000000"/>
          <w:sz w:val="20"/>
          <w:szCs w:val="20"/>
          <w:lang w:eastAsia="en-US"/>
        </w:rPr>
        <w:t xml:space="preserve">ISTEEBU </w:t>
      </w:r>
      <w:r w:rsidRPr="00B6647E">
        <w:rPr>
          <w:rFonts w:ascii="Arial" w:hAnsi="Arial" w:cs="Arial"/>
          <w:color w:val="000000"/>
          <w:sz w:val="20"/>
          <w:szCs w:val="20"/>
          <w:lang w:eastAsia="en-US"/>
        </w:rPr>
        <w:tab/>
        <w:t>:</w:t>
      </w:r>
      <w:r w:rsidRPr="00B6647E">
        <w:rPr>
          <w:rFonts w:ascii="Arial" w:hAnsi="Arial" w:cs="Arial"/>
          <w:color w:val="000000"/>
          <w:sz w:val="20"/>
          <w:szCs w:val="20"/>
          <w:lang w:eastAsia="en-US"/>
        </w:rPr>
        <w:tab/>
        <w:t>Institut de Statistiques et d’Etudes Economiques du Burundi</w:t>
      </w:r>
    </w:p>
    <w:p w:rsidR="00E51ED6" w:rsidRPr="00B6647E" w:rsidRDefault="00E51ED6" w:rsidP="00E51ED6">
      <w:pPr>
        <w:spacing w:line="240" w:lineRule="auto"/>
        <w:rPr>
          <w:rFonts w:ascii="Arial" w:hAnsi="Arial" w:cs="Arial"/>
          <w:color w:val="000000"/>
          <w:sz w:val="20"/>
          <w:szCs w:val="20"/>
          <w:lang w:eastAsia="en-US"/>
        </w:rPr>
      </w:pPr>
    </w:p>
    <w:p w:rsidR="00E51ED6" w:rsidRPr="00B6647E" w:rsidRDefault="00E51ED6" w:rsidP="00E51ED6">
      <w:pPr>
        <w:spacing w:line="240" w:lineRule="auto"/>
        <w:rPr>
          <w:rFonts w:ascii="Arial" w:hAnsi="Arial" w:cs="Arial"/>
          <w:color w:val="000000"/>
          <w:sz w:val="20"/>
          <w:szCs w:val="20"/>
          <w:lang w:eastAsia="en-US"/>
        </w:rPr>
      </w:pPr>
      <w:r w:rsidRPr="00B6647E">
        <w:rPr>
          <w:rFonts w:ascii="Arial" w:hAnsi="Arial" w:cs="Arial"/>
          <w:color w:val="000000"/>
          <w:sz w:val="20"/>
          <w:szCs w:val="20"/>
          <w:lang w:eastAsia="en-US"/>
        </w:rPr>
        <w:t xml:space="preserve">MINAGRIE </w:t>
      </w:r>
      <w:r w:rsidRPr="00B6647E">
        <w:rPr>
          <w:rFonts w:ascii="Arial" w:hAnsi="Arial" w:cs="Arial"/>
          <w:color w:val="000000"/>
          <w:sz w:val="20"/>
          <w:szCs w:val="20"/>
          <w:lang w:eastAsia="en-US"/>
        </w:rPr>
        <w:tab/>
        <w:t>:</w:t>
      </w:r>
      <w:r w:rsidRPr="00B6647E">
        <w:rPr>
          <w:rFonts w:ascii="Arial" w:hAnsi="Arial" w:cs="Arial"/>
          <w:color w:val="000000"/>
          <w:sz w:val="20"/>
          <w:szCs w:val="20"/>
          <w:lang w:eastAsia="en-US"/>
        </w:rPr>
        <w:tab/>
        <w:t>Ministère de l’Agriculture et de l’Elevage</w:t>
      </w:r>
    </w:p>
    <w:p w:rsidR="00E51ED6" w:rsidRPr="00B6647E" w:rsidRDefault="00E51ED6" w:rsidP="00E51ED6">
      <w:pPr>
        <w:spacing w:line="240" w:lineRule="auto"/>
        <w:rPr>
          <w:rFonts w:ascii="Arial" w:hAnsi="Arial" w:cs="Arial"/>
          <w:color w:val="000000"/>
          <w:sz w:val="20"/>
          <w:szCs w:val="20"/>
          <w:lang w:eastAsia="en-US"/>
        </w:rPr>
      </w:pPr>
    </w:p>
    <w:p w:rsidR="00E51ED6" w:rsidRDefault="00E51ED6" w:rsidP="00E51ED6">
      <w:pPr>
        <w:spacing w:line="240" w:lineRule="auto"/>
        <w:rPr>
          <w:rFonts w:ascii="Arial" w:hAnsi="Arial" w:cs="Arial"/>
          <w:color w:val="000000"/>
          <w:sz w:val="20"/>
          <w:szCs w:val="20"/>
          <w:lang w:eastAsia="en-US"/>
        </w:rPr>
      </w:pPr>
      <w:r w:rsidRPr="00B6647E">
        <w:rPr>
          <w:rFonts w:ascii="Arial" w:hAnsi="Arial" w:cs="Arial"/>
          <w:color w:val="000000"/>
          <w:sz w:val="20"/>
          <w:szCs w:val="20"/>
          <w:lang w:eastAsia="en-US"/>
        </w:rPr>
        <w:t xml:space="preserve">OP </w:t>
      </w:r>
      <w:r w:rsidRPr="00B6647E">
        <w:rPr>
          <w:rFonts w:ascii="Arial" w:hAnsi="Arial" w:cs="Arial"/>
          <w:color w:val="000000"/>
          <w:sz w:val="20"/>
          <w:szCs w:val="20"/>
          <w:lang w:eastAsia="en-US"/>
        </w:rPr>
        <w:tab/>
      </w:r>
      <w:r w:rsidRPr="00B6647E">
        <w:rPr>
          <w:rFonts w:ascii="Arial" w:hAnsi="Arial" w:cs="Arial"/>
          <w:color w:val="000000"/>
          <w:sz w:val="20"/>
          <w:szCs w:val="20"/>
          <w:lang w:eastAsia="en-US"/>
        </w:rPr>
        <w:tab/>
        <w:t>:</w:t>
      </w:r>
      <w:r w:rsidRPr="00B6647E">
        <w:rPr>
          <w:rFonts w:ascii="Arial" w:hAnsi="Arial" w:cs="Arial"/>
          <w:color w:val="000000"/>
          <w:sz w:val="20"/>
          <w:szCs w:val="20"/>
          <w:lang w:eastAsia="en-US"/>
        </w:rPr>
        <w:tab/>
        <w:t>Organisation professionnelle</w:t>
      </w:r>
    </w:p>
    <w:p w:rsidR="00767E43" w:rsidRPr="00B6647E" w:rsidRDefault="00767E43" w:rsidP="00E51ED6">
      <w:pPr>
        <w:spacing w:line="240" w:lineRule="auto"/>
        <w:rPr>
          <w:rFonts w:ascii="Arial" w:hAnsi="Arial" w:cs="Arial"/>
          <w:color w:val="000000"/>
          <w:sz w:val="20"/>
          <w:szCs w:val="20"/>
          <w:lang w:eastAsia="en-US"/>
        </w:rPr>
      </w:pPr>
    </w:p>
    <w:p w:rsidR="00E51ED6" w:rsidRDefault="00767E43" w:rsidP="00E51ED6">
      <w:pPr>
        <w:spacing w:line="240" w:lineRule="auto"/>
        <w:rPr>
          <w:rFonts w:ascii="Arial" w:hAnsi="Arial" w:cs="Arial"/>
          <w:color w:val="000000"/>
          <w:sz w:val="20"/>
          <w:szCs w:val="20"/>
          <w:lang w:eastAsia="en-US"/>
        </w:rPr>
      </w:pPr>
      <w:r>
        <w:rPr>
          <w:rFonts w:ascii="Arial" w:hAnsi="Arial" w:cs="Arial"/>
          <w:color w:val="000000"/>
          <w:sz w:val="20"/>
          <w:szCs w:val="20"/>
          <w:lang w:eastAsia="en-US"/>
        </w:rPr>
        <w:t>PNIA</w:t>
      </w:r>
      <w:r>
        <w:rPr>
          <w:rFonts w:ascii="Arial" w:hAnsi="Arial" w:cs="Arial"/>
          <w:color w:val="000000"/>
          <w:sz w:val="20"/>
          <w:szCs w:val="20"/>
          <w:lang w:eastAsia="en-US"/>
        </w:rPr>
        <w:tab/>
      </w:r>
      <w:r>
        <w:rPr>
          <w:rFonts w:ascii="Arial" w:hAnsi="Arial" w:cs="Arial"/>
          <w:color w:val="000000"/>
          <w:sz w:val="20"/>
          <w:szCs w:val="20"/>
          <w:lang w:eastAsia="en-US"/>
        </w:rPr>
        <w:tab/>
      </w:r>
      <w:r>
        <w:rPr>
          <w:rFonts w:ascii="Arial" w:hAnsi="Arial" w:cs="Arial"/>
          <w:color w:val="000000"/>
          <w:sz w:val="20"/>
          <w:szCs w:val="20"/>
          <w:lang w:eastAsia="en-US"/>
        </w:rPr>
        <w:tab/>
        <w:t>Programme National d’Investissement Agricole</w:t>
      </w:r>
    </w:p>
    <w:p w:rsidR="00767E43" w:rsidRPr="00B6647E" w:rsidRDefault="00767E43" w:rsidP="00E51ED6">
      <w:pPr>
        <w:spacing w:line="240" w:lineRule="auto"/>
        <w:rPr>
          <w:rFonts w:ascii="Arial" w:hAnsi="Arial" w:cs="Arial"/>
          <w:color w:val="000000"/>
          <w:sz w:val="20"/>
          <w:szCs w:val="20"/>
          <w:lang w:eastAsia="en-US"/>
        </w:rPr>
      </w:pPr>
    </w:p>
    <w:p w:rsidR="00E51ED6" w:rsidRPr="00B6647E" w:rsidRDefault="00E51ED6" w:rsidP="00E51ED6">
      <w:pPr>
        <w:spacing w:line="240" w:lineRule="auto"/>
        <w:rPr>
          <w:rFonts w:ascii="Arial" w:hAnsi="Arial" w:cs="Arial"/>
          <w:color w:val="000000"/>
          <w:sz w:val="20"/>
          <w:szCs w:val="20"/>
          <w:lang w:eastAsia="en-US"/>
        </w:rPr>
      </w:pPr>
      <w:r w:rsidRPr="00B6647E">
        <w:rPr>
          <w:rFonts w:ascii="Arial" w:hAnsi="Arial" w:cs="Arial"/>
          <w:color w:val="000000"/>
          <w:sz w:val="20"/>
          <w:szCs w:val="20"/>
          <w:lang w:eastAsia="en-US"/>
        </w:rPr>
        <w:t xml:space="preserve">RGPH </w:t>
      </w:r>
      <w:r w:rsidRPr="00B6647E">
        <w:rPr>
          <w:rFonts w:ascii="Arial" w:hAnsi="Arial" w:cs="Arial"/>
          <w:color w:val="000000"/>
          <w:sz w:val="20"/>
          <w:szCs w:val="20"/>
          <w:lang w:eastAsia="en-US"/>
        </w:rPr>
        <w:tab/>
      </w:r>
      <w:r w:rsidRPr="00B6647E">
        <w:rPr>
          <w:rFonts w:ascii="Arial" w:hAnsi="Arial" w:cs="Arial"/>
          <w:color w:val="000000"/>
          <w:sz w:val="20"/>
          <w:szCs w:val="20"/>
          <w:lang w:eastAsia="en-US"/>
        </w:rPr>
        <w:tab/>
        <w:t>:</w:t>
      </w:r>
      <w:r w:rsidRPr="00B6647E">
        <w:rPr>
          <w:rFonts w:ascii="Arial" w:hAnsi="Arial" w:cs="Arial"/>
          <w:color w:val="000000"/>
          <w:sz w:val="20"/>
          <w:szCs w:val="20"/>
          <w:lang w:eastAsia="en-US"/>
        </w:rPr>
        <w:tab/>
        <w:t>Recensement Général de la Population et de l'Habitat</w:t>
      </w:r>
    </w:p>
    <w:p w:rsidR="00E51ED6" w:rsidRPr="00B6647E" w:rsidRDefault="00E51ED6" w:rsidP="00E51ED6">
      <w:pPr>
        <w:spacing w:line="240" w:lineRule="auto"/>
        <w:rPr>
          <w:rFonts w:ascii="Arial" w:hAnsi="Arial" w:cs="Arial"/>
          <w:color w:val="000000"/>
          <w:sz w:val="20"/>
          <w:szCs w:val="20"/>
          <w:lang w:eastAsia="en-US"/>
        </w:rPr>
      </w:pPr>
    </w:p>
    <w:p w:rsidR="00E51ED6" w:rsidRPr="00B6647E" w:rsidRDefault="00E51ED6" w:rsidP="00E51ED6">
      <w:pPr>
        <w:spacing w:line="240" w:lineRule="auto"/>
        <w:rPr>
          <w:rFonts w:ascii="Arial" w:hAnsi="Arial" w:cs="Arial"/>
          <w:color w:val="000000"/>
          <w:sz w:val="20"/>
          <w:szCs w:val="20"/>
          <w:lang w:eastAsia="en-US"/>
        </w:rPr>
      </w:pPr>
      <w:r w:rsidRPr="00B6647E">
        <w:rPr>
          <w:rFonts w:ascii="Arial" w:hAnsi="Arial" w:cs="Arial"/>
          <w:color w:val="000000"/>
          <w:sz w:val="20"/>
          <w:szCs w:val="20"/>
          <w:lang w:eastAsia="en-US"/>
        </w:rPr>
        <w:t xml:space="preserve">UP </w:t>
      </w:r>
      <w:r w:rsidRPr="00B6647E">
        <w:rPr>
          <w:rFonts w:ascii="Arial" w:hAnsi="Arial" w:cs="Arial"/>
          <w:color w:val="000000"/>
          <w:sz w:val="20"/>
          <w:szCs w:val="20"/>
          <w:lang w:eastAsia="en-US"/>
        </w:rPr>
        <w:tab/>
      </w:r>
      <w:r w:rsidRPr="00B6647E">
        <w:rPr>
          <w:rFonts w:ascii="Arial" w:hAnsi="Arial" w:cs="Arial"/>
          <w:color w:val="000000"/>
          <w:sz w:val="20"/>
          <w:szCs w:val="20"/>
          <w:lang w:eastAsia="en-US"/>
        </w:rPr>
        <w:tab/>
        <w:t>:</w:t>
      </w:r>
      <w:r w:rsidRPr="00B6647E">
        <w:rPr>
          <w:rFonts w:ascii="Arial" w:hAnsi="Arial" w:cs="Arial"/>
          <w:color w:val="000000"/>
          <w:sz w:val="20"/>
          <w:szCs w:val="20"/>
          <w:lang w:eastAsia="en-US"/>
        </w:rPr>
        <w:tab/>
        <w:t>Unité primaire</w:t>
      </w:r>
    </w:p>
    <w:p w:rsidR="00E51ED6" w:rsidRPr="00B6647E" w:rsidRDefault="00E51ED6" w:rsidP="00E51ED6">
      <w:pPr>
        <w:spacing w:line="240" w:lineRule="auto"/>
        <w:rPr>
          <w:rFonts w:ascii="Arial" w:hAnsi="Arial" w:cs="Arial"/>
          <w:color w:val="000000"/>
          <w:sz w:val="20"/>
          <w:szCs w:val="20"/>
          <w:lang w:eastAsia="en-US"/>
        </w:rPr>
      </w:pPr>
    </w:p>
    <w:p w:rsidR="00E51ED6" w:rsidRPr="00B6647E" w:rsidRDefault="00E51ED6" w:rsidP="00E51ED6">
      <w:pPr>
        <w:spacing w:line="240" w:lineRule="auto"/>
        <w:rPr>
          <w:rFonts w:ascii="Arial" w:hAnsi="Arial" w:cs="Arial"/>
          <w:color w:val="000000"/>
          <w:sz w:val="20"/>
          <w:szCs w:val="20"/>
          <w:lang w:eastAsia="en-US"/>
        </w:rPr>
      </w:pPr>
      <w:r w:rsidRPr="00B6647E">
        <w:rPr>
          <w:rFonts w:ascii="Arial" w:hAnsi="Arial" w:cs="Arial"/>
          <w:color w:val="000000"/>
          <w:sz w:val="20"/>
          <w:szCs w:val="20"/>
          <w:lang w:eastAsia="en-US"/>
        </w:rPr>
        <w:t xml:space="preserve">US </w:t>
      </w:r>
      <w:r w:rsidRPr="00B6647E">
        <w:rPr>
          <w:rFonts w:ascii="Arial" w:hAnsi="Arial" w:cs="Arial"/>
          <w:color w:val="000000"/>
          <w:sz w:val="20"/>
          <w:szCs w:val="20"/>
          <w:lang w:eastAsia="en-US"/>
        </w:rPr>
        <w:tab/>
      </w:r>
      <w:r w:rsidRPr="00B6647E">
        <w:rPr>
          <w:rFonts w:ascii="Arial" w:hAnsi="Arial" w:cs="Arial"/>
          <w:color w:val="000000"/>
          <w:sz w:val="20"/>
          <w:szCs w:val="20"/>
          <w:lang w:eastAsia="en-US"/>
        </w:rPr>
        <w:tab/>
        <w:t>:</w:t>
      </w:r>
      <w:r w:rsidRPr="00B6647E">
        <w:rPr>
          <w:rFonts w:ascii="Arial" w:hAnsi="Arial" w:cs="Arial"/>
          <w:color w:val="000000"/>
          <w:sz w:val="20"/>
          <w:szCs w:val="20"/>
          <w:lang w:eastAsia="en-US"/>
        </w:rPr>
        <w:tab/>
        <w:t>Unité secondaire</w:t>
      </w:r>
    </w:p>
    <w:p w:rsidR="00E51ED6" w:rsidRPr="00B6647E" w:rsidRDefault="00E51ED6" w:rsidP="00E51ED6">
      <w:pPr>
        <w:spacing w:line="240" w:lineRule="auto"/>
        <w:rPr>
          <w:rFonts w:ascii="Arial" w:hAnsi="Arial" w:cs="Arial"/>
          <w:color w:val="000000"/>
          <w:sz w:val="20"/>
          <w:szCs w:val="20"/>
          <w:lang w:eastAsia="en-US"/>
        </w:rPr>
      </w:pPr>
    </w:p>
    <w:p w:rsidR="00E51ED6" w:rsidRPr="00B6647E" w:rsidRDefault="00E51ED6" w:rsidP="00E51ED6">
      <w:pPr>
        <w:spacing w:line="240" w:lineRule="auto"/>
        <w:rPr>
          <w:rFonts w:ascii="Arial" w:hAnsi="Arial" w:cs="Arial"/>
          <w:color w:val="000000"/>
          <w:sz w:val="20"/>
          <w:szCs w:val="20"/>
          <w:lang w:eastAsia="en-US"/>
        </w:rPr>
      </w:pPr>
      <w:r w:rsidRPr="00B6647E">
        <w:rPr>
          <w:rFonts w:ascii="Arial" w:hAnsi="Arial" w:cs="Arial"/>
          <w:color w:val="000000"/>
          <w:sz w:val="20"/>
          <w:szCs w:val="20"/>
          <w:lang w:eastAsia="en-US"/>
        </w:rPr>
        <w:t>UBT</w:t>
      </w:r>
      <w:r w:rsidRPr="00B6647E">
        <w:rPr>
          <w:rFonts w:ascii="Arial" w:hAnsi="Arial" w:cs="Arial"/>
          <w:color w:val="000000"/>
          <w:sz w:val="20"/>
          <w:szCs w:val="20"/>
          <w:lang w:eastAsia="en-US"/>
        </w:rPr>
        <w:tab/>
      </w:r>
      <w:r w:rsidRPr="00B6647E">
        <w:rPr>
          <w:rFonts w:ascii="Arial" w:hAnsi="Arial" w:cs="Arial"/>
          <w:color w:val="000000"/>
          <w:sz w:val="20"/>
          <w:szCs w:val="20"/>
          <w:lang w:eastAsia="en-US"/>
        </w:rPr>
        <w:tab/>
        <w:t>:</w:t>
      </w:r>
      <w:r w:rsidRPr="00B6647E">
        <w:rPr>
          <w:rFonts w:ascii="Arial" w:hAnsi="Arial" w:cs="Arial"/>
          <w:color w:val="000000"/>
          <w:sz w:val="20"/>
          <w:szCs w:val="20"/>
          <w:lang w:eastAsia="en-US"/>
        </w:rPr>
        <w:tab/>
        <w:t>Unité de bétail tropical</w:t>
      </w:r>
    </w:p>
    <w:p w:rsidR="00E51ED6" w:rsidRPr="00B6647E" w:rsidRDefault="00E51ED6" w:rsidP="00E51ED6">
      <w:pPr>
        <w:spacing w:line="240" w:lineRule="auto"/>
        <w:rPr>
          <w:rFonts w:ascii="Arial" w:hAnsi="Arial" w:cs="Arial"/>
          <w:color w:val="000000"/>
          <w:sz w:val="20"/>
          <w:szCs w:val="20"/>
          <w:lang w:eastAsia="en-US"/>
        </w:rPr>
      </w:pPr>
    </w:p>
    <w:p w:rsidR="00E51ED6" w:rsidRPr="00B6647E" w:rsidRDefault="00E51ED6" w:rsidP="00E51ED6">
      <w:pPr>
        <w:spacing w:line="240" w:lineRule="auto"/>
        <w:rPr>
          <w:rFonts w:ascii="Arial" w:hAnsi="Arial" w:cs="Arial"/>
          <w:color w:val="000000"/>
          <w:sz w:val="20"/>
          <w:szCs w:val="20"/>
          <w:lang w:eastAsia="en-US"/>
        </w:rPr>
      </w:pPr>
      <w:r w:rsidRPr="00B6647E">
        <w:rPr>
          <w:rFonts w:ascii="Arial" w:hAnsi="Arial" w:cs="Arial"/>
          <w:color w:val="000000"/>
          <w:sz w:val="20"/>
          <w:szCs w:val="20"/>
          <w:lang w:eastAsia="en-US"/>
        </w:rPr>
        <w:t xml:space="preserve">ZD </w:t>
      </w:r>
      <w:r w:rsidRPr="00B6647E">
        <w:rPr>
          <w:rFonts w:ascii="Arial" w:hAnsi="Arial" w:cs="Arial"/>
          <w:color w:val="000000"/>
          <w:sz w:val="20"/>
          <w:szCs w:val="20"/>
          <w:lang w:eastAsia="en-US"/>
        </w:rPr>
        <w:tab/>
      </w:r>
      <w:r w:rsidRPr="00B6647E">
        <w:rPr>
          <w:rFonts w:ascii="Arial" w:hAnsi="Arial" w:cs="Arial"/>
          <w:color w:val="000000"/>
          <w:sz w:val="20"/>
          <w:szCs w:val="20"/>
          <w:lang w:eastAsia="en-US"/>
        </w:rPr>
        <w:tab/>
        <w:t>:</w:t>
      </w:r>
      <w:r w:rsidRPr="00B6647E">
        <w:rPr>
          <w:rFonts w:ascii="Arial" w:hAnsi="Arial" w:cs="Arial"/>
          <w:color w:val="000000"/>
          <w:sz w:val="20"/>
          <w:szCs w:val="20"/>
          <w:lang w:eastAsia="en-US"/>
        </w:rPr>
        <w:tab/>
        <w:t>Zone de dénombrement</w:t>
      </w:r>
    </w:p>
    <w:p w:rsidR="00E51ED6" w:rsidRPr="00B6647E" w:rsidRDefault="00E51ED6" w:rsidP="00E51ED6">
      <w:pPr>
        <w:spacing w:line="240" w:lineRule="auto"/>
        <w:rPr>
          <w:rFonts w:ascii="Arial" w:hAnsi="Arial" w:cs="Arial"/>
          <w:color w:val="365F91"/>
          <w:sz w:val="20"/>
          <w:szCs w:val="20"/>
        </w:rPr>
      </w:pPr>
    </w:p>
    <w:p w:rsidR="00E51ED6" w:rsidRPr="00B6647E" w:rsidRDefault="00E51ED6" w:rsidP="00E51ED6">
      <w:pPr>
        <w:pStyle w:val="Titre1"/>
        <w:numPr>
          <w:ilvl w:val="0"/>
          <w:numId w:val="0"/>
        </w:numPr>
        <w:ind w:left="432" w:hanging="432"/>
        <w:rPr>
          <w:rFonts w:cs="Arial"/>
          <w:color w:val="365F91"/>
        </w:rPr>
      </w:pPr>
      <w:bookmarkStart w:id="12" w:name="_Toc354313814"/>
      <w:r w:rsidRPr="00B6647E">
        <w:rPr>
          <w:rFonts w:cs="Arial"/>
          <w:color w:val="365F91"/>
        </w:rPr>
        <w:lastRenderedPageBreak/>
        <w:t>Concepts et définitions</w:t>
      </w:r>
      <w:bookmarkEnd w:id="12"/>
    </w:p>
    <w:p w:rsidR="00E51ED6" w:rsidRPr="00B6647E" w:rsidRDefault="00DF50D8" w:rsidP="00E51ED6">
      <w:pPr>
        <w:spacing w:line="240" w:lineRule="auto"/>
        <w:rPr>
          <w:rFonts w:ascii="Arial" w:hAnsi="Arial" w:cs="Arial"/>
          <w:sz w:val="20"/>
          <w:szCs w:val="20"/>
        </w:rPr>
      </w:pPr>
      <w:r w:rsidRPr="00DF50D8">
        <w:rPr>
          <w:rFonts w:ascii="Arial" w:hAnsi="Arial" w:cs="Arial"/>
          <w:noProof/>
          <w:sz w:val="20"/>
          <w:szCs w:val="20"/>
        </w:rPr>
        <w:pict>
          <v:shape id="_x0000_s1049" type="#_x0000_t32" style="position:absolute;margin-left:1.15pt;margin-top:4.8pt;width:453.55pt;height:0;z-index:25170432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NNqgIAAJcFAAAOAAAAZHJzL2Uyb0RvYy54bWysVE2PmzAQvVfqf7C4s0AghKAlqyyBXrbt&#10;SrtVzw42wSrYyHZCoqr/vWOT0GR7qarlgPwx8+bNzBvfPxy7Fh2oVEzwzAnufAdRXgnC+C5zvr2W&#10;buIgpTEnuBWcZs6JKudh9fHD/dCndCYa0RIqEYBwlQ595jRa96nnqaqhHVZ3oqccLmshO6xhK3ce&#10;kXgA9K71Zr4fe4OQpJeiokrB6Wa8dFYWv65ppb/WtaIatZkD3LT9S/vfmr+3usfpTuK+YdWZBv4P&#10;Fh1mHIJOUBusMdpL9hdUxyoplKj1XSU6T9Q1q6jNAbIJ/DfZvDS4pzYXKI7qpzKp94OtvhyeJWIk&#10;c5YLB3HcQY/Wey1saDQz9Rl6lYJZzp+lybA68pf+SVQ/FOIibzDfUWv8eurBNzAe3o2L2ageomyH&#10;z4KADQZ8W6xjLTsDCWVAR9uT09QTetSogsP5Ivb9ZO6g6nLn4fTi2EulP1HRIbPIHKUlZrtG54Jz&#10;6LyQgQ2DD09KG1o4vTiYqFyUrG2tAFqOhswJk8D3rYcSLSPm1tgpudvmrUQHDBoK43m5HJOEm2sz&#10;KfacWLSGYlKc1xqzdlxD9JYbPGplOVKC3VHD0p5DxlYyP5f+skiKJHKjWVy4kb/ZuOsyj9y4DBbz&#10;TbjJ803wyxANorRhhFBuuF7kG0T/Jo/zII3CmwQ8VcW7RbflA7K3TNfl3F9EYeIuFvPQjcLCdx+T&#10;MnfXeRDHi+IxfyzeMC1s9up9yE6lNKzEXlP50pABEWbUMEvCJbw+hMG4h4kf+0bhuN3BO1Vp6SAp&#10;9HemGyteIzuDcdPrWRSW8XiO277BowLmPnxW5ZO5rc0UfqzUpclmN7XpnPyfWoIoLgKwQ2PmZJy4&#10;rSCnZ3kZJph+63R+qczzcr2H9fV7uvoNAAD//wMAUEsDBBQABgAIAAAAIQAS6mQo3AAAAAUBAAAP&#10;AAAAZHJzL2Rvd25yZXYueG1sTI5RS8MwFIXfhf2HcAe+iEs3S1lr0zEUcQwRrP6AtLk2xeamNFnb&#10;+euNe9HHwzl858t3s+nYiINrLQlYryJgSLVVLTUCPt6fbrfAnJekZGcJBZzRwa5YXOUyU3aiNxxL&#10;37AAIZdJAdr7PuPc1RqNdCvbI4Xu0w5G+hCHhqtBTgFuOr6JooQb2VJ40LLHB431V3kyAqYxOb7c&#10;bPn8fXwtz00VHx71cyzE9XLe3wPzOPu/MfzqB3UoglNlT6Qc6wRs7sJQQJoAC20apTGw6pJ5kfP/&#10;9sUPAAAA//8DAFBLAQItABQABgAIAAAAIQC2gziS/gAAAOEBAAATAAAAAAAAAAAAAAAAAAAAAABb&#10;Q29udGVudF9UeXBlc10ueG1sUEsBAi0AFAAGAAgAAAAhADj9If/WAAAAlAEAAAsAAAAAAAAAAAAA&#10;AAAALwEAAF9yZWxzLy5yZWxzUEsBAi0AFAAGAAgAAAAhAA2QA02qAgAAlwUAAA4AAAAAAAAAAAAA&#10;AAAALgIAAGRycy9lMm9Eb2MueG1sUEsBAi0AFAAGAAgAAAAhABLqZCjcAAAABQEAAA8AAAAAAAAA&#10;AAAAAAAABAUAAGRycy9kb3ducmV2LnhtbFBLBQYAAAAABAAEAPMAAAANBgAAAAA=&#10;" strokecolor="#365f91" strokeweight="3pt">
            <v:shadow color="#243f60" opacity=".5" offset="1pt"/>
          </v:shape>
        </w:pict>
      </w:r>
    </w:p>
    <w:p w:rsidR="00E51ED6" w:rsidRPr="00B6647E" w:rsidRDefault="00E51ED6" w:rsidP="00B61DF5">
      <w:pPr>
        <w:autoSpaceDE w:val="0"/>
        <w:autoSpaceDN w:val="0"/>
        <w:adjustRightInd w:val="0"/>
        <w:spacing w:after="120" w:line="240" w:lineRule="auto"/>
        <w:jc w:val="both"/>
        <w:rPr>
          <w:rFonts w:ascii="Arial" w:hAnsi="Arial" w:cs="Arial"/>
          <w:sz w:val="20"/>
          <w:szCs w:val="20"/>
        </w:rPr>
      </w:pPr>
      <w:r w:rsidRPr="00B6647E">
        <w:rPr>
          <w:rFonts w:ascii="Arial" w:hAnsi="Arial" w:cs="Arial"/>
          <w:sz w:val="20"/>
          <w:szCs w:val="20"/>
        </w:rPr>
        <w:t>Ménage : Le ménage au sens de cette enquête est un ensemble de personnes vivant généralement (mais pas nécessairement) sous un même toit et reconnaissant l’autorité d’une seule personne appelée chef de ménage. Ces personnes, appelées membres du ménage, partagent les repas ensemble. Le ménage comprend aussi des personnes qui sont temporairement absentes (comptant revenir avant la fin de la saison).</w:t>
      </w:r>
    </w:p>
    <w:p w:rsidR="00E51ED6" w:rsidRPr="00B6647E" w:rsidRDefault="00E51ED6" w:rsidP="00B61DF5">
      <w:pPr>
        <w:autoSpaceDE w:val="0"/>
        <w:autoSpaceDN w:val="0"/>
        <w:adjustRightInd w:val="0"/>
        <w:spacing w:after="120" w:line="240" w:lineRule="auto"/>
        <w:jc w:val="both"/>
        <w:rPr>
          <w:rFonts w:ascii="Arial" w:hAnsi="Arial" w:cs="Arial"/>
          <w:sz w:val="20"/>
          <w:szCs w:val="20"/>
        </w:rPr>
      </w:pPr>
      <w:r w:rsidRPr="00B6647E">
        <w:rPr>
          <w:rFonts w:ascii="Arial" w:hAnsi="Arial" w:cs="Arial"/>
          <w:sz w:val="20"/>
          <w:szCs w:val="20"/>
        </w:rPr>
        <w:t>Ménage agricole : C’est un ménage qui possède une exploitation agricole.</w:t>
      </w:r>
    </w:p>
    <w:p w:rsidR="00E51ED6" w:rsidRPr="00B6647E" w:rsidRDefault="00E51ED6" w:rsidP="00B61DF5">
      <w:pPr>
        <w:autoSpaceDE w:val="0"/>
        <w:autoSpaceDN w:val="0"/>
        <w:adjustRightInd w:val="0"/>
        <w:spacing w:after="120" w:line="240" w:lineRule="auto"/>
        <w:jc w:val="both"/>
        <w:rPr>
          <w:rFonts w:ascii="Arial" w:hAnsi="Arial" w:cs="Arial"/>
          <w:sz w:val="20"/>
          <w:szCs w:val="20"/>
        </w:rPr>
      </w:pPr>
      <w:r w:rsidRPr="00B6647E">
        <w:rPr>
          <w:rFonts w:ascii="Arial" w:hAnsi="Arial" w:cs="Arial"/>
          <w:sz w:val="20"/>
          <w:szCs w:val="20"/>
        </w:rPr>
        <w:t xml:space="preserve">Exploitation agricole : est un ensemble de terres et/ou d’autres moyens qui sont utilisés par le ménage pendant une année ou une saison pour produire, pour son propre compte, des produits agricoles au sens large comme des vivres, du bétail, des poissons, du miel, du bois, etc. </w:t>
      </w:r>
    </w:p>
    <w:p w:rsidR="00E51ED6" w:rsidRPr="00B6647E" w:rsidRDefault="00E51ED6" w:rsidP="00B61DF5">
      <w:pPr>
        <w:widowControl w:val="0"/>
        <w:spacing w:after="120" w:line="240" w:lineRule="auto"/>
        <w:ind w:right="1128"/>
        <w:jc w:val="both"/>
        <w:rPr>
          <w:rFonts w:ascii="Arial" w:hAnsi="Arial" w:cs="Arial"/>
          <w:sz w:val="20"/>
          <w:szCs w:val="20"/>
        </w:rPr>
      </w:pPr>
      <w:r w:rsidRPr="00B6647E">
        <w:rPr>
          <w:rFonts w:ascii="Arial" w:hAnsi="Arial" w:cs="Arial"/>
          <w:sz w:val="20"/>
          <w:szCs w:val="20"/>
        </w:rPr>
        <w:t>Chef de ménage: C'est la personne qui coordonne les activités de production et d'utilisation des ressources. Il n'est pas forcément le plus âgé du ménage.</w:t>
      </w:r>
    </w:p>
    <w:p w:rsidR="00E51ED6" w:rsidRPr="00B6647E" w:rsidRDefault="00E51ED6" w:rsidP="00B61DF5">
      <w:pPr>
        <w:widowControl w:val="0"/>
        <w:spacing w:after="120" w:line="240" w:lineRule="auto"/>
        <w:jc w:val="both"/>
        <w:rPr>
          <w:rFonts w:ascii="Arial" w:hAnsi="Arial" w:cs="Arial"/>
          <w:sz w:val="20"/>
          <w:szCs w:val="20"/>
        </w:rPr>
      </w:pPr>
      <w:r w:rsidRPr="00B6647E">
        <w:rPr>
          <w:rFonts w:ascii="Arial" w:hAnsi="Arial" w:cs="Arial"/>
          <w:sz w:val="20"/>
          <w:szCs w:val="20"/>
        </w:rPr>
        <w:t>Population agricole : L’ensemble de la population vivant dans les ménages agricoles</w:t>
      </w:r>
    </w:p>
    <w:p w:rsidR="00E51ED6" w:rsidRPr="00B6647E" w:rsidRDefault="00E51ED6" w:rsidP="00B61DF5">
      <w:pPr>
        <w:autoSpaceDE w:val="0"/>
        <w:autoSpaceDN w:val="0"/>
        <w:adjustRightInd w:val="0"/>
        <w:spacing w:after="120" w:line="240" w:lineRule="auto"/>
        <w:jc w:val="both"/>
        <w:rPr>
          <w:rFonts w:ascii="Arial" w:hAnsi="Arial" w:cs="Arial"/>
          <w:sz w:val="20"/>
          <w:szCs w:val="20"/>
        </w:rPr>
      </w:pPr>
      <w:r w:rsidRPr="00B6647E">
        <w:rPr>
          <w:rFonts w:ascii="Arial" w:hAnsi="Arial" w:cs="Arial"/>
          <w:sz w:val="20"/>
          <w:szCs w:val="20"/>
        </w:rPr>
        <w:t>Champ : Les terres d’une exploitation comprennent généralement plusieurs morceaux de terre. Quand les morceaux de terre sont contigus, elles forment ce qu’on appelle « un champ ». Un champ traversé par un chemin de petite dimension ne doit pas être compté pour deux. Il est généralement délimité par des limites naturelles (sentier, cours d’eau, haies vives, l’exploitation d’un autre ménage, etc.).</w:t>
      </w:r>
    </w:p>
    <w:p w:rsidR="00E51ED6" w:rsidRPr="00B6647E" w:rsidRDefault="00E51ED6" w:rsidP="00B61DF5">
      <w:pPr>
        <w:autoSpaceDE w:val="0"/>
        <w:autoSpaceDN w:val="0"/>
        <w:adjustRightInd w:val="0"/>
        <w:spacing w:after="120" w:line="240" w:lineRule="auto"/>
        <w:jc w:val="both"/>
        <w:rPr>
          <w:rFonts w:ascii="Arial" w:hAnsi="Arial" w:cs="Arial"/>
          <w:sz w:val="20"/>
          <w:szCs w:val="20"/>
        </w:rPr>
      </w:pPr>
      <w:r w:rsidRPr="00B6647E">
        <w:rPr>
          <w:rFonts w:ascii="Arial" w:hAnsi="Arial" w:cs="Arial"/>
          <w:sz w:val="20"/>
          <w:szCs w:val="20"/>
        </w:rPr>
        <w:t>Parcelle : La parcelle est une partie du champ d’un seul bloc et occupée par une seule culture ou un mélange de cultures (association) semées à des dates rapprochées. Si un champ ne contient pas de cultures, il sera considéré comme composé d’une seule parcelle en cours de préparation ou occupé par une activité donnée (jachère, pâturage, habitation etc.). Un champ peut donc comprendre une seule ou plusieurs parcelles. Exemple de parcelles : une parcelle de patates douces, une parcelle de maïs-sorgho-haricots.</w:t>
      </w:r>
    </w:p>
    <w:p w:rsidR="00E51ED6" w:rsidRPr="00B6647E" w:rsidRDefault="00E51ED6" w:rsidP="00B61DF5">
      <w:pPr>
        <w:widowControl w:val="0"/>
        <w:spacing w:after="120" w:line="240" w:lineRule="auto"/>
        <w:ind w:right="1128"/>
        <w:jc w:val="both"/>
        <w:rPr>
          <w:rFonts w:ascii="Arial" w:hAnsi="Arial" w:cs="Arial"/>
          <w:sz w:val="20"/>
          <w:szCs w:val="20"/>
        </w:rPr>
      </w:pPr>
      <w:r w:rsidRPr="00B6647E">
        <w:rPr>
          <w:rFonts w:ascii="Arial" w:hAnsi="Arial" w:cs="Arial"/>
          <w:i/>
          <w:sz w:val="20"/>
          <w:szCs w:val="20"/>
        </w:rPr>
        <w:t>N.B: Les passages et pistes traversant la parcelle font partie intégrante de celle-ci.</w:t>
      </w:r>
    </w:p>
    <w:p w:rsidR="00E51ED6" w:rsidRPr="00B6647E" w:rsidRDefault="00E51ED6" w:rsidP="00B61DF5">
      <w:pPr>
        <w:autoSpaceDE w:val="0"/>
        <w:autoSpaceDN w:val="0"/>
        <w:adjustRightInd w:val="0"/>
        <w:spacing w:after="120" w:line="240" w:lineRule="auto"/>
        <w:jc w:val="both"/>
        <w:rPr>
          <w:rFonts w:ascii="Arial" w:hAnsi="Arial" w:cs="Arial"/>
          <w:sz w:val="20"/>
          <w:szCs w:val="20"/>
        </w:rPr>
      </w:pPr>
      <w:r w:rsidRPr="00B6647E">
        <w:rPr>
          <w:rFonts w:ascii="Arial" w:hAnsi="Arial" w:cs="Arial"/>
          <w:sz w:val="20"/>
          <w:szCs w:val="20"/>
        </w:rPr>
        <w:t>Responsable de la parcelle: C'est la personne qui s’occupe des travaux (labour, semis, récolte) sur la parcelle et de l'utilisation des récoltes.</w:t>
      </w:r>
    </w:p>
    <w:p w:rsidR="00E51ED6" w:rsidRPr="00B6647E" w:rsidRDefault="00B00DB7" w:rsidP="00B61DF5">
      <w:pPr>
        <w:widowControl w:val="0"/>
        <w:spacing w:after="120" w:line="240" w:lineRule="auto"/>
        <w:jc w:val="both"/>
        <w:rPr>
          <w:rFonts w:ascii="Arial" w:hAnsi="Arial" w:cs="Arial"/>
          <w:sz w:val="20"/>
          <w:szCs w:val="20"/>
        </w:rPr>
      </w:pPr>
      <w:r w:rsidRPr="00B6647E">
        <w:rPr>
          <w:rFonts w:ascii="Arial" w:hAnsi="Arial" w:cs="Arial"/>
          <w:sz w:val="20"/>
          <w:szCs w:val="20"/>
        </w:rPr>
        <w:t xml:space="preserve">Gestion collective </w:t>
      </w:r>
      <w:r w:rsidR="00E51ED6" w:rsidRPr="00B6647E">
        <w:rPr>
          <w:rFonts w:ascii="Arial" w:hAnsi="Arial" w:cs="Arial"/>
          <w:sz w:val="20"/>
          <w:szCs w:val="20"/>
        </w:rPr>
        <w:t>ou individuelle: Une parcelle est dite collective si tous les membres actifs du ménage sont tenus d'y travailler en priorité. Toute parcelle qui n'est pas collective est dite parcelle individuelle c'est à dire exploitée par un seul membre de ménage.</w:t>
      </w:r>
    </w:p>
    <w:p w:rsidR="00E51ED6" w:rsidRPr="00B6647E" w:rsidRDefault="00E51ED6" w:rsidP="00B61DF5">
      <w:pPr>
        <w:widowControl w:val="0"/>
        <w:spacing w:after="120" w:line="240" w:lineRule="auto"/>
        <w:jc w:val="both"/>
        <w:rPr>
          <w:rFonts w:ascii="Arial" w:hAnsi="Arial" w:cs="Arial"/>
          <w:i/>
          <w:sz w:val="20"/>
          <w:szCs w:val="20"/>
        </w:rPr>
      </w:pPr>
      <w:r w:rsidRPr="00B6647E">
        <w:rPr>
          <w:rFonts w:ascii="Arial" w:hAnsi="Arial" w:cs="Arial"/>
          <w:i/>
          <w:sz w:val="20"/>
          <w:szCs w:val="20"/>
        </w:rPr>
        <w:t>NB : Le chef de ménage est le responsable des parcelles collectives. Il peut disposer aussi de parcelles individuelles.</w:t>
      </w:r>
    </w:p>
    <w:p w:rsidR="00E51ED6" w:rsidRPr="00B6647E" w:rsidRDefault="00E51ED6" w:rsidP="00B61DF5">
      <w:pPr>
        <w:autoSpaceDE w:val="0"/>
        <w:autoSpaceDN w:val="0"/>
        <w:adjustRightInd w:val="0"/>
        <w:spacing w:after="120" w:line="240" w:lineRule="auto"/>
        <w:jc w:val="both"/>
        <w:rPr>
          <w:rFonts w:ascii="Arial" w:hAnsi="Arial" w:cs="Arial"/>
          <w:sz w:val="20"/>
          <w:szCs w:val="20"/>
        </w:rPr>
      </w:pPr>
      <w:r w:rsidRPr="00B6647E">
        <w:rPr>
          <w:rFonts w:ascii="Arial" w:hAnsi="Arial" w:cs="Arial"/>
          <w:sz w:val="20"/>
          <w:szCs w:val="20"/>
        </w:rPr>
        <w:t>Encadrement : Perception des membres des ménages de l’effectivité de l’encadrement assuré par l’Etat ou les ONG/Projets ;</w:t>
      </w:r>
    </w:p>
    <w:p w:rsidR="00E51ED6" w:rsidRPr="00B6647E" w:rsidRDefault="00E51ED6" w:rsidP="00B61DF5">
      <w:pPr>
        <w:autoSpaceDE w:val="0"/>
        <w:autoSpaceDN w:val="0"/>
        <w:adjustRightInd w:val="0"/>
        <w:spacing w:after="120" w:line="240" w:lineRule="auto"/>
        <w:jc w:val="both"/>
        <w:rPr>
          <w:rFonts w:ascii="Arial" w:hAnsi="Arial" w:cs="Arial"/>
          <w:sz w:val="20"/>
          <w:szCs w:val="20"/>
        </w:rPr>
      </w:pPr>
      <w:r w:rsidRPr="00B6647E">
        <w:rPr>
          <w:rFonts w:ascii="Arial" w:hAnsi="Arial" w:cs="Arial"/>
          <w:sz w:val="20"/>
          <w:szCs w:val="20"/>
        </w:rPr>
        <w:t>Semences et plants améliorés : Les semences et plants améliorés sont des semences importées ou produites par des maisons spécialisées ou par des producteurs semenciers certifiés et vendues par les maisons de commerce ou fournies par les structures d’encadrement et ONG.</w:t>
      </w:r>
    </w:p>
    <w:p w:rsidR="00E51ED6" w:rsidRPr="00B6647E" w:rsidRDefault="00E51ED6" w:rsidP="00B61DF5">
      <w:pPr>
        <w:widowControl w:val="0"/>
        <w:spacing w:after="120" w:line="240" w:lineRule="auto"/>
        <w:jc w:val="both"/>
        <w:rPr>
          <w:rFonts w:ascii="Arial" w:hAnsi="Arial" w:cs="Arial"/>
          <w:sz w:val="20"/>
          <w:szCs w:val="20"/>
        </w:rPr>
      </w:pPr>
      <w:r w:rsidRPr="00B6647E">
        <w:rPr>
          <w:rFonts w:ascii="Arial" w:hAnsi="Arial" w:cs="Arial"/>
          <w:sz w:val="20"/>
          <w:szCs w:val="20"/>
        </w:rPr>
        <w:t xml:space="preserve">Métayage : Mode d’exploitation par lequel l’exploitant donne une partie de sa récolte au propriétaire du champ. </w:t>
      </w:r>
    </w:p>
    <w:p w:rsidR="00E51ED6" w:rsidRPr="00B6647E" w:rsidRDefault="00E51ED6" w:rsidP="00B61DF5">
      <w:pPr>
        <w:autoSpaceDE w:val="0"/>
        <w:autoSpaceDN w:val="0"/>
        <w:adjustRightInd w:val="0"/>
        <w:spacing w:after="120" w:line="240" w:lineRule="auto"/>
        <w:jc w:val="both"/>
        <w:rPr>
          <w:rFonts w:ascii="Arial" w:hAnsi="Arial" w:cs="Arial"/>
          <w:sz w:val="20"/>
          <w:szCs w:val="20"/>
        </w:rPr>
      </w:pPr>
      <w:r w:rsidRPr="00B6647E">
        <w:rPr>
          <w:rFonts w:ascii="Arial" w:hAnsi="Arial" w:cs="Arial"/>
          <w:sz w:val="20"/>
          <w:szCs w:val="20"/>
        </w:rPr>
        <w:t>Loyer fixe : C’est le cas où l’exploitant et le propriétaire se sont entendus sur une rémunération quel que soit le niveau de la récolte.</w:t>
      </w:r>
    </w:p>
    <w:p w:rsidR="00E51ED6" w:rsidRPr="00B6647E" w:rsidRDefault="00E51ED6" w:rsidP="00B61DF5">
      <w:pPr>
        <w:autoSpaceDE w:val="0"/>
        <w:autoSpaceDN w:val="0"/>
        <w:adjustRightInd w:val="0"/>
        <w:spacing w:after="120" w:line="240" w:lineRule="auto"/>
        <w:jc w:val="both"/>
        <w:rPr>
          <w:rFonts w:ascii="Arial" w:hAnsi="Arial" w:cs="Arial"/>
          <w:sz w:val="20"/>
          <w:szCs w:val="20"/>
        </w:rPr>
      </w:pPr>
      <w:r w:rsidRPr="00B6647E">
        <w:rPr>
          <w:rFonts w:ascii="Arial" w:hAnsi="Arial" w:cs="Arial"/>
          <w:sz w:val="20"/>
          <w:szCs w:val="20"/>
        </w:rPr>
        <w:t xml:space="preserve">Mode traditionnel : Travail effectué par la force humaine seulement. </w:t>
      </w:r>
    </w:p>
    <w:p w:rsidR="00E51ED6" w:rsidRPr="00B6647E" w:rsidRDefault="00E51ED6" w:rsidP="00B61DF5">
      <w:pPr>
        <w:autoSpaceDE w:val="0"/>
        <w:autoSpaceDN w:val="0"/>
        <w:adjustRightInd w:val="0"/>
        <w:spacing w:after="120" w:line="240" w:lineRule="auto"/>
        <w:jc w:val="both"/>
        <w:rPr>
          <w:rFonts w:ascii="Arial" w:hAnsi="Arial" w:cs="Arial"/>
          <w:sz w:val="20"/>
          <w:szCs w:val="20"/>
        </w:rPr>
      </w:pPr>
      <w:r w:rsidRPr="00B6647E">
        <w:rPr>
          <w:rFonts w:ascii="Arial" w:hAnsi="Arial" w:cs="Arial"/>
          <w:sz w:val="20"/>
          <w:szCs w:val="20"/>
        </w:rPr>
        <w:t>Mode attelé (</w:t>
      </w:r>
      <w:r w:rsidRPr="00B6647E">
        <w:rPr>
          <w:rFonts w:ascii="Arial" w:hAnsi="Arial" w:cs="Arial"/>
          <w:i/>
          <w:sz w:val="20"/>
          <w:szCs w:val="20"/>
        </w:rPr>
        <w:t>madudu</w:t>
      </w:r>
      <w:r w:rsidRPr="00B6647E">
        <w:rPr>
          <w:rFonts w:ascii="Arial" w:hAnsi="Arial" w:cs="Arial"/>
          <w:sz w:val="20"/>
          <w:szCs w:val="20"/>
        </w:rPr>
        <w:t xml:space="preserve">), Travail effectué avec l’aide d’un animal qui tire une charrue. </w:t>
      </w:r>
    </w:p>
    <w:p w:rsidR="00E51ED6" w:rsidRPr="00B6647E" w:rsidRDefault="00E51ED6" w:rsidP="00B61DF5">
      <w:pPr>
        <w:autoSpaceDE w:val="0"/>
        <w:autoSpaceDN w:val="0"/>
        <w:adjustRightInd w:val="0"/>
        <w:spacing w:after="120" w:line="240" w:lineRule="auto"/>
        <w:jc w:val="both"/>
        <w:rPr>
          <w:rFonts w:ascii="Arial" w:hAnsi="Arial" w:cs="Arial"/>
          <w:sz w:val="20"/>
          <w:szCs w:val="20"/>
        </w:rPr>
      </w:pPr>
      <w:r w:rsidRPr="00B6647E">
        <w:rPr>
          <w:rFonts w:ascii="Arial" w:hAnsi="Arial" w:cs="Arial"/>
          <w:sz w:val="20"/>
          <w:szCs w:val="20"/>
        </w:rPr>
        <w:t>Culture ou labour mécanisé : Fait appel à des machines motorisées.</w:t>
      </w:r>
    </w:p>
    <w:p w:rsidR="00B61DF5" w:rsidRDefault="00B61DF5">
      <w:pPr>
        <w:rPr>
          <w:rFonts w:ascii="Arial" w:eastAsia="Times New Roman" w:hAnsi="Arial" w:cs="Arial"/>
          <w:b/>
          <w:color w:val="365F91"/>
          <w:sz w:val="24"/>
          <w:szCs w:val="24"/>
          <w:lang w:eastAsia="fr-FR"/>
        </w:rPr>
      </w:pPr>
      <w:r>
        <w:rPr>
          <w:rFonts w:cs="Arial"/>
          <w:color w:val="365F91"/>
        </w:rPr>
        <w:br w:type="page"/>
      </w:r>
    </w:p>
    <w:p w:rsidR="000552AE" w:rsidRPr="00B6647E" w:rsidRDefault="000552AE" w:rsidP="00E51ED6">
      <w:pPr>
        <w:pStyle w:val="Titre1"/>
        <w:keepNext w:val="0"/>
        <w:numPr>
          <w:ilvl w:val="0"/>
          <w:numId w:val="0"/>
        </w:numPr>
        <w:ind w:left="432" w:hanging="432"/>
        <w:rPr>
          <w:rFonts w:cs="Arial"/>
          <w:color w:val="365F91"/>
        </w:rPr>
      </w:pPr>
      <w:bookmarkStart w:id="13" w:name="_Toc354313815"/>
      <w:r w:rsidRPr="00B6647E">
        <w:rPr>
          <w:rFonts w:cs="Arial"/>
          <w:color w:val="365F91"/>
        </w:rPr>
        <w:lastRenderedPageBreak/>
        <w:t>Résumé exécutif</w:t>
      </w:r>
      <w:bookmarkEnd w:id="13"/>
    </w:p>
    <w:p w:rsidR="001A3AEF" w:rsidRPr="00B6647E" w:rsidRDefault="00DF50D8" w:rsidP="00E51ED6">
      <w:pPr>
        <w:spacing w:after="0" w:line="240" w:lineRule="auto"/>
        <w:rPr>
          <w:rFonts w:ascii="Arial" w:hAnsi="Arial" w:cs="Arial"/>
          <w:sz w:val="20"/>
          <w:szCs w:val="20"/>
        </w:rPr>
      </w:pPr>
      <w:r w:rsidRPr="00DF50D8">
        <w:rPr>
          <w:rFonts w:ascii="Arial" w:hAnsi="Arial" w:cs="Arial"/>
          <w:noProof/>
        </w:rPr>
        <w:pict>
          <v:shape id="_x0000_s1028" type="#_x0000_t32" style="position:absolute;margin-left:1.15pt;margin-top:4.8pt;width:453.55pt;height:0;z-index:25166438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4ufrAIAAJcFAAAOAAAAZHJzL2Uyb0RvYy54bWysVE2PmzAQvVfqf7B8Z4FACEFLVlkCvWzb&#10;lXarnh1sglWwke18rKr+945NQjfbS1UtB+SPmTdvZt749u7Ud+jAlOZS5Di8CTBiopaUi12Ovz1X&#10;XoqRNkRQ0knBcvzCNL5bffxwexwyNpOt7ChTCECEzo5Djltjhsz3dd2ynugbOTABl41UPTGwVTuf&#10;KnIE9L7zZ0GQ+Eep6KBkzbSG0814iVcOv2lYbb42jWYGdTkGbsb9lftv7d9f3ZJsp8jQ8vpMg/wH&#10;i55wAUEnqA0xBO0V/wuq57WSWjbmppa9L5uG18zlANmEwZtsnloyMJcLFEcPU5n0+8HWXw6PCnGa&#10;42WCkSA99Gi9N9KFRjNbn+OgMzArxKOyGdYn8TQ8yPqHRkIWLRE75oyfXwbwDa2Hf+ViN3qAKNvj&#10;Z0nBhgC+K9apUb2FhDKgk+vJy9QTdjKohsP5IgmCdI5RfbnzSXZxHJQ2n5jskV3kWBtF+K41hRQC&#10;Oi9V6MKQw4M2lhbJLg42qpAV7zongE6gY46jNAwC56Flx6m9tXZa7bZFp9CBgIaiZF4txyTh5rWZ&#10;kntBHVrLCC3Pa0N4N64heicsHnOyHCnB7mRg6c4hYyeZn8tgWaZlGnvxLCm9ONhsvHVVxF5ShYv5&#10;JtoUxSb8ZYmGcdZySpmwXC/yDeN/k8d5kEbhTQKequJfo7vyAdlrputqHiziKPUWi3nkxVEZePdp&#10;VXjrIkySRXlf3JdvmJYue/0+ZKdSWlZyb5h6aukRUW7VMEujJbw+lMO4R2mQBMsFRqTbwTtVG4WR&#10;kuY7N60Tr5Wdxbjq9SyOqmQ8J93QklEB8wA+p/LJ3NVmCj9W6tJku5vadE7+Ty1BFBcBuKGxczJO&#10;3FbSl0d1GSaYfud0fqns8/J6D+vX7+nqNwAAAP//AwBQSwMEFAAGAAgAAAAhABLqZCjcAAAABQEA&#10;AA8AAABkcnMvZG93bnJldi54bWxMjlFLwzAUhd+F/YdwB76ISzdLWWvTMRRxDBGs/oC0uTbF5qY0&#10;Wdv564170cfDOXzny3ez6diIg2stCVivImBItVUtNQI+3p9ut8Ccl6RkZwkFnNHBrlhc5TJTdqI3&#10;HEvfsAAhl0kB2vs+49zVGo10K9sjhe7TDkb6EIeGq0FOAW46vomihBvZUnjQsscHjfVXeTICpjE5&#10;vtxs+fx9fC3PTRUfHvVzLMT1ct7fA/M4+78x/OoHdSiCU2VPpBzrBGzuwlBAmgALbRqlMbDqknmR&#10;8//2xQ8AAAD//wMAUEsBAi0AFAAGAAgAAAAhALaDOJL+AAAA4QEAABMAAAAAAAAAAAAAAAAAAAAA&#10;AFtDb250ZW50X1R5cGVzXS54bWxQSwECLQAUAAYACAAAACEAOP0h/9YAAACUAQAACwAAAAAAAAAA&#10;AAAAAAAvAQAAX3JlbHMvLnJlbHNQSwECLQAUAAYACAAAACEAJvOLn6wCAACXBQAADgAAAAAAAAAA&#10;AAAAAAAuAgAAZHJzL2Uyb0RvYy54bWxQSwECLQAUAAYACAAAACEAEupkKNwAAAAFAQAADwAAAAAA&#10;AAAAAAAAAAAGBQAAZHJzL2Rvd25yZXYueG1sUEsFBgAAAAAEAAQA8wAAAA8GAAAAAA==&#10;" strokecolor="#365f91" strokeweight="3pt">
            <v:shadow color="#243f60" opacity=".5" offset="1pt"/>
          </v:shape>
        </w:pict>
      </w:r>
    </w:p>
    <w:p w:rsidR="000552AE" w:rsidRPr="00B6647E" w:rsidRDefault="000552AE" w:rsidP="00E51ED6">
      <w:pPr>
        <w:pStyle w:val="Paragraphedeliste"/>
        <w:spacing w:after="0" w:line="240" w:lineRule="auto"/>
        <w:ind w:left="0"/>
        <w:rPr>
          <w:rFonts w:ascii="Arial" w:hAnsi="Arial" w:cs="Arial"/>
          <w:sz w:val="20"/>
          <w:szCs w:val="20"/>
        </w:rPr>
      </w:pPr>
    </w:p>
    <w:p w:rsidR="003B3BC7" w:rsidRPr="00400B57" w:rsidRDefault="003B3BC7" w:rsidP="00767E43">
      <w:pPr>
        <w:pStyle w:val="Commentaire"/>
        <w:jc w:val="both"/>
        <w:rPr>
          <w:rFonts w:ascii="Arial" w:hAnsi="Arial" w:cs="Arial"/>
          <w:spacing w:val="-3"/>
        </w:rPr>
      </w:pPr>
      <w:r w:rsidRPr="00400B57">
        <w:rPr>
          <w:rFonts w:ascii="Arial" w:hAnsi="Arial" w:cs="Arial"/>
        </w:rPr>
        <w:t>L’</w:t>
      </w:r>
      <w:r w:rsidR="00767E43" w:rsidRPr="00400B57">
        <w:rPr>
          <w:rFonts w:ascii="Arial" w:hAnsi="Arial" w:cs="Arial"/>
        </w:rPr>
        <w:t>Enquête Nationale Agricole du Burundi (</w:t>
      </w:r>
      <w:r w:rsidRPr="00400B57">
        <w:rPr>
          <w:rFonts w:ascii="Arial" w:hAnsi="Arial" w:cs="Arial"/>
        </w:rPr>
        <w:t>ENAB</w:t>
      </w:r>
      <w:r w:rsidR="00767E43" w:rsidRPr="00400B57">
        <w:rPr>
          <w:rFonts w:ascii="Arial" w:hAnsi="Arial" w:cs="Arial"/>
        </w:rPr>
        <w:t>)</w:t>
      </w:r>
      <w:r w:rsidRPr="00400B57">
        <w:rPr>
          <w:rFonts w:ascii="Arial" w:hAnsi="Arial" w:cs="Arial"/>
        </w:rPr>
        <w:t xml:space="preserve"> 2011-2012 est une enquête par sondage à deux degrés qui couvre toutes les provinces (sauf Bujumbura mairie). Au premier degré, 320 zones de dénombrement (ZD) ont été tirées à probabilités inégales à raison de 20 ZD par province. Dans chaque ZD échantillon huit ménages ont été sélectionnés à probabilités égales. La taille totale de l’échantillon est de 2560 ménages. L’enquête couvre la campagne agricole 2011-2012 (septembre 2011 à Août 2012) qui est composée de trois saisons (A, B et C). La saison A va du 16 septembre 2011 au 15 février 2012</w:t>
      </w:r>
      <w:r w:rsidR="00767E43" w:rsidRPr="00400B57">
        <w:rPr>
          <w:rFonts w:ascii="Arial" w:hAnsi="Arial" w:cs="Arial"/>
        </w:rPr>
        <w:t> ;</w:t>
      </w:r>
      <w:r w:rsidRPr="00400B57">
        <w:rPr>
          <w:rFonts w:ascii="Arial" w:hAnsi="Arial" w:cs="Arial"/>
        </w:rPr>
        <w:t xml:space="preserve"> la saison B couvre la période allant du 16 février au 15 juin 2012 et la saison C va du 16 juin au 15 septembre 2012. </w:t>
      </w:r>
      <w:r w:rsidR="00767E43" w:rsidRPr="00400B57">
        <w:rPr>
          <w:rFonts w:ascii="Arial" w:hAnsi="Arial" w:cs="Arial"/>
        </w:rPr>
        <w:t>Chaque production a été reportée dans l’enquête (saison A, B et/ou C)  en fonction de son calendrier de réalisation sur le terrain</w:t>
      </w:r>
      <w:r w:rsidRPr="00400B57">
        <w:rPr>
          <w:rFonts w:ascii="Arial" w:hAnsi="Arial" w:cs="Arial"/>
        </w:rPr>
        <w:t>. Les résultats contenus dans ce rapport concernent toue la campagne agricole 2011-2012 (16 septembre 2011 au 15 septembre 2012).</w:t>
      </w:r>
      <w:r w:rsidR="00C54332" w:rsidRPr="00400B57">
        <w:rPr>
          <w:rFonts w:ascii="Arial" w:hAnsi="Arial" w:cs="Arial"/>
        </w:rPr>
        <w:t xml:space="preserve"> Cette première enquête nationale agricole du pays peut servir de référence </w:t>
      </w:r>
      <w:r w:rsidR="00767E43" w:rsidRPr="00400B57">
        <w:rPr>
          <w:rFonts w:ascii="Arial" w:hAnsi="Arial" w:cs="Arial"/>
        </w:rPr>
        <w:t xml:space="preserve">pour le suivi d’un certain nombre d’indicateurs </w:t>
      </w:r>
      <w:r w:rsidR="00A2432C" w:rsidRPr="00400B57">
        <w:rPr>
          <w:rFonts w:ascii="Arial" w:hAnsi="Arial" w:cs="Arial"/>
        </w:rPr>
        <w:t xml:space="preserve">de projets et programmes comme le Programme National d’Investissement Agricole </w:t>
      </w:r>
      <w:r w:rsidR="00767E43" w:rsidRPr="00400B57">
        <w:rPr>
          <w:rFonts w:ascii="Arial" w:hAnsi="Arial" w:cs="Arial"/>
        </w:rPr>
        <w:t>(PNIA</w:t>
      </w:r>
      <w:r w:rsidR="00A2432C" w:rsidRPr="00400B57">
        <w:rPr>
          <w:rFonts w:ascii="Arial" w:hAnsi="Arial" w:cs="Arial"/>
        </w:rPr>
        <w:t>)</w:t>
      </w:r>
      <w:r w:rsidR="00C54332" w:rsidRPr="00400B57">
        <w:rPr>
          <w:rFonts w:ascii="Arial" w:hAnsi="Arial" w:cs="Arial"/>
        </w:rPr>
        <w:t xml:space="preserve"> </w:t>
      </w:r>
    </w:p>
    <w:p w:rsidR="003B3BC7" w:rsidRPr="00400B57" w:rsidRDefault="003B3BC7" w:rsidP="00F77337">
      <w:pPr>
        <w:spacing w:line="240" w:lineRule="auto"/>
        <w:jc w:val="both"/>
        <w:rPr>
          <w:rFonts w:ascii="Arial" w:hAnsi="Arial" w:cs="Arial"/>
          <w:sz w:val="20"/>
          <w:szCs w:val="20"/>
        </w:rPr>
      </w:pPr>
      <w:r w:rsidRPr="00400B57">
        <w:rPr>
          <w:rFonts w:ascii="Arial" w:hAnsi="Arial" w:cs="Arial"/>
          <w:sz w:val="20"/>
          <w:szCs w:val="20"/>
        </w:rPr>
        <w:t>Les pri</w:t>
      </w:r>
      <w:r w:rsidR="00DB0762" w:rsidRPr="00400B57">
        <w:rPr>
          <w:rFonts w:ascii="Arial" w:hAnsi="Arial" w:cs="Arial"/>
          <w:sz w:val="20"/>
          <w:szCs w:val="20"/>
        </w:rPr>
        <w:t>ncipaux résultats montrent que :</w:t>
      </w:r>
    </w:p>
    <w:p w:rsidR="00E04501" w:rsidRPr="00400B57" w:rsidRDefault="00E04501" w:rsidP="00F77337">
      <w:pPr>
        <w:pStyle w:val="Corpsdutexte"/>
        <w:numPr>
          <w:ilvl w:val="0"/>
          <w:numId w:val="15"/>
        </w:numPr>
        <w:spacing w:before="0" w:after="200"/>
        <w:rPr>
          <w:rFonts w:cs="Arial"/>
          <w:sz w:val="20"/>
          <w:szCs w:val="20"/>
        </w:rPr>
      </w:pPr>
      <w:r w:rsidRPr="00400B57">
        <w:rPr>
          <w:rFonts w:cs="Arial"/>
          <w:sz w:val="20"/>
          <w:szCs w:val="20"/>
        </w:rPr>
        <w:t>L’effectif des ménages agricoles du Burundi est estimé à 1.556.529 dont 1.221.688 dirigés par des hommes (78,5 %) et 334.841 dirigés par des femmes (21,5%). La taille moyenne d’un ménage agricole est de 5,1 personnes. Cette taille est de 5,4 personnes dans les ménages dirigés par des hommes et de 3,9 personnes pour les ménages dirigés par des femmes ;</w:t>
      </w:r>
    </w:p>
    <w:p w:rsidR="00E04501" w:rsidRPr="00400B57" w:rsidRDefault="00E04501" w:rsidP="00F77337">
      <w:pPr>
        <w:pStyle w:val="Corpsdutexte"/>
        <w:numPr>
          <w:ilvl w:val="0"/>
          <w:numId w:val="15"/>
        </w:numPr>
        <w:spacing w:before="0" w:after="200"/>
        <w:rPr>
          <w:rFonts w:cs="Arial"/>
          <w:sz w:val="20"/>
          <w:szCs w:val="20"/>
        </w:rPr>
      </w:pPr>
      <w:r w:rsidRPr="00400B57">
        <w:rPr>
          <w:rFonts w:cs="Arial"/>
          <w:sz w:val="20"/>
          <w:szCs w:val="20"/>
        </w:rPr>
        <w:t>L’âge moyen des chefs de ménage est de 42,7 ans dont 40,4 ans pour les hommes et 51,1 ans pour les femmes ;</w:t>
      </w:r>
    </w:p>
    <w:p w:rsidR="00E04501" w:rsidRPr="00400B57" w:rsidRDefault="00E04501" w:rsidP="00F77337">
      <w:pPr>
        <w:pStyle w:val="Corpsdutexte"/>
        <w:numPr>
          <w:ilvl w:val="0"/>
          <w:numId w:val="15"/>
        </w:numPr>
        <w:spacing w:before="0" w:after="200"/>
        <w:rPr>
          <w:rFonts w:cs="Arial"/>
          <w:sz w:val="20"/>
          <w:szCs w:val="20"/>
        </w:rPr>
      </w:pPr>
      <w:r w:rsidRPr="00400B57">
        <w:rPr>
          <w:rFonts w:cs="Arial"/>
          <w:sz w:val="20"/>
          <w:szCs w:val="20"/>
        </w:rPr>
        <w:t>La population agricole</w:t>
      </w:r>
      <w:r w:rsidRPr="00400B57">
        <w:rPr>
          <w:sz w:val="20"/>
          <w:szCs w:val="20"/>
          <w:vertAlign w:val="superscript"/>
        </w:rPr>
        <w:footnoteReference w:id="2"/>
      </w:r>
      <w:r w:rsidRPr="00400B57">
        <w:rPr>
          <w:rFonts w:cs="Arial"/>
          <w:sz w:val="20"/>
          <w:szCs w:val="20"/>
        </w:rPr>
        <w:t xml:space="preserve"> burundaise est estimée à 7.902.860 personnes. Elle est composée de 48,4% d’hommes et de 51,6% de femmes agricoles ;</w:t>
      </w:r>
    </w:p>
    <w:p w:rsidR="00E04501" w:rsidRPr="00400B57" w:rsidRDefault="00E04501" w:rsidP="00F77337">
      <w:pPr>
        <w:pStyle w:val="Corpsdutexte"/>
        <w:numPr>
          <w:ilvl w:val="0"/>
          <w:numId w:val="15"/>
        </w:numPr>
        <w:spacing w:before="0" w:after="200"/>
        <w:rPr>
          <w:rFonts w:cs="Arial"/>
          <w:sz w:val="20"/>
          <w:szCs w:val="20"/>
        </w:rPr>
      </w:pPr>
      <w:r w:rsidRPr="00400B57">
        <w:rPr>
          <w:rFonts w:cs="Arial"/>
          <w:sz w:val="20"/>
          <w:szCs w:val="20"/>
        </w:rPr>
        <w:t>La densité de la population vivant dans les ménages agricoles est estimée à 305,6 personnes au km². Cette densité connait d’importantes variations selon la province considérée. La densité la plus faible est enregistrée à Cankuzo (130,3 habitants au km²) et la plus élevée est observée à Kayanza (464,6 habitants au km²).</w:t>
      </w:r>
    </w:p>
    <w:p w:rsidR="00C809CD" w:rsidRPr="00400B57" w:rsidRDefault="00C809CD" w:rsidP="00F77337">
      <w:pPr>
        <w:pStyle w:val="Corpsdutexte"/>
        <w:numPr>
          <w:ilvl w:val="0"/>
          <w:numId w:val="15"/>
        </w:numPr>
        <w:spacing w:before="0" w:after="200"/>
        <w:rPr>
          <w:rFonts w:cs="Arial"/>
          <w:sz w:val="20"/>
          <w:szCs w:val="20"/>
        </w:rPr>
      </w:pPr>
      <w:r w:rsidRPr="00400B57">
        <w:rPr>
          <w:rFonts w:cs="Arial"/>
          <w:sz w:val="20"/>
          <w:szCs w:val="20"/>
        </w:rPr>
        <w:t>La superficie totale des exploitations a été estimée en 2012 à 803.422 ha</w:t>
      </w:r>
      <w:r w:rsidR="002105A2" w:rsidRPr="00400B57">
        <w:rPr>
          <w:rFonts w:cs="Arial"/>
          <w:sz w:val="20"/>
          <w:szCs w:val="20"/>
        </w:rPr>
        <w:t>, soit en moyenne 0,516 ha par exploitation</w:t>
      </w:r>
      <w:r w:rsidRPr="00400B57">
        <w:rPr>
          <w:rFonts w:cs="Arial"/>
          <w:sz w:val="20"/>
          <w:szCs w:val="20"/>
        </w:rPr>
        <w:t>. Elle est composée principalement de 623.242 ha de superficie physique cultivée pendant les saisons A, B et C, soit 77,6% de la superficie totale de</w:t>
      </w:r>
      <w:r w:rsidR="001D3008" w:rsidRPr="00400B57">
        <w:rPr>
          <w:rFonts w:cs="Arial"/>
          <w:sz w:val="20"/>
          <w:szCs w:val="20"/>
        </w:rPr>
        <w:t>s</w:t>
      </w:r>
      <w:r w:rsidRPr="00400B57">
        <w:rPr>
          <w:rFonts w:cs="Arial"/>
          <w:sz w:val="20"/>
          <w:szCs w:val="20"/>
        </w:rPr>
        <w:t xml:space="preserve"> exploitation</w:t>
      </w:r>
      <w:r w:rsidR="001D3008" w:rsidRPr="00400B57">
        <w:rPr>
          <w:rFonts w:cs="Arial"/>
          <w:sz w:val="20"/>
          <w:szCs w:val="20"/>
        </w:rPr>
        <w:t>s</w:t>
      </w:r>
      <w:r w:rsidRPr="00400B57">
        <w:rPr>
          <w:rFonts w:cs="Arial"/>
          <w:sz w:val="20"/>
          <w:szCs w:val="20"/>
        </w:rPr>
        <w:t>.</w:t>
      </w:r>
      <w:r w:rsidR="00A1665A" w:rsidRPr="00400B57">
        <w:rPr>
          <w:rFonts w:cs="Arial"/>
          <w:sz w:val="20"/>
          <w:szCs w:val="20"/>
        </w:rPr>
        <w:t xml:space="preserve"> Les autres composantes sont : l</w:t>
      </w:r>
      <w:r w:rsidRPr="00400B57">
        <w:rPr>
          <w:rFonts w:cs="Arial"/>
          <w:sz w:val="20"/>
          <w:szCs w:val="20"/>
        </w:rPr>
        <w:t>es jachères avec 63.612 ha (7,9% de la superficie totale des exploitations), les prairies et pâturages occupant 59.584 ha (7,4%), les boisements sur 56.871 ha (7,1%) et les étangs avec 114 ha ne représentent que 0,01% de la superficie totale des exploitations.</w:t>
      </w:r>
    </w:p>
    <w:p w:rsidR="00A1665A" w:rsidRPr="00400B57" w:rsidRDefault="001D3008" w:rsidP="00F77337">
      <w:pPr>
        <w:pStyle w:val="Corpsdutexte"/>
        <w:numPr>
          <w:ilvl w:val="0"/>
          <w:numId w:val="15"/>
        </w:numPr>
        <w:spacing w:before="0" w:after="200"/>
        <w:rPr>
          <w:rFonts w:cs="Arial"/>
          <w:sz w:val="20"/>
          <w:szCs w:val="20"/>
        </w:rPr>
      </w:pPr>
      <w:r w:rsidRPr="00400B57">
        <w:rPr>
          <w:rFonts w:cs="Arial"/>
          <w:sz w:val="20"/>
          <w:szCs w:val="20"/>
        </w:rPr>
        <w:t>La typologie des exploitations agricoles effectuée sur les données de l’ENAB a permis d’identifier quatre classes :</w:t>
      </w:r>
    </w:p>
    <w:p w:rsidR="00A1665A" w:rsidRPr="00400B57" w:rsidRDefault="001D3008" w:rsidP="00A1665A">
      <w:pPr>
        <w:pStyle w:val="Corpsdutexte"/>
        <w:numPr>
          <w:ilvl w:val="1"/>
          <w:numId w:val="15"/>
        </w:numPr>
        <w:spacing w:before="0" w:after="200"/>
        <w:rPr>
          <w:rFonts w:cs="Arial"/>
          <w:sz w:val="20"/>
          <w:szCs w:val="20"/>
        </w:rPr>
      </w:pPr>
      <w:r w:rsidRPr="00400B57">
        <w:rPr>
          <w:rFonts w:cs="Arial"/>
          <w:sz w:val="20"/>
          <w:szCs w:val="20"/>
        </w:rPr>
        <w:t>i) les petites exploitations qui représente</w:t>
      </w:r>
      <w:r w:rsidR="00A1665A" w:rsidRPr="00400B57">
        <w:rPr>
          <w:rFonts w:cs="Arial"/>
          <w:sz w:val="20"/>
          <w:szCs w:val="20"/>
        </w:rPr>
        <w:t>nt</w:t>
      </w:r>
      <w:r w:rsidRPr="00400B57">
        <w:rPr>
          <w:rFonts w:cs="Arial"/>
          <w:sz w:val="20"/>
          <w:szCs w:val="20"/>
        </w:rPr>
        <w:t xml:space="preserve"> 31,6% de l’ensemble des exploitations dirigées par des chefs de ménages âgés en moyenne de 39 ans. Elles ont en moyenne 4 personnes, une superficie de 0,2 ha et une tête de caprin par exploitation ; </w:t>
      </w:r>
    </w:p>
    <w:p w:rsidR="00A1665A" w:rsidRPr="00400B57" w:rsidRDefault="001D3008" w:rsidP="00A1665A">
      <w:pPr>
        <w:pStyle w:val="Corpsdutexte"/>
        <w:numPr>
          <w:ilvl w:val="1"/>
          <w:numId w:val="15"/>
        </w:numPr>
        <w:spacing w:before="0" w:after="200"/>
        <w:rPr>
          <w:rFonts w:cs="Arial"/>
          <w:sz w:val="20"/>
          <w:szCs w:val="20"/>
        </w:rPr>
      </w:pPr>
      <w:r w:rsidRPr="00400B57">
        <w:rPr>
          <w:rFonts w:cs="Arial"/>
          <w:sz w:val="20"/>
          <w:szCs w:val="20"/>
        </w:rPr>
        <w:t xml:space="preserve">ii) </w:t>
      </w:r>
      <w:r w:rsidR="001D2BC6" w:rsidRPr="00400B57">
        <w:rPr>
          <w:rFonts w:cs="Arial"/>
          <w:sz w:val="20"/>
          <w:szCs w:val="20"/>
        </w:rPr>
        <w:t>l</w:t>
      </w:r>
      <w:r w:rsidRPr="00400B57">
        <w:rPr>
          <w:rFonts w:cs="Arial"/>
          <w:sz w:val="20"/>
          <w:szCs w:val="20"/>
        </w:rPr>
        <w:t xml:space="preserve">es exploitations moyennes qui totalise 50,9 % de toutes les exploitations </w:t>
      </w:r>
      <w:r w:rsidR="001D2BC6" w:rsidRPr="00400B57">
        <w:rPr>
          <w:rFonts w:cs="Arial"/>
          <w:sz w:val="20"/>
          <w:szCs w:val="20"/>
        </w:rPr>
        <w:t>et dirigées</w:t>
      </w:r>
      <w:r w:rsidRPr="00400B57">
        <w:rPr>
          <w:rFonts w:cs="Arial"/>
          <w:sz w:val="20"/>
          <w:szCs w:val="20"/>
        </w:rPr>
        <w:t xml:space="preserve"> par des chefs de ménage âgés en moyenne de 44 ans. Elles ont en moyenne  5 personnes, une superficie de 0,5 ha et </w:t>
      </w:r>
      <w:r w:rsidR="001D2BC6" w:rsidRPr="00400B57">
        <w:rPr>
          <w:rFonts w:cs="Arial"/>
          <w:sz w:val="20"/>
          <w:szCs w:val="20"/>
        </w:rPr>
        <w:t>2</w:t>
      </w:r>
      <w:r w:rsidRPr="00400B57">
        <w:rPr>
          <w:rFonts w:cs="Arial"/>
          <w:sz w:val="20"/>
          <w:szCs w:val="20"/>
        </w:rPr>
        <w:t xml:space="preserve"> têtes de caprins par exploitation</w:t>
      </w:r>
      <w:r w:rsidR="001D2BC6" w:rsidRPr="00400B57">
        <w:rPr>
          <w:rFonts w:cs="Arial"/>
          <w:sz w:val="20"/>
          <w:szCs w:val="20"/>
        </w:rPr>
        <w:t xml:space="preserve"> ; </w:t>
      </w:r>
    </w:p>
    <w:p w:rsidR="00A1665A" w:rsidRPr="00400B57" w:rsidRDefault="001D2BC6" w:rsidP="00A1665A">
      <w:pPr>
        <w:pStyle w:val="Corpsdutexte"/>
        <w:numPr>
          <w:ilvl w:val="1"/>
          <w:numId w:val="15"/>
        </w:numPr>
        <w:spacing w:before="0" w:after="200"/>
        <w:rPr>
          <w:rFonts w:cs="Arial"/>
          <w:sz w:val="20"/>
          <w:szCs w:val="20"/>
        </w:rPr>
      </w:pPr>
      <w:r w:rsidRPr="00400B57">
        <w:rPr>
          <w:rFonts w:cs="Arial"/>
          <w:sz w:val="20"/>
          <w:szCs w:val="20"/>
        </w:rPr>
        <w:t>iii) les</w:t>
      </w:r>
      <w:r w:rsidR="001D3008" w:rsidRPr="00400B57">
        <w:rPr>
          <w:rFonts w:cs="Arial"/>
          <w:sz w:val="20"/>
          <w:szCs w:val="20"/>
        </w:rPr>
        <w:t xml:space="preserve"> exploitations intermédiaires qui correspond</w:t>
      </w:r>
      <w:r w:rsidRPr="00400B57">
        <w:rPr>
          <w:rFonts w:cs="Arial"/>
          <w:sz w:val="20"/>
          <w:szCs w:val="20"/>
        </w:rPr>
        <w:t xml:space="preserve">ent </w:t>
      </w:r>
      <w:r w:rsidR="001D3008" w:rsidRPr="00400B57">
        <w:rPr>
          <w:rFonts w:cs="Arial"/>
          <w:sz w:val="20"/>
          <w:szCs w:val="20"/>
        </w:rPr>
        <w:t xml:space="preserve">à 13,7% des exploitations agricoles </w:t>
      </w:r>
      <w:r w:rsidRPr="00400B57">
        <w:rPr>
          <w:rFonts w:cs="Arial"/>
          <w:sz w:val="20"/>
          <w:szCs w:val="20"/>
        </w:rPr>
        <w:t>et dirigées d</w:t>
      </w:r>
      <w:r w:rsidR="001D3008" w:rsidRPr="00400B57">
        <w:rPr>
          <w:rFonts w:cs="Arial"/>
          <w:sz w:val="20"/>
          <w:szCs w:val="20"/>
        </w:rPr>
        <w:t>es chefs d’exploitation âgés en moyenne de 48 ans</w:t>
      </w:r>
      <w:r w:rsidRPr="00400B57">
        <w:rPr>
          <w:rFonts w:cs="Arial"/>
          <w:sz w:val="20"/>
          <w:szCs w:val="20"/>
        </w:rPr>
        <w:t xml:space="preserve">. Elles ont </w:t>
      </w:r>
      <w:r w:rsidRPr="00400B57">
        <w:rPr>
          <w:rFonts w:cs="Arial"/>
          <w:sz w:val="20"/>
          <w:szCs w:val="20"/>
        </w:rPr>
        <w:lastRenderedPageBreak/>
        <w:t xml:space="preserve">en moyenne </w:t>
      </w:r>
      <w:r w:rsidR="001D3008" w:rsidRPr="00400B57">
        <w:rPr>
          <w:rFonts w:cs="Arial"/>
          <w:sz w:val="20"/>
          <w:szCs w:val="20"/>
        </w:rPr>
        <w:t>7 personnes</w:t>
      </w:r>
      <w:r w:rsidRPr="00400B57">
        <w:rPr>
          <w:rFonts w:cs="Arial"/>
          <w:sz w:val="20"/>
          <w:szCs w:val="20"/>
        </w:rPr>
        <w:t xml:space="preserve">, une </w:t>
      </w:r>
      <w:r w:rsidR="001D3008" w:rsidRPr="00400B57">
        <w:rPr>
          <w:rFonts w:cs="Arial"/>
          <w:sz w:val="20"/>
          <w:szCs w:val="20"/>
        </w:rPr>
        <w:t>superficie de 1,1 ha</w:t>
      </w:r>
      <w:r w:rsidRPr="00400B57">
        <w:rPr>
          <w:rFonts w:cs="Arial"/>
          <w:sz w:val="20"/>
          <w:szCs w:val="20"/>
        </w:rPr>
        <w:t xml:space="preserve">, </w:t>
      </w:r>
      <w:r w:rsidR="001D3008" w:rsidRPr="00400B57">
        <w:rPr>
          <w:rFonts w:cs="Arial"/>
          <w:sz w:val="20"/>
          <w:szCs w:val="20"/>
        </w:rPr>
        <w:t>un bovin et trois caprins par exploitation</w:t>
      </w:r>
      <w:r w:rsidRPr="00400B57">
        <w:rPr>
          <w:rFonts w:cs="Arial"/>
          <w:sz w:val="20"/>
          <w:szCs w:val="20"/>
        </w:rPr>
        <w:t xml:space="preserve"> ; </w:t>
      </w:r>
    </w:p>
    <w:p w:rsidR="00C809CD" w:rsidRPr="00400B57" w:rsidRDefault="001D2BC6" w:rsidP="00A1665A">
      <w:pPr>
        <w:pStyle w:val="Corpsdutexte"/>
        <w:numPr>
          <w:ilvl w:val="1"/>
          <w:numId w:val="15"/>
        </w:numPr>
        <w:spacing w:before="0" w:after="200"/>
        <w:rPr>
          <w:rFonts w:cs="Arial"/>
          <w:sz w:val="20"/>
          <w:szCs w:val="20"/>
        </w:rPr>
      </w:pPr>
      <w:r w:rsidRPr="00400B57">
        <w:rPr>
          <w:rFonts w:cs="Arial"/>
          <w:sz w:val="20"/>
          <w:szCs w:val="20"/>
        </w:rPr>
        <w:t>iv) les</w:t>
      </w:r>
      <w:r w:rsidR="001D3008" w:rsidRPr="00400B57">
        <w:rPr>
          <w:rFonts w:cs="Arial"/>
          <w:sz w:val="20"/>
          <w:szCs w:val="20"/>
        </w:rPr>
        <w:t xml:space="preserve"> grandes exploitations qui concerne</w:t>
      </w:r>
      <w:r w:rsidRPr="00400B57">
        <w:rPr>
          <w:rFonts w:cs="Arial"/>
          <w:sz w:val="20"/>
          <w:szCs w:val="20"/>
        </w:rPr>
        <w:t>nt</w:t>
      </w:r>
      <w:r w:rsidR="001D3008" w:rsidRPr="00400B57">
        <w:rPr>
          <w:rFonts w:cs="Arial"/>
          <w:sz w:val="20"/>
          <w:szCs w:val="20"/>
        </w:rPr>
        <w:t xml:space="preserve"> 3,8% de l’ensemble des exploitations</w:t>
      </w:r>
      <w:r w:rsidRPr="00400B57">
        <w:rPr>
          <w:rFonts w:cs="Arial"/>
          <w:sz w:val="20"/>
          <w:szCs w:val="20"/>
        </w:rPr>
        <w:t xml:space="preserve"> et avec d</w:t>
      </w:r>
      <w:r w:rsidR="001D3008" w:rsidRPr="00400B57">
        <w:rPr>
          <w:rFonts w:cs="Arial"/>
          <w:sz w:val="20"/>
          <w:szCs w:val="20"/>
        </w:rPr>
        <w:t>es ch</w:t>
      </w:r>
      <w:r w:rsidRPr="00400B57">
        <w:rPr>
          <w:rFonts w:cs="Arial"/>
          <w:sz w:val="20"/>
          <w:szCs w:val="20"/>
        </w:rPr>
        <w:t xml:space="preserve">efs d’exploitation </w:t>
      </w:r>
      <w:r w:rsidR="001D3008" w:rsidRPr="00400B57">
        <w:rPr>
          <w:rFonts w:cs="Arial"/>
          <w:sz w:val="20"/>
          <w:szCs w:val="20"/>
        </w:rPr>
        <w:t>âgés</w:t>
      </w:r>
      <w:r w:rsidRPr="00400B57">
        <w:rPr>
          <w:rFonts w:cs="Arial"/>
          <w:sz w:val="20"/>
          <w:szCs w:val="20"/>
        </w:rPr>
        <w:t xml:space="preserve"> en moyenne 50 ans. Elles ont en moyenne 8 personnes, une </w:t>
      </w:r>
      <w:r w:rsidR="001D3008" w:rsidRPr="00400B57">
        <w:rPr>
          <w:rFonts w:cs="Arial"/>
          <w:sz w:val="20"/>
          <w:szCs w:val="20"/>
        </w:rPr>
        <w:t>superficie</w:t>
      </w:r>
      <w:r w:rsidRPr="00400B57">
        <w:rPr>
          <w:rFonts w:cs="Arial"/>
          <w:sz w:val="20"/>
          <w:szCs w:val="20"/>
        </w:rPr>
        <w:t xml:space="preserve"> de</w:t>
      </w:r>
      <w:r w:rsidR="001D3008" w:rsidRPr="00400B57">
        <w:rPr>
          <w:rFonts w:cs="Arial"/>
          <w:sz w:val="20"/>
          <w:szCs w:val="20"/>
        </w:rPr>
        <w:t xml:space="preserve"> 2 ha</w:t>
      </w:r>
      <w:r w:rsidRPr="00400B57">
        <w:rPr>
          <w:rFonts w:cs="Arial"/>
          <w:sz w:val="20"/>
          <w:szCs w:val="20"/>
        </w:rPr>
        <w:t xml:space="preserve">, </w:t>
      </w:r>
      <w:r w:rsidR="001D3008" w:rsidRPr="00400B57">
        <w:rPr>
          <w:rFonts w:cs="Arial"/>
          <w:sz w:val="20"/>
          <w:szCs w:val="20"/>
        </w:rPr>
        <w:t xml:space="preserve">deux bovins et </w:t>
      </w:r>
      <w:r w:rsidRPr="00400B57">
        <w:rPr>
          <w:rFonts w:cs="Arial"/>
          <w:sz w:val="20"/>
          <w:szCs w:val="20"/>
        </w:rPr>
        <w:t xml:space="preserve">quatre </w:t>
      </w:r>
      <w:r w:rsidR="001D3008" w:rsidRPr="00400B57">
        <w:rPr>
          <w:rFonts w:cs="Arial"/>
          <w:sz w:val="20"/>
          <w:szCs w:val="20"/>
        </w:rPr>
        <w:t>caprins par exploitation</w:t>
      </w:r>
      <w:r w:rsidR="00A1665A" w:rsidRPr="00400B57">
        <w:rPr>
          <w:rFonts w:cs="Arial"/>
          <w:sz w:val="20"/>
          <w:szCs w:val="20"/>
        </w:rPr>
        <w:t>.</w:t>
      </w:r>
    </w:p>
    <w:p w:rsidR="00610C37" w:rsidRPr="00400B57" w:rsidRDefault="00610C37" w:rsidP="00F77337">
      <w:pPr>
        <w:pStyle w:val="Corpsdutexte"/>
        <w:numPr>
          <w:ilvl w:val="0"/>
          <w:numId w:val="15"/>
        </w:numPr>
        <w:spacing w:before="0" w:after="200"/>
        <w:rPr>
          <w:rFonts w:cs="Arial"/>
          <w:sz w:val="20"/>
          <w:szCs w:val="20"/>
        </w:rPr>
      </w:pPr>
      <w:r w:rsidRPr="00400B57">
        <w:rPr>
          <w:rFonts w:cs="Arial"/>
          <w:sz w:val="20"/>
          <w:szCs w:val="20"/>
        </w:rPr>
        <w:t>La superficie totale cultivée pendant la campagne agricole 2011-2012 a été estimée à 1.261.489 ha</w:t>
      </w:r>
      <w:r w:rsidRPr="00400B57">
        <w:rPr>
          <w:sz w:val="20"/>
          <w:szCs w:val="20"/>
          <w:vertAlign w:val="superscript"/>
        </w:rPr>
        <w:footnoteReference w:id="3"/>
      </w:r>
      <w:r w:rsidRPr="00400B57">
        <w:rPr>
          <w:rFonts w:cs="Arial"/>
          <w:sz w:val="20"/>
          <w:szCs w:val="20"/>
        </w:rPr>
        <w:t xml:space="preserve"> dans laquelle la superficie cultivée pendant la saison A représente 34,3%, celle de la saison B en constitue 35,4% et la saison C est formée de 30,3%.</w:t>
      </w:r>
    </w:p>
    <w:p w:rsidR="00DC71D9" w:rsidRPr="00400B57" w:rsidRDefault="00DC71D9" w:rsidP="00F77337">
      <w:pPr>
        <w:pStyle w:val="Corpsdutexte"/>
        <w:numPr>
          <w:ilvl w:val="0"/>
          <w:numId w:val="15"/>
        </w:numPr>
        <w:spacing w:before="0" w:after="200"/>
        <w:rPr>
          <w:rFonts w:cs="Arial"/>
          <w:sz w:val="20"/>
          <w:szCs w:val="20"/>
        </w:rPr>
      </w:pPr>
      <w:r w:rsidRPr="00400B57">
        <w:rPr>
          <w:rFonts w:cs="Arial"/>
          <w:sz w:val="20"/>
          <w:szCs w:val="20"/>
        </w:rPr>
        <w:t>La superficie cultivée dans les marais est passée de 13.999 ha au cours de la saison A, à 15.723 ha en saison B puis à 36.706 ha pendant la saison C.</w:t>
      </w:r>
    </w:p>
    <w:p w:rsidR="00BD5352" w:rsidRPr="00400B57" w:rsidRDefault="00BD5352" w:rsidP="00F77337">
      <w:pPr>
        <w:pStyle w:val="Paragraphedeliste"/>
        <w:numPr>
          <w:ilvl w:val="0"/>
          <w:numId w:val="15"/>
        </w:numPr>
        <w:spacing w:line="240" w:lineRule="auto"/>
        <w:contextualSpacing w:val="0"/>
        <w:jc w:val="both"/>
        <w:rPr>
          <w:rFonts w:ascii="Arial" w:hAnsi="Arial" w:cs="Arial"/>
          <w:sz w:val="20"/>
          <w:szCs w:val="20"/>
        </w:rPr>
      </w:pPr>
      <w:r w:rsidRPr="00400B57">
        <w:rPr>
          <w:rFonts w:ascii="Arial" w:hAnsi="Arial" w:cs="Arial"/>
          <w:sz w:val="20"/>
          <w:szCs w:val="20"/>
        </w:rPr>
        <w:t>Au cours de la saison A, les parcelles en cultures pures représentent 32,1% des parcelles qui portent des cultures vivrières contre 39,5% en saison B et 59,9% en saison C. Les parcelles avec des cultures associées constituent 67,9% en saison A (26,2% de parcelles avec deux cultures, 23% avec trois cultures, 14,2% avec quatre cultures et 4,5% avec cinq cultures), 60,5% pendant la saison B (29,3% de parcelles avec deux cultures, 18,8% avec trois cultures, 9,5% avec quatre cultures et 2,9% avec cinq cultures) et 40,2% au cours de la saison C (28,5% de parcelles avec deux cultures, 8,9% avec trois cultures, 2,4% avec quatre cultures et 0,4% avec cinq cultures).</w:t>
      </w:r>
    </w:p>
    <w:p w:rsidR="00FB0E4A" w:rsidRPr="00400B57" w:rsidRDefault="00FB0E4A" w:rsidP="00F77337">
      <w:pPr>
        <w:pStyle w:val="Paragraphedeliste"/>
        <w:numPr>
          <w:ilvl w:val="0"/>
          <w:numId w:val="15"/>
        </w:numPr>
        <w:spacing w:line="240" w:lineRule="auto"/>
        <w:contextualSpacing w:val="0"/>
        <w:jc w:val="both"/>
        <w:rPr>
          <w:rFonts w:ascii="Arial" w:hAnsi="Arial" w:cs="Arial"/>
          <w:sz w:val="20"/>
          <w:szCs w:val="20"/>
        </w:rPr>
      </w:pPr>
      <w:r w:rsidRPr="00400B57">
        <w:rPr>
          <w:rFonts w:ascii="Arial" w:hAnsi="Arial" w:cs="Arial"/>
          <w:sz w:val="20"/>
          <w:szCs w:val="20"/>
        </w:rPr>
        <w:t>Au cours de la campagne agricole 2011-2012, les cultures les plus pratiquées et communes aux trois saisons sont la banane à bière(75,4% en saison A, 74,5% au cours de la saison B et 70,3% pendant la saison C), le manioc amer (76,9% pendant la saison A, 74,3% au cours de la saison B et 68,2% en saison C), la banane à cuire (70,4% au cours de la saison A, 63,2% en saison B et 59,9% pendant la saison C) et la patate douce (73,9% en saison A, 67,1% au cours de la saison B et 56,5% pendant la saison C)</w:t>
      </w:r>
    </w:p>
    <w:p w:rsidR="00875224" w:rsidRPr="00400B57" w:rsidRDefault="00875224" w:rsidP="00F77337">
      <w:pPr>
        <w:pStyle w:val="Paragraphedeliste"/>
        <w:numPr>
          <w:ilvl w:val="0"/>
          <w:numId w:val="15"/>
        </w:numPr>
        <w:spacing w:line="240" w:lineRule="auto"/>
        <w:contextualSpacing w:val="0"/>
        <w:jc w:val="both"/>
        <w:rPr>
          <w:rFonts w:ascii="Arial" w:hAnsi="Arial" w:cs="Arial"/>
          <w:sz w:val="20"/>
          <w:szCs w:val="20"/>
        </w:rPr>
      </w:pPr>
      <w:r w:rsidRPr="00400B57">
        <w:rPr>
          <w:rFonts w:ascii="Arial" w:hAnsi="Arial" w:cs="Arial"/>
          <w:sz w:val="20"/>
          <w:szCs w:val="20"/>
        </w:rPr>
        <w:t>La superficie totale des cultures vivrières cumulée sur les trois saisons a été estimée à 1.210.604 ha qui se répartissent en 407.276 ha (33,6%) en saison A, 432928 ha (35,8%) pendant la saison B et 370.400 ha (30,6%) au cours de la saison C.</w:t>
      </w:r>
    </w:p>
    <w:p w:rsidR="00D10B2B" w:rsidRDefault="00D10B2B" w:rsidP="00F77337">
      <w:pPr>
        <w:pStyle w:val="Paragraphedeliste"/>
        <w:numPr>
          <w:ilvl w:val="0"/>
          <w:numId w:val="15"/>
        </w:numPr>
        <w:spacing w:line="240" w:lineRule="auto"/>
        <w:contextualSpacing w:val="0"/>
        <w:jc w:val="both"/>
        <w:rPr>
          <w:rFonts w:ascii="Arial" w:hAnsi="Arial" w:cs="Arial"/>
          <w:sz w:val="20"/>
          <w:szCs w:val="20"/>
        </w:rPr>
      </w:pPr>
      <w:r w:rsidRPr="00400B57">
        <w:rPr>
          <w:rFonts w:ascii="Arial" w:hAnsi="Arial" w:cs="Arial"/>
          <w:sz w:val="20"/>
          <w:szCs w:val="20"/>
        </w:rPr>
        <w:t xml:space="preserve">Au cours de toute la campagne agricole 2011-2012, la superficie des parcelles occupées en culture pure et principale par des céréales au cours des trois saisons a été estimée </w:t>
      </w:r>
      <w:r w:rsidRPr="00400B57">
        <w:rPr>
          <w:rFonts w:ascii="Arial" w:hAnsi="Arial" w:cs="Arial"/>
          <w:sz w:val="20"/>
          <w:szCs w:val="20"/>
          <w:lang w:val="fr-FR"/>
        </w:rPr>
        <w:t>à</w:t>
      </w:r>
      <w:r w:rsidRPr="00400B57">
        <w:rPr>
          <w:rFonts w:ascii="Arial" w:hAnsi="Arial" w:cs="Arial"/>
          <w:sz w:val="20"/>
          <w:szCs w:val="20"/>
        </w:rPr>
        <w:t xml:space="preserve"> 222.623 ha, celle des légumineuses à 353.810 ha. Les superficies des bananes ont été évaluées à 178.036 ha, celles des tubercules et racines à 427.554 ha et celle d’oléagineux à 28.582 ha. </w:t>
      </w:r>
    </w:p>
    <w:p w:rsidR="00406AB7" w:rsidRPr="00400B57" w:rsidRDefault="00406AB7" w:rsidP="00406AB7">
      <w:pPr>
        <w:pStyle w:val="Paragraphedeliste"/>
        <w:numPr>
          <w:ilvl w:val="0"/>
          <w:numId w:val="15"/>
        </w:numPr>
        <w:spacing w:line="240" w:lineRule="auto"/>
        <w:contextualSpacing w:val="0"/>
        <w:jc w:val="both"/>
        <w:rPr>
          <w:rFonts w:ascii="Arial" w:hAnsi="Arial" w:cs="Arial"/>
          <w:sz w:val="20"/>
          <w:szCs w:val="20"/>
        </w:rPr>
      </w:pPr>
      <w:r w:rsidRPr="00400B57">
        <w:rPr>
          <w:rFonts w:ascii="Arial" w:hAnsi="Arial" w:cs="Arial"/>
          <w:sz w:val="20"/>
          <w:szCs w:val="20"/>
        </w:rPr>
        <w:t xml:space="preserve">La production totale pendant la campagne agricole 2011-2012 a été estimée pour les céréales à 246.348 tonnes, pour les </w:t>
      </w:r>
      <w:r w:rsidRPr="00400B57">
        <w:rPr>
          <w:rFonts w:ascii="Arial" w:hAnsi="Arial" w:cs="Arial"/>
          <w:sz w:val="20"/>
          <w:szCs w:val="20"/>
          <w:lang w:eastAsia="fr-FR"/>
        </w:rPr>
        <w:t xml:space="preserve">légumineuses à 236.657 tonnes. Celle de la banane a été estimée à 1.184.075 tonnes, celle des tubercules et racines à 2.051.323 tonnes et la production </w:t>
      </w:r>
      <w:r w:rsidRPr="00400B57">
        <w:rPr>
          <w:rFonts w:ascii="Arial" w:hAnsi="Arial" w:cs="Arial"/>
          <w:sz w:val="20"/>
          <w:szCs w:val="20"/>
        </w:rPr>
        <w:t>d’oléagineux a été estimée à 13.495 tonnes.</w:t>
      </w:r>
    </w:p>
    <w:p w:rsidR="00FB0E4A" w:rsidRPr="00400B57" w:rsidRDefault="00875224" w:rsidP="00F77337">
      <w:pPr>
        <w:pStyle w:val="Paragraphedeliste"/>
        <w:numPr>
          <w:ilvl w:val="0"/>
          <w:numId w:val="15"/>
        </w:numPr>
        <w:spacing w:line="240" w:lineRule="auto"/>
        <w:contextualSpacing w:val="0"/>
        <w:jc w:val="both"/>
        <w:rPr>
          <w:rFonts w:ascii="Arial" w:hAnsi="Arial" w:cs="Arial"/>
          <w:sz w:val="20"/>
          <w:szCs w:val="20"/>
        </w:rPr>
      </w:pPr>
      <w:r w:rsidRPr="00400B57">
        <w:rPr>
          <w:rFonts w:ascii="Arial" w:hAnsi="Arial" w:cs="Arial"/>
          <w:sz w:val="20"/>
          <w:szCs w:val="20"/>
        </w:rPr>
        <w:t>La production totale des cultures vivrières de la campagne agricole 2011-2012 a été estimée à 1.413.143 tonnes équivalent céréale</w:t>
      </w:r>
      <w:r w:rsidRPr="00400B57">
        <w:rPr>
          <w:rFonts w:ascii="Arial" w:hAnsi="Arial"/>
          <w:sz w:val="20"/>
          <w:szCs w:val="20"/>
          <w:vertAlign w:val="superscript"/>
        </w:rPr>
        <w:footnoteReference w:id="4"/>
      </w:r>
      <w:r w:rsidRPr="00400B57">
        <w:rPr>
          <w:rFonts w:ascii="Arial" w:hAnsi="Arial" w:cs="Arial"/>
          <w:sz w:val="20"/>
          <w:szCs w:val="20"/>
        </w:rPr>
        <w:t xml:space="preserve">, soit en moyenne 908 kg équivalent céréale (KEC) par ménage agricole (158 KEC de céréales, 157 KEC de légumineuses, 138 KEC de banane, 441 KEC de tubercules et 13 KEC d’oléagineux). Cette moyenne correspond à 280 jours de consommation par personne. </w:t>
      </w:r>
      <w:r w:rsidR="007B4653" w:rsidRPr="00400B57">
        <w:rPr>
          <w:rFonts w:ascii="Arial" w:hAnsi="Arial" w:cs="Arial"/>
          <w:sz w:val="20"/>
          <w:szCs w:val="20"/>
        </w:rPr>
        <w:t xml:space="preserve">Elle est composée de 686.077 tonnes équivalent céréale (ETC) de tubercules correspondant à 48,5% de la production totale, de 246.348 ETC (17,4%) de céréales, 244.848 ETC (17,3%) de légumineuses, 215.286 ETC (15,2%) de banane et de 20.583 ETC (1,5%) d’oléagineux. La contribution de la saison B dans cette production est estimée 741.884 ETC (52,5%). Celle de saison A évaluée à 335.147 ETC (23,7%) est pratiquement équivalente à celle de la saison C estimée à 336.112 ETC (23,8%). </w:t>
      </w:r>
      <w:r w:rsidRPr="00400B57">
        <w:rPr>
          <w:rFonts w:ascii="Arial" w:hAnsi="Arial" w:cs="Arial"/>
          <w:sz w:val="20"/>
          <w:szCs w:val="20"/>
        </w:rPr>
        <w:t xml:space="preserve">Ces calculs effectués sans prendre en compte la banane à bière et les oléagineux destinés </w:t>
      </w:r>
      <w:r w:rsidRPr="00400B57">
        <w:rPr>
          <w:rFonts w:ascii="Arial" w:hAnsi="Arial" w:cs="Arial"/>
          <w:sz w:val="20"/>
          <w:szCs w:val="20"/>
        </w:rPr>
        <w:lastRenderedPageBreak/>
        <w:t>principalement à la vente, donnent un total de 1.239.825 tonnes équivalent céréale  correspondant à une moyenne de 797 kg équivalent céréale par ménage agricole, soit 245 jours de consommation par personne.</w:t>
      </w:r>
      <w:r w:rsidR="007B4653" w:rsidRPr="00400B57">
        <w:rPr>
          <w:rFonts w:ascii="Arial" w:hAnsi="Arial" w:cs="Arial"/>
          <w:sz w:val="20"/>
          <w:szCs w:val="20"/>
        </w:rPr>
        <w:t xml:space="preserve"> </w:t>
      </w:r>
    </w:p>
    <w:p w:rsidR="005E2895" w:rsidRPr="00400B57" w:rsidRDefault="005E2895" w:rsidP="00F77337">
      <w:pPr>
        <w:pStyle w:val="Paragraphedeliste"/>
        <w:numPr>
          <w:ilvl w:val="0"/>
          <w:numId w:val="15"/>
        </w:numPr>
        <w:spacing w:line="240" w:lineRule="auto"/>
        <w:contextualSpacing w:val="0"/>
        <w:jc w:val="both"/>
        <w:rPr>
          <w:rFonts w:ascii="Arial" w:hAnsi="Arial" w:cs="Arial"/>
          <w:sz w:val="20"/>
          <w:szCs w:val="20"/>
        </w:rPr>
      </w:pPr>
      <w:r w:rsidRPr="00400B57">
        <w:rPr>
          <w:rFonts w:ascii="Arial" w:hAnsi="Arial" w:cs="Arial"/>
          <w:sz w:val="20"/>
          <w:szCs w:val="20"/>
        </w:rPr>
        <w:t>Au niveau national, le cheptel rattaché aux ménages agricoles a été estimé à 609.430 bovins, 2.489.293 caprins, 440.437 ovins, 404.315 porcins, 463.787 lapins, 1.170.255 cobayes, 2.448.604 volailles totalisant 820.850 UBT</w:t>
      </w:r>
      <w:r w:rsidRPr="00400B57">
        <w:rPr>
          <w:rStyle w:val="Appelnotedebasdep"/>
          <w:rFonts w:ascii="Arial" w:hAnsi="Arial" w:cs="Arial"/>
          <w:sz w:val="20"/>
          <w:szCs w:val="20"/>
        </w:rPr>
        <w:footnoteReference w:id="5"/>
      </w:r>
      <w:r w:rsidRPr="00400B57">
        <w:rPr>
          <w:rFonts w:ascii="Arial" w:hAnsi="Arial" w:cs="Arial"/>
          <w:sz w:val="20"/>
          <w:szCs w:val="20"/>
        </w:rPr>
        <w:t xml:space="preserve">, (52% de bovins, 30,3% de caprins, 9,8% de porcins, 5,4% d’ovins, 1,5% de volaille, 0,7% de cobayes et 0,3% de lapins), soit 0,53 UBT en moyenne par ménages. </w:t>
      </w:r>
    </w:p>
    <w:p w:rsidR="0003773D" w:rsidRPr="00400B57" w:rsidRDefault="00A369DE" w:rsidP="00F77337">
      <w:pPr>
        <w:pStyle w:val="Paragraphedeliste"/>
        <w:numPr>
          <w:ilvl w:val="0"/>
          <w:numId w:val="15"/>
        </w:numPr>
        <w:spacing w:line="240" w:lineRule="auto"/>
        <w:contextualSpacing w:val="0"/>
        <w:jc w:val="both"/>
        <w:rPr>
          <w:rFonts w:ascii="Arial" w:hAnsi="Arial" w:cs="Arial"/>
          <w:sz w:val="20"/>
          <w:szCs w:val="20"/>
        </w:rPr>
      </w:pPr>
      <w:r>
        <w:rPr>
          <w:rFonts w:ascii="Arial" w:hAnsi="Arial" w:cs="Arial"/>
          <w:sz w:val="20"/>
          <w:szCs w:val="20"/>
        </w:rPr>
        <w:t>Au cours de la campagne agricole 2011-2012, l</w:t>
      </w:r>
      <w:r w:rsidR="0003773D" w:rsidRPr="00400B57">
        <w:rPr>
          <w:rFonts w:ascii="Arial" w:hAnsi="Arial" w:cs="Arial"/>
          <w:sz w:val="20"/>
          <w:szCs w:val="20"/>
        </w:rPr>
        <w:t>a pêche a concerné 2,</w:t>
      </w:r>
      <w:r>
        <w:rPr>
          <w:rFonts w:ascii="Arial" w:hAnsi="Arial" w:cs="Arial"/>
          <w:sz w:val="20"/>
          <w:szCs w:val="20"/>
        </w:rPr>
        <w:t>4</w:t>
      </w:r>
      <w:r w:rsidR="0003773D" w:rsidRPr="00400B57">
        <w:rPr>
          <w:rFonts w:ascii="Arial" w:hAnsi="Arial" w:cs="Arial"/>
          <w:sz w:val="20"/>
          <w:szCs w:val="20"/>
        </w:rPr>
        <w:t xml:space="preserve">% de ménages </w:t>
      </w:r>
      <w:r w:rsidR="004B5FE8">
        <w:rPr>
          <w:rFonts w:ascii="Arial" w:hAnsi="Arial" w:cs="Arial"/>
          <w:sz w:val="20"/>
          <w:szCs w:val="20"/>
        </w:rPr>
        <w:t xml:space="preserve">agricoles qui ont pratiqué la </w:t>
      </w:r>
      <w:r w:rsidR="0003773D" w:rsidRPr="00400B57">
        <w:rPr>
          <w:rFonts w:ascii="Arial" w:hAnsi="Arial" w:cs="Arial"/>
          <w:sz w:val="20"/>
          <w:szCs w:val="20"/>
        </w:rPr>
        <w:t>pêche</w:t>
      </w:r>
      <w:r w:rsidR="0003773D" w:rsidRPr="00400B57">
        <w:rPr>
          <w:rStyle w:val="Appelnotedebasdep"/>
          <w:rFonts w:ascii="Arial" w:hAnsi="Arial" w:cs="Arial"/>
          <w:sz w:val="20"/>
          <w:szCs w:val="20"/>
        </w:rPr>
        <w:footnoteReference w:id="6"/>
      </w:r>
      <w:r w:rsidR="0003773D" w:rsidRPr="00400B57">
        <w:rPr>
          <w:rFonts w:ascii="Arial" w:hAnsi="Arial" w:cs="Arial"/>
          <w:sz w:val="20"/>
          <w:szCs w:val="20"/>
        </w:rPr>
        <w:t xml:space="preserve">, La quantité moyenne de poissons pêchés </w:t>
      </w:r>
      <w:r>
        <w:rPr>
          <w:rFonts w:ascii="Arial" w:hAnsi="Arial" w:cs="Arial"/>
          <w:sz w:val="20"/>
          <w:szCs w:val="20"/>
        </w:rPr>
        <w:t>a été estimée</w:t>
      </w:r>
      <w:r w:rsidR="00F8672B">
        <w:rPr>
          <w:rFonts w:ascii="Arial" w:hAnsi="Arial" w:cs="Arial"/>
          <w:sz w:val="20"/>
          <w:szCs w:val="20"/>
        </w:rPr>
        <w:t xml:space="preserve"> à 258,1</w:t>
      </w:r>
      <w:r w:rsidR="0003773D" w:rsidRPr="00400B57">
        <w:rPr>
          <w:rFonts w:ascii="Arial" w:hAnsi="Arial" w:cs="Arial"/>
          <w:sz w:val="20"/>
          <w:szCs w:val="20"/>
        </w:rPr>
        <w:t xml:space="preserve"> kg par ménage pratiquant cette activité. La pêche </w:t>
      </w:r>
      <w:r w:rsidR="004B5FE8">
        <w:rPr>
          <w:rFonts w:ascii="Arial" w:hAnsi="Arial" w:cs="Arial"/>
          <w:sz w:val="20"/>
          <w:szCs w:val="20"/>
        </w:rPr>
        <w:t xml:space="preserve">a </w:t>
      </w:r>
      <w:r w:rsidR="0003773D" w:rsidRPr="00400B57">
        <w:rPr>
          <w:rFonts w:ascii="Arial" w:hAnsi="Arial" w:cs="Arial"/>
          <w:sz w:val="20"/>
          <w:szCs w:val="20"/>
        </w:rPr>
        <w:t>rapport</w:t>
      </w:r>
      <w:r w:rsidR="004B5FE8">
        <w:rPr>
          <w:rFonts w:ascii="Arial" w:hAnsi="Arial" w:cs="Arial"/>
          <w:sz w:val="20"/>
          <w:szCs w:val="20"/>
        </w:rPr>
        <w:t>é</w:t>
      </w:r>
      <w:r w:rsidR="0003773D" w:rsidRPr="00400B57">
        <w:rPr>
          <w:rFonts w:ascii="Arial" w:hAnsi="Arial" w:cs="Arial"/>
          <w:sz w:val="20"/>
          <w:szCs w:val="20"/>
        </w:rPr>
        <w:t xml:space="preserve"> à ces ménages un revenu moyen d’environ </w:t>
      </w:r>
      <w:r w:rsidR="00F8672B">
        <w:rPr>
          <w:rFonts w:ascii="Arial" w:hAnsi="Arial" w:cs="Arial"/>
          <w:sz w:val="20"/>
          <w:szCs w:val="20"/>
        </w:rPr>
        <w:t>530</w:t>
      </w:r>
      <w:r w:rsidR="0003773D" w:rsidRPr="00400B57">
        <w:rPr>
          <w:rFonts w:ascii="Arial" w:hAnsi="Arial" w:cs="Arial"/>
          <w:sz w:val="20"/>
          <w:szCs w:val="20"/>
        </w:rPr>
        <w:t>.000 FBu.</w:t>
      </w:r>
    </w:p>
    <w:p w:rsidR="00F8672B" w:rsidRDefault="00F8672B" w:rsidP="00F77337">
      <w:pPr>
        <w:pStyle w:val="Lgende"/>
        <w:numPr>
          <w:ilvl w:val="0"/>
          <w:numId w:val="15"/>
        </w:numPr>
        <w:spacing w:after="200"/>
        <w:jc w:val="both"/>
        <w:rPr>
          <w:rFonts w:ascii="Arial" w:hAnsi="Arial" w:cs="Arial"/>
          <w:b w:val="0"/>
        </w:rPr>
      </w:pPr>
      <w:r w:rsidRPr="00F8672B">
        <w:rPr>
          <w:rFonts w:ascii="Arial" w:hAnsi="Arial" w:cs="Arial"/>
          <w:b w:val="0"/>
        </w:rPr>
        <w:t>L</w:t>
      </w:r>
      <w:r w:rsidR="0003773D" w:rsidRPr="00F8672B">
        <w:rPr>
          <w:rFonts w:ascii="Arial" w:hAnsi="Arial" w:cs="Arial"/>
          <w:b w:val="0"/>
        </w:rPr>
        <w:t>’enquête indique qu’il y a 4,</w:t>
      </w:r>
      <w:r w:rsidRPr="00F8672B">
        <w:rPr>
          <w:rFonts w:ascii="Arial" w:hAnsi="Arial" w:cs="Arial"/>
          <w:b w:val="0"/>
        </w:rPr>
        <w:t>8</w:t>
      </w:r>
      <w:r w:rsidR="0003773D" w:rsidRPr="00F8672B">
        <w:rPr>
          <w:rFonts w:ascii="Arial" w:hAnsi="Arial" w:cs="Arial"/>
          <w:b w:val="0"/>
        </w:rPr>
        <w:t>% de ménages agricole</w:t>
      </w:r>
      <w:r w:rsidR="004B5FE8">
        <w:rPr>
          <w:rFonts w:ascii="Arial" w:hAnsi="Arial" w:cs="Arial"/>
          <w:b w:val="0"/>
        </w:rPr>
        <w:t>s</w:t>
      </w:r>
      <w:r w:rsidR="0003773D" w:rsidRPr="00F8672B">
        <w:rPr>
          <w:rFonts w:ascii="Arial" w:hAnsi="Arial" w:cs="Arial"/>
          <w:b w:val="0"/>
        </w:rPr>
        <w:t xml:space="preserve"> qui pratiquent l’apiculture avec une production moyenne de </w:t>
      </w:r>
      <w:r w:rsidRPr="00F8672B">
        <w:rPr>
          <w:rFonts w:ascii="Arial" w:hAnsi="Arial" w:cs="Arial"/>
          <w:b w:val="0"/>
        </w:rPr>
        <w:t>17,3 kg de miel (3</w:t>
      </w:r>
      <w:r w:rsidR="0003773D" w:rsidRPr="00F8672B">
        <w:rPr>
          <w:rFonts w:ascii="Arial" w:hAnsi="Arial" w:cs="Arial"/>
          <w:b w:val="0"/>
        </w:rPr>
        <w:t>,</w:t>
      </w:r>
      <w:r w:rsidRPr="00F8672B">
        <w:rPr>
          <w:rFonts w:ascii="Arial" w:hAnsi="Arial" w:cs="Arial"/>
          <w:b w:val="0"/>
        </w:rPr>
        <w:t>8</w:t>
      </w:r>
      <w:r w:rsidR="0003773D" w:rsidRPr="00F8672B">
        <w:rPr>
          <w:rFonts w:ascii="Arial" w:hAnsi="Arial" w:cs="Arial"/>
          <w:b w:val="0"/>
        </w:rPr>
        <w:t xml:space="preserve"> kg autoconsommé et </w:t>
      </w:r>
      <w:r w:rsidRPr="00F8672B">
        <w:rPr>
          <w:rFonts w:ascii="Arial" w:hAnsi="Arial" w:cs="Arial"/>
          <w:b w:val="0"/>
        </w:rPr>
        <w:t>13,5</w:t>
      </w:r>
      <w:r w:rsidR="0003773D" w:rsidRPr="00F8672B">
        <w:rPr>
          <w:rFonts w:ascii="Arial" w:hAnsi="Arial" w:cs="Arial"/>
          <w:b w:val="0"/>
        </w:rPr>
        <w:t xml:space="preserve"> kg vendus) et un revenu moyen d’environ </w:t>
      </w:r>
      <w:r w:rsidRPr="00F8672B">
        <w:rPr>
          <w:rFonts w:ascii="Arial" w:hAnsi="Arial" w:cs="Arial"/>
          <w:b w:val="0"/>
        </w:rPr>
        <w:t>30</w:t>
      </w:r>
      <w:r w:rsidR="0003773D" w:rsidRPr="00F8672B">
        <w:rPr>
          <w:rFonts w:ascii="Arial" w:hAnsi="Arial" w:cs="Arial"/>
          <w:b w:val="0"/>
        </w:rPr>
        <w:t>.</w:t>
      </w:r>
      <w:r w:rsidRPr="00F8672B">
        <w:rPr>
          <w:rFonts w:ascii="Arial" w:hAnsi="Arial" w:cs="Arial"/>
          <w:b w:val="0"/>
        </w:rPr>
        <w:t>0</w:t>
      </w:r>
      <w:r w:rsidR="0003773D" w:rsidRPr="00F8672B">
        <w:rPr>
          <w:rFonts w:ascii="Arial" w:hAnsi="Arial" w:cs="Arial"/>
          <w:b w:val="0"/>
        </w:rPr>
        <w:t>00 FBu.</w:t>
      </w:r>
    </w:p>
    <w:p w:rsidR="0003773D" w:rsidRPr="00400B57" w:rsidRDefault="00F8672B" w:rsidP="00F77337">
      <w:pPr>
        <w:pStyle w:val="Lgende"/>
        <w:numPr>
          <w:ilvl w:val="0"/>
          <w:numId w:val="15"/>
        </w:numPr>
        <w:spacing w:after="200"/>
        <w:jc w:val="both"/>
        <w:rPr>
          <w:rFonts w:ascii="Arial" w:hAnsi="Arial" w:cs="Arial"/>
          <w:b w:val="0"/>
        </w:rPr>
      </w:pPr>
      <w:r>
        <w:rPr>
          <w:rFonts w:ascii="Arial" w:hAnsi="Arial" w:cs="Arial"/>
          <w:b w:val="0"/>
        </w:rPr>
        <w:t>U</w:t>
      </w:r>
      <w:r w:rsidR="0003773D" w:rsidRPr="00F8672B">
        <w:rPr>
          <w:rFonts w:ascii="Arial" w:hAnsi="Arial" w:cs="Arial"/>
          <w:b w:val="0"/>
        </w:rPr>
        <w:t>n ménage agricole sur trois (3</w:t>
      </w:r>
      <w:r>
        <w:rPr>
          <w:rFonts w:ascii="Arial" w:hAnsi="Arial" w:cs="Arial"/>
          <w:b w:val="0"/>
        </w:rPr>
        <w:t>2</w:t>
      </w:r>
      <w:r w:rsidR="0003773D" w:rsidRPr="00F8672B">
        <w:rPr>
          <w:rFonts w:ascii="Arial" w:hAnsi="Arial" w:cs="Arial"/>
          <w:b w:val="0"/>
        </w:rPr>
        <w:t>,</w:t>
      </w:r>
      <w:r>
        <w:rPr>
          <w:rFonts w:ascii="Arial" w:hAnsi="Arial" w:cs="Arial"/>
          <w:b w:val="0"/>
        </w:rPr>
        <w:t>7</w:t>
      </w:r>
      <w:r w:rsidR="0003773D" w:rsidRPr="00F8672B">
        <w:rPr>
          <w:rFonts w:ascii="Arial" w:hAnsi="Arial" w:cs="Arial"/>
          <w:b w:val="0"/>
        </w:rPr>
        <w:t>%) a pratiqué la sylviculture qui a rapporté en moyenne environ 2</w:t>
      </w:r>
      <w:r>
        <w:rPr>
          <w:rFonts w:ascii="Arial" w:hAnsi="Arial" w:cs="Arial"/>
          <w:b w:val="0"/>
        </w:rPr>
        <w:t>15</w:t>
      </w:r>
      <w:r w:rsidR="0003773D" w:rsidRPr="00F8672B">
        <w:rPr>
          <w:rFonts w:ascii="Arial" w:hAnsi="Arial" w:cs="Arial"/>
          <w:b w:val="0"/>
        </w:rPr>
        <w:t>.000 FBu aux ménages sylvicoles</w:t>
      </w:r>
      <w:r>
        <w:rPr>
          <w:rFonts w:ascii="Arial" w:hAnsi="Arial" w:cs="Arial"/>
          <w:b w:val="0"/>
        </w:rPr>
        <w:t>.</w:t>
      </w:r>
    </w:p>
    <w:p w:rsidR="001D13D7" w:rsidRPr="00400B57" w:rsidRDefault="001D13D7" w:rsidP="00F77337">
      <w:pPr>
        <w:pStyle w:val="Paragraphedeliste"/>
        <w:numPr>
          <w:ilvl w:val="0"/>
          <w:numId w:val="15"/>
        </w:numPr>
        <w:spacing w:line="240" w:lineRule="auto"/>
        <w:contextualSpacing w:val="0"/>
        <w:rPr>
          <w:rFonts w:ascii="Arial" w:hAnsi="Arial" w:cs="Arial"/>
          <w:sz w:val="20"/>
          <w:szCs w:val="20"/>
          <w:lang w:eastAsia="fr-FR"/>
        </w:rPr>
      </w:pPr>
      <w:r w:rsidRPr="00400B57">
        <w:rPr>
          <w:rFonts w:ascii="Arial" w:hAnsi="Arial" w:cs="Arial"/>
          <w:sz w:val="20"/>
          <w:szCs w:val="20"/>
          <w:lang w:eastAsia="fr-FR"/>
        </w:rPr>
        <w:t>L’utilisation des semences améliorées a été faible dans toutes les trois saisons. Elle a été estimée à 14,2% des ménages au cours de la saison A, 10,7% pendant la saison B et elle a été pratiquement insignifiante en saison C (0,04%).</w:t>
      </w:r>
    </w:p>
    <w:p w:rsidR="001D13D7" w:rsidRPr="00400B57" w:rsidRDefault="001D13D7" w:rsidP="00F77337">
      <w:pPr>
        <w:pStyle w:val="Paragraphedeliste"/>
        <w:numPr>
          <w:ilvl w:val="0"/>
          <w:numId w:val="15"/>
        </w:numPr>
        <w:spacing w:line="240" w:lineRule="auto"/>
        <w:contextualSpacing w:val="0"/>
        <w:jc w:val="both"/>
        <w:rPr>
          <w:rFonts w:ascii="Arial" w:hAnsi="Arial" w:cs="Arial"/>
          <w:sz w:val="20"/>
          <w:szCs w:val="20"/>
        </w:rPr>
      </w:pPr>
      <w:r w:rsidRPr="00400B57">
        <w:rPr>
          <w:rFonts w:ascii="Arial" w:hAnsi="Arial" w:cs="Arial"/>
          <w:sz w:val="20"/>
          <w:szCs w:val="20"/>
        </w:rPr>
        <w:t>La proportion nationale des ménages agricoles qui ont utilisé des produits phytosanitaires a été estimée au cours de la saison A à 10,9%, pendant la saison B à 5,5% et à 3% en saison C.</w:t>
      </w:r>
    </w:p>
    <w:p w:rsidR="001D13D7" w:rsidRPr="00400B57" w:rsidRDefault="001D13D7" w:rsidP="00F77337">
      <w:pPr>
        <w:pStyle w:val="Paragraphedeliste"/>
        <w:numPr>
          <w:ilvl w:val="0"/>
          <w:numId w:val="15"/>
        </w:numPr>
        <w:spacing w:line="240" w:lineRule="auto"/>
        <w:contextualSpacing w:val="0"/>
        <w:jc w:val="both"/>
        <w:rPr>
          <w:rFonts w:ascii="Arial" w:hAnsi="Arial" w:cs="Arial"/>
          <w:sz w:val="20"/>
          <w:szCs w:val="20"/>
        </w:rPr>
      </w:pPr>
      <w:r w:rsidRPr="00400B57">
        <w:rPr>
          <w:rFonts w:ascii="Arial" w:hAnsi="Arial" w:cs="Arial"/>
          <w:sz w:val="20"/>
          <w:szCs w:val="20"/>
        </w:rPr>
        <w:t>Au plan national, la proportion de ménages qui ont utilisé des engrais chimiques a été estimée à 28,4% en saison A, pendant la saison B à 32,4% et au cours de la saison C à 11,4%.</w:t>
      </w:r>
    </w:p>
    <w:p w:rsidR="00C07947" w:rsidRPr="00400B57" w:rsidRDefault="00C07947" w:rsidP="00F77337">
      <w:pPr>
        <w:pStyle w:val="Paragraphedeliste"/>
        <w:numPr>
          <w:ilvl w:val="0"/>
          <w:numId w:val="15"/>
        </w:numPr>
        <w:spacing w:line="240" w:lineRule="auto"/>
        <w:contextualSpacing w:val="0"/>
        <w:jc w:val="both"/>
        <w:rPr>
          <w:rFonts w:ascii="Arial" w:hAnsi="Arial" w:cs="Arial"/>
          <w:sz w:val="20"/>
          <w:szCs w:val="20"/>
        </w:rPr>
      </w:pPr>
      <w:r w:rsidRPr="00400B57">
        <w:rPr>
          <w:rFonts w:ascii="Arial" w:hAnsi="Arial" w:cs="Arial"/>
          <w:sz w:val="20"/>
          <w:szCs w:val="20"/>
        </w:rPr>
        <w:t>La proportion des ménages agricoles adhérant à une organisation professionnelle a été estimée à 24,5% au cours de la saison A, soit 381.760 ménages. Cette proportion a été évaluée à 15,3% pendant la saison B correspondant à 238.860 ménages et à 14% en saison C, soit  217.407 ménages.</w:t>
      </w:r>
    </w:p>
    <w:p w:rsidR="00C07947" w:rsidRPr="00400B57" w:rsidRDefault="00C07947" w:rsidP="00F77337">
      <w:pPr>
        <w:pStyle w:val="Paragraphedeliste"/>
        <w:numPr>
          <w:ilvl w:val="0"/>
          <w:numId w:val="15"/>
        </w:numPr>
        <w:spacing w:line="240" w:lineRule="auto"/>
        <w:contextualSpacing w:val="0"/>
        <w:jc w:val="both"/>
        <w:rPr>
          <w:rFonts w:ascii="Arial" w:hAnsi="Arial" w:cs="Arial"/>
          <w:sz w:val="20"/>
          <w:szCs w:val="20"/>
        </w:rPr>
      </w:pPr>
      <w:r w:rsidRPr="00400B57">
        <w:rPr>
          <w:rFonts w:ascii="Arial" w:hAnsi="Arial" w:cs="Arial"/>
          <w:sz w:val="20"/>
          <w:szCs w:val="20"/>
        </w:rPr>
        <w:t xml:space="preserve">L’encadrement des membres des ménages a été estimé à 15,3% (237.677 ménages) pendant la saison A contre 8,9% (138.982 ménages) en saison B et 8,9% (139.283 ménages) au cours de la saison C. </w:t>
      </w:r>
    </w:p>
    <w:p w:rsidR="00C07947" w:rsidRPr="00400B57" w:rsidRDefault="00C07947" w:rsidP="00F77337">
      <w:pPr>
        <w:pStyle w:val="Paragraphedeliste"/>
        <w:numPr>
          <w:ilvl w:val="0"/>
          <w:numId w:val="15"/>
        </w:numPr>
        <w:spacing w:line="240" w:lineRule="auto"/>
        <w:contextualSpacing w:val="0"/>
        <w:jc w:val="both"/>
        <w:rPr>
          <w:rFonts w:ascii="Arial" w:hAnsi="Arial" w:cs="Arial"/>
          <w:sz w:val="20"/>
          <w:szCs w:val="20"/>
        </w:rPr>
      </w:pPr>
      <w:r w:rsidRPr="00400B57">
        <w:rPr>
          <w:rFonts w:ascii="Arial" w:hAnsi="Arial" w:cs="Arial"/>
          <w:sz w:val="20"/>
          <w:szCs w:val="20"/>
        </w:rPr>
        <w:t xml:space="preserve">Le temps moyen de travail  par ménage au cours de toute la campagne agricole 2011-2012 a été estimé à 744 heures (232 heures en saison A, 360 heures pendant la saison B et 152 heures au cours de la saison C). </w:t>
      </w:r>
    </w:p>
    <w:p w:rsidR="00C07947" w:rsidRPr="004B5FE8" w:rsidRDefault="00C07947" w:rsidP="00F77337">
      <w:pPr>
        <w:pStyle w:val="Paragraphedeliste"/>
        <w:numPr>
          <w:ilvl w:val="0"/>
          <w:numId w:val="15"/>
        </w:numPr>
        <w:spacing w:line="240" w:lineRule="auto"/>
        <w:contextualSpacing w:val="0"/>
        <w:jc w:val="both"/>
        <w:rPr>
          <w:rFonts w:ascii="Arial" w:hAnsi="Arial" w:cs="Arial"/>
          <w:sz w:val="20"/>
          <w:szCs w:val="20"/>
        </w:rPr>
      </w:pPr>
      <w:r w:rsidRPr="004B5FE8">
        <w:rPr>
          <w:rFonts w:ascii="Arial" w:hAnsi="Arial" w:cs="Arial"/>
          <w:sz w:val="20"/>
          <w:szCs w:val="20"/>
        </w:rPr>
        <w:t>Au niveau national, la proportion moyenne des ménages qui ont bénéficié en saison A de l’entraide</w:t>
      </w:r>
      <w:r w:rsidRPr="004B5FE8">
        <w:rPr>
          <w:rFonts w:ascii="Arial" w:hAnsi="Arial" w:cs="Arial"/>
          <w:sz w:val="20"/>
          <w:szCs w:val="20"/>
          <w:vertAlign w:val="superscript"/>
        </w:rPr>
        <w:footnoteReference w:id="7"/>
      </w:r>
      <w:r w:rsidRPr="004B5FE8">
        <w:rPr>
          <w:rFonts w:ascii="Arial" w:hAnsi="Arial" w:cs="Arial"/>
          <w:sz w:val="20"/>
          <w:szCs w:val="20"/>
        </w:rPr>
        <w:t xml:space="preserve"> a été estimée à 36,2%, soit 563.096 ménages. Cette proportion a été de 40,3%, soit 627.396 ménages au cours de la saison B  et de 24,8%, soit 385.920 ménages pendant la saison C. </w:t>
      </w:r>
    </w:p>
    <w:p w:rsidR="00C07947" w:rsidRPr="00400B57" w:rsidRDefault="00C07947" w:rsidP="004B5FE8">
      <w:pPr>
        <w:pStyle w:val="Paragraphedeliste"/>
        <w:numPr>
          <w:ilvl w:val="0"/>
          <w:numId w:val="15"/>
        </w:numPr>
        <w:spacing w:line="240" w:lineRule="auto"/>
        <w:contextualSpacing w:val="0"/>
        <w:jc w:val="both"/>
        <w:rPr>
          <w:rFonts w:ascii="Arial" w:hAnsi="Arial" w:cs="Arial"/>
          <w:sz w:val="20"/>
          <w:szCs w:val="20"/>
        </w:rPr>
      </w:pPr>
      <w:r w:rsidRPr="00400B57">
        <w:rPr>
          <w:rFonts w:ascii="Arial" w:hAnsi="Arial" w:cs="Arial"/>
          <w:sz w:val="20"/>
          <w:szCs w:val="20"/>
        </w:rPr>
        <w:t>Au cours de la saison A, le nombre de ménages agricoles du pays qui ont fait recours à de la main-d’œuvre rémunérée a été estimée 120.476 ménages (7,7%). Ce nombre a été évalué 714.804 ménages (45,9%) pendant la saison B et à 413.334 ménages (26,6%) en saison C. La dépense moyenne de l</w:t>
      </w:r>
      <w:r w:rsidR="00CD5717" w:rsidRPr="00400B57">
        <w:rPr>
          <w:rFonts w:ascii="Arial" w:hAnsi="Arial" w:cs="Arial"/>
          <w:sz w:val="20"/>
          <w:szCs w:val="20"/>
        </w:rPr>
        <w:t xml:space="preserve">a </w:t>
      </w:r>
      <w:r w:rsidR="00F91E7B" w:rsidRPr="00400B57">
        <w:rPr>
          <w:rFonts w:ascii="Arial" w:hAnsi="Arial" w:cs="Arial"/>
          <w:sz w:val="20"/>
          <w:szCs w:val="20"/>
        </w:rPr>
        <w:t>main-d’œuvre</w:t>
      </w:r>
      <w:r w:rsidRPr="00400B57">
        <w:rPr>
          <w:rFonts w:ascii="Arial" w:hAnsi="Arial" w:cs="Arial"/>
          <w:sz w:val="20"/>
          <w:szCs w:val="20"/>
        </w:rPr>
        <w:t xml:space="preserve"> rémunérée pour les ménages qui y ont fait recours </w:t>
      </w:r>
      <w:r w:rsidRPr="00400B57">
        <w:rPr>
          <w:rFonts w:ascii="Arial" w:hAnsi="Arial" w:cs="Arial"/>
          <w:sz w:val="20"/>
          <w:szCs w:val="20"/>
        </w:rPr>
        <w:lastRenderedPageBreak/>
        <w:t>a été estimée à 171.871 FBu pendant la saison A, 43.551 FBu au cours de la saison C et à 24.540 FBu en saison C.</w:t>
      </w:r>
    </w:p>
    <w:p w:rsidR="000328FD" w:rsidRPr="00400B57" w:rsidRDefault="00F91E7B" w:rsidP="00F77337">
      <w:pPr>
        <w:pStyle w:val="Paragraphedeliste"/>
        <w:numPr>
          <w:ilvl w:val="0"/>
          <w:numId w:val="15"/>
        </w:numPr>
        <w:spacing w:line="240" w:lineRule="auto"/>
        <w:contextualSpacing w:val="0"/>
        <w:jc w:val="both"/>
        <w:rPr>
          <w:rFonts w:ascii="Arial" w:hAnsi="Arial" w:cs="Arial"/>
          <w:sz w:val="20"/>
          <w:szCs w:val="20"/>
          <w:lang w:val="fr-FR" w:eastAsia="fr-FR"/>
        </w:rPr>
      </w:pPr>
      <w:r w:rsidRPr="00400B57">
        <w:rPr>
          <w:rFonts w:ascii="Arial" w:hAnsi="Arial" w:cs="Arial"/>
          <w:sz w:val="20"/>
          <w:szCs w:val="20"/>
        </w:rPr>
        <w:t>Pour toute la campagne agricole 2011-2012, le revenu</w:t>
      </w:r>
      <w:r w:rsidRPr="00400B57">
        <w:rPr>
          <w:rStyle w:val="Appelnotedebasdep"/>
          <w:rFonts w:ascii="Arial" w:hAnsi="Arial" w:cs="Arial"/>
          <w:sz w:val="20"/>
          <w:szCs w:val="20"/>
        </w:rPr>
        <w:footnoteReference w:id="8"/>
      </w:r>
      <w:r w:rsidRPr="00400B57">
        <w:rPr>
          <w:rFonts w:ascii="Arial" w:hAnsi="Arial" w:cs="Arial"/>
          <w:sz w:val="20"/>
          <w:szCs w:val="20"/>
        </w:rPr>
        <w:t xml:space="preserve"> total des ménages agricoles a été estimé à 1.939.548 millions de FBu qui se répartissent en 1.511.347 millions de FBu (77,9% du revenu total) valeur la production vivrière, 291.818 millions de FBu (15%) de revenus non agricoles (commerce, artisanat, activités extractives,…), 113.063 millions de FBu (5,8%) de revenus sylvicoles, 19.230 millions de FBu (1%) tirés de la pêche et 4.089 millions FBu (0,2%) provenant de l’apiculture. </w:t>
      </w:r>
      <w:r w:rsidRPr="00400B57">
        <w:rPr>
          <w:rFonts w:ascii="Arial" w:hAnsi="Arial" w:cs="Arial"/>
          <w:sz w:val="20"/>
          <w:szCs w:val="20"/>
          <w:lang w:val="fr-FR"/>
        </w:rPr>
        <w:t>Au plan national, le revenu moyen par ménage agricole correspondant à l’ensemble de la production vivrière, de la pêche, de l’apiculture, de la sylviculture et des activités non agricoles (commerce, artisanat, activités extractives, …) a été estimé à 1.246.072 FBu.</w:t>
      </w:r>
      <w:r w:rsidR="00690CFE" w:rsidRPr="00400B57">
        <w:rPr>
          <w:rFonts w:ascii="Arial" w:hAnsi="Arial" w:cs="Arial"/>
          <w:sz w:val="20"/>
          <w:szCs w:val="20"/>
          <w:lang w:val="fr-FR"/>
        </w:rPr>
        <w:t xml:space="preserve"> </w:t>
      </w:r>
      <w:r w:rsidR="000328FD" w:rsidRPr="00400B57">
        <w:rPr>
          <w:rFonts w:ascii="Arial" w:hAnsi="Arial" w:cs="Arial"/>
          <w:sz w:val="20"/>
          <w:szCs w:val="20"/>
          <w:lang w:val="fr-FR" w:eastAsia="fr-FR"/>
        </w:rPr>
        <w:t>La moyenne nationale a été évaluée à 1.323.474 FBu pour les ménages dirigés par des hommes, soit 1,4 fois celle de</w:t>
      </w:r>
      <w:r w:rsidR="004B5FE8">
        <w:rPr>
          <w:rFonts w:ascii="Arial" w:hAnsi="Arial" w:cs="Arial"/>
          <w:sz w:val="20"/>
          <w:szCs w:val="20"/>
          <w:lang w:val="fr-FR" w:eastAsia="fr-FR"/>
        </w:rPr>
        <w:t>s ménages</w:t>
      </w:r>
      <w:r w:rsidR="000328FD" w:rsidRPr="00400B57">
        <w:rPr>
          <w:rFonts w:ascii="Arial" w:hAnsi="Arial" w:cs="Arial"/>
          <w:sz w:val="20"/>
          <w:szCs w:val="20"/>
          <w:lang w:val="fr-FR" w:eastAsia="fr-FR"/>
        </w:rPr>
        <w:t xml:space="preserve"> dirigés par des femmes (963.667 FBu). Ce qui dégage une différence de 359.808 FBu entre les deux types de ménage.</w:t>
      </w:r>
    </w:p>
    <w:p w:rsidR="00F91E7B" w:rsidRPr="00B6647E" w:rsidRDefault="00F91E7B" w:rsidP="00F77337">
      <w:pPr>
        <w:spacing w:line="240" w:lineRule="auto"/>
        <w:rPr>
          <w:rFonts w:ascii="Arial" w:hAnsi="Arial" w:cs="Arial"/>
          <w:color w:val="365F91"/>
          <w:sz w:val="20"/>
          <w:szCs w:val="20"/>
          <w:lang w:val="fr-FR"/>
        </w:rPr>
      </w:pPr>
    </w:p>
    <w:p w:rsidR="004C0784" w:rsidRPr="00B6647E" w:rsidRDefault="004C0784" w:rsidP="00F77337">
      <w:pPr>
        <w:spacing w:line="240" w:lineRule="auto"/>
        <w:rPr>
          <w:rFonts w:ascii="Arial" w:eastAsia="Times New Roman" w:hAnsi="Arial" w:cs="Arial"/>
          <w:color w:val="365F91"/>
          <w:sz w:val="20"/>
          <w:szCs w:val="20"/>
          <w:lang w:eastAsia="fr-FR"/>
        </w:rPr>
      </w:pPr>
      <w:r w:rsidRPr="00B6647E">
        <w:rPr>
          <w:rFonts w:ascii="Arial" w:hAnsi="Arial" w:cs="Arial"/>
          <w:color w:val="365F91"/>
          <w:sz w:val="20"/>
          <w:szCs w:val="20"/>
        </w:rPr>
        <w:br w:type="page"/>
      </w:r>
    </w:p>
    <w:p w:rsidR="000552AE" w:rsidRPr="00B6647E" w:rsidRDefault="000552AE" w:rsidP="00E51ED6">
      <w:pPr>
        <w:pStyle w:val="Titre1"/>
        <w:keepNext w:val="0"/>
        <w:numPr>
          <w:ilvl w:val="0"/>
          <w:numId w:val="0"/>
        </w:numPr>
        <w:ind w:left="432" w:hanging="432"/>
        <w:rPr>
          <w:rFonts w:cs="Arial"/>
          <w:color w:val="365F91"/>
        </w:rPr>
      </w:pPr>
      <w:bookmarkStart w:id="14" w:name="_Toc354313816"/>
      <w:r w:rsidRPr="00B6647E">
        <w:rPr>
          <w:rFonts w:cs="Arial"/>
          <w:color w:val="365F91"/>
        </w:rPr>
        <w:lastRenderedPageBreak/>
        <w:t>Principaux indicateurs</w:t>
      </w:r>
      <w:bookmarkEnd w:id="14"/>
    </w:p>
    <w:p w:rsidR="001A3AEF" w:rsidRPr="00B6647E" w:rsidRDefault="00DF50D8" w:rsidP="00E51ED6">
      <w:pPr>
        <w:spacing w:after="0" w:line="240" w:lineRule="auto"/>
        <w:rPr>
          <w:rFonts w:ascii="Arial" w:hAnsi="Arial" w:cs="Arial"/>
          <w:sz w:val="20"/>
          <w:szCs w:val="20"/>
        </w:rPr>
      </w:pPr>
      <w:r w:rsidRPr="00DF50D8">
        <w:rPr>
          <w:rFonts w:ascii="Arial" w:hAnsi="Arial" w:cs="Arial"/>
          <w:noProof/>
        </w:rPr>
        <w:pict>
          <v:shape id="_x0000_s1029" type="#_x0000_t32" style="position:absolute;margin-left:1.15pt;margin-top:4.8pt;width:453.55pt;height:0;z-index:25166643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4ufrAIAAJcFAAAOAAAAZHJzL2Uyb0RvYy54bWysVE2PmzAQvVfqf7B8Z4FACEFLVlkCvWzb&#10;lXarnh1sglWwke18rKr+945NQjfbS1UtB+SPmTdvZt749u7Ud+jAlOZS5Di8CTBiopaUi12Ovz1X&#10;XoqRNkRQ0knBcvzCNL5bffxwexwyNpOt7ChTCECEzo5Djltjhsz3dd2ynugbOTABl41UPTGwVTuf&#10;KnIE9L7zZ0GQ+Eep6KBkzbSG0814iVcOv2lYbb42jWYGdTkGbsb9lftv7d9f3ZJsp8jQ8vpMg/wH&#10;i55wAUEnqA0xBO0V/wuq57WSWjbmppa9L5uG18zlANmEwZtsnloyMJcLFEcPU5n0+8HWXw6PCnGa&#10;42WCkSA99Gi9N9KFRjNbn+OgMzArxKOyGdYn8TQ8yPqHRkIWLRE75oyfXwbwDa2Hf+ViN3qAKNvj&#10;Z0nBhgC+K9apUb2FhDKgk+vJy9QTdjKohsP5IgmCdI5RfbnzSXZxHJQ2n5jskV3kWBtF+K41hRQC&#10;Oi9V6MKQw4M2lhbJLg42qpAV7zongE6gY46jNAwC56Flx6m9tXZa7bZFp9CBgIaiZF4txyTh5rWZ&#10;kntBHVrLCC3Pa0N4N64heicsHnOyHCnB7mRg6c4hYyeZn8tgWaZlGnvxLCm9ONhsvHVVxF5ShYv5&#10;JtoUxSb8ZYmGcdZySpmwXC/yDeN/k8d5kEbhTQKequJfo7vyAdlrputqHiziKPUWi3nkxVEZePdp&#10;VXjrIkySRXlf3JdvmJYue/0+ZKdSWlZyb5h6aukRUW7VMEujJbw+lMO4R2mQBMsFRqTbwTtVG4WR&#10;kuY7N60Tr5Wdxbjq9SyOqmQ8J93QklEB8wA+p/LJ3NVmCj9W6tJku5vadE7+Ty1BFBcBuKGxczJO&#10;3FbSl0d1GSaYfud0fqns8/J6D+vX7+nqNwAAAP//AwBQSwMEFAAGAAgAAAAhABLqZCjcAAAABQEA&#10;AA8AAABkcnMvZG93bnJldi54bWxMjlFLwzAUhd+F/YdwB76ISzdLWWvTMRRxDBGs/oC0uTbF5qY0&#10;Wdv564170cfDOXzny3ez6diIg2stCVivImBItVUtNQI+3p9ut8Ccl6RkZwkFnNHBrlhc5TJTdqI3&#10;HEvfsAAhl0kB2vs+49zVGo10K9sjhe7TDkb6EIeGq0FOAW46vomihBvZUnjQsscHjfVXeTICpjE5&#10;vtxs+fx9fC3PTRUfHvVzLMT1ct7fA/M4+78x/OoHdSiCU2VPpBzrBGzuwlBAmgALbRqlMbDqknmR&#10;8//2xQ8AAAD//wMAUEsBAi0AFAAGAAgAAAAhALaDOJL+AAAA4QEAABMAAAAAAAAAAAAAAAAAAAAA&#10;AFtDb250ZW50X1R5cGVzXS54bWxQSwECLQAUAAYACAAAACEAOP0h/9YAAACUAQAACwAAAAAAAAAA&#10;AAAAAAAvAQAAX3JlbHMvLnJlbHNQSwECLQAUAAYACAAAACEAJvOLn6wCAACXBQAADgAAAAAAAAAA&#10;AAAAAAAuAgAAZHJzL2Uyb0RvYy54bWxQSwECLQAUAAYACAAAACEAEupkKNwAAAAFAQAADwAAAAAA&#10;AAAAAAAAAAAGBQAAZHJzL2Rvd25yZXYueG1sUEsFBgAAAAAEAAQA8wAAAA8GAAAAAA==&#10;" strokecolor="#365f91" strokeweight="3pt">
            <v:shadow color="#243f60" opacity=".5" offset="1pt"/>
          </v:shape>
        </w:pict>
      </w:r>
    </w:p>
    <w:p w:rsidR="000552AE" w:rsidRPr="00B6647E" w:rsidRDefault="00DB2513" w:rsidP="00E51ED6">
      <w:pPr>
        <w:pStyle w:val="Paragraphedeliste"/>
        <w:spacing w:after="0" w:line="240" w:lineRule="auto"/>
        <w:ind w:left="0"/>
        <w:rPr>
          <w:rFonts w:ascii="Arial" w:hAnsi="Arial" w:cs="Arial"/>
          <w:sz w:val="20"/>
          <w:szCs w:val="20"/>
        </w:rPr>
      </w:pPr>
      <w:r w:rsidRPr="00DB2513">
        <w:rPr>
          <w:noProof/>
          <w:szCs w:val="20"/>
          <w:lang w:val="fr-FR" w:eastAsia="fr-FR"/>
        </w:rPr>
        <w:drawing>
          <wp:inline distT="0" distB="0" distL="0" distR="0">
            <wp:extent cx="5794799" cy="8258175"/>
            <wp:effectExtent l="1905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794799" cy="8258175"/>
                    </a:xfrm>
                    <a:prstGeom prst="rect">
                      <a:avLst/>
                    </a:prstGeom>
                    <a:noFill/>
                    <a:ln w="9525">
                      <a:noFill/>
                      <a:miter lim="800000"/>
                      <a:headEnd/>
                      <a:tailEnd/>
                    </a:ln>
                  </pic:spPr>
                </pic:pic>
              </a:graphicData>
            </a:graphic>
          </wp:inline>
        </w:drawing>
      </w:r>
    </w:p>
    <w:p w:rsidR="00102483" w:rsidRPr="00B6647E" w:rsidRDefault="00102483" w:rsidP="00E51ED6">
      <w:pPr>
        <w:pStyle w:val="Paragraphedeliste"/>
        <w:spacing w:after="0" w:line="240" w:lineRule="auto"/>
        <w:ind w:left="0"/>
        <w:rPr>
          <w:rFonts w:ascii="Arial" w:hAnsi="Arial" w:cs="Arial"/>
          <w:sz w:val="20"/>
          <w:szCs w:val="20"/>
        </w:rPr>
      </w:pPr>
    </w:p>
    <w:p w:rsidR="000552AE" w:rsidRPr="00B6647E" w:rsidRDefault="000552AE" w:rsidP="00473A6F">
      <w:pPr>
        <w:pStyle w:val="Titre1"/>
        <w:keepNext w:val="0"/>
        <w:numPr>
          <w:ilvl w:val="0"/>
          <w:numId w:val="1"/>
        </w:numPr>
        <w:tabs>
          <w:tab w:val="num" w:pos="432"/>
        </w:tabs>
        <w:ind w:left="432" w:hanging="432"/>
        <w:rPr>
          <w:rFonts w:cs="Arial"/>
          <w:color w:val="365F91"/>
        </w:rPr>
      </w:pPr>
      <w:bookmarkStart w:id="15" w:name="_Toc354313817"/>
      <w:r w:rsidRPr="00B6647E">
        <w:rPr>
          <w:rFonts w:cs="Arial"/>
          <w:color w:val="365F91"/>
        </w:rPr>
        <w:lastRenderedPageBreak/>
        <w:t>Présentation du Burundi</w:t>
      </w:r>
      <w:bookmarkEnd w:id="15"/>
    </w:p>
    <w:p w:rsidR="001A3AEF" w:rsidRPr="00B6647E" w:rsidRDefault="00DF50D8" w:rsidP="00E51ED6">
      <w:pPr>
        <w:spacing w:after="0" w:line="240" w:lineRule="auto"/>
        <w:rPr>
          <w:rFonts w:ascii="Arial" w:hAnsi="Arial" w:cs="Arial"/>
          <w:sz w:val="20"/>
          <w:szCs w:val="20"/>
        </w:rPr>
      </w:pPr>
      <w:r w:rsidRPr="00DF50D8">
        <w:rPr>
          <w:rFonts w:ascii="Arial" w:hAnsi="Arial" w:cs="Arial"/>
          <w:noProof/>
        </w:rPr>
        <w:pict>
          <v:shape id="_x0000_s1030" type="#_x0000_t32" style="position:absolute;margin-left:1.15pt;margin-top:4.8pt;width:453.55pt;height:0;z-index:25166848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4ufrAIAAJcFAAAOAAAAZHJzL2Uyb0RvYy54bWysVE2PmzAQvVfqf7B8Z4FACEFLVlkCvWzb&#10;lXarnh1sglWwke18rKr+945NQjfbS1UtB+SPmTdvZt749u7Ud+jAlOZS5Di8CTBiopaUi12Ovz1X&#10;XoqRNkRQ0knBcvzCNL5bffxwexwyNpOt7ChTCECEzo5Djltjhsz3dd2ynugbOTABl41UPTGwVTuf&#10;KnIE9L7zZ0GQ+Eep6KBkzbSG0814iVcOv2lYbb42jWYGdTkGbsb9lftv7d9f3ZJsp8jQ8vpMg/wH&#10;i55wAUEnqA0xBO0V/wuq57WSWjbmppa9L5uG18zlANmEwZtsnloyMJcLFEcPU5n0+8HWXw6PCnGa&#10;42WCkSA99Gi9N9KFRjNbn+OgMzArxKOyGdYn8TQ8yPqHRkIWLRE75oyfXwbwDa2Hf+ViN3qAKNvj&#10;Z0nBhgC+K9apUb2FhDKgk+vJy9QTdjKohsP5IgmCdI5RfbnzSXZxHJQ2n5jskV3kWBtF+K41hRQC&#10;Oi9V6MKQw4M2lhbJLg42qpAV7zongE6gY46jNAwC56Flx6m9tXZa7bZFp9CBgIaiZF4txyTh5rWZ&#10;kntBHVrLCC3Pa0N4N64heicsHnOyHCnB7mRg6c4hYyeZn8tgWaZlGnvxLCm9ONhsvHVVxF5ShYv5&#10;JtoUxSb8ZYmGcdZySpmwXC/yDeN/k8d5kEbhTQKequJfo7vyAdlrputqHiziKPUWi3nkxVEZePdp&#10;VXjrIkySRXlf3JdvmJYue/0+ZKdSWlZyb5h6aukRUW7VMEujJbw+lMO4R2mQBMsFRqTbwTtVG4WR&#10;kuY7N60Tr5Wdxbjq9SyOqmQ8J93QklEB8wA+p/LJ3NVmCj9W6tJku5vadE7+Ty1BFBcBuKGxczJO&#10;3FbSl0d1GSaYfud0fqns8/J6D+vX7+nqNwAAAP//AwBQSwMEFAAGAAgAAAAhABLqZCjcAAAABQEA&#10;AA8AAABkcnMvZG93bnJldi54bWxMjlFLwzAUhd+F/YdwB76ISzdLWWvTMRRxDBGs/oC0uTbF5qY0&#10;Wdv564170cfDOXzny3ez6diIg2stCVivImBItVUtNQI+3p9ut8Ccl6RkZwkFnNHBrlhc5TJTdqI3&#10;HEvfsAAhl0kB2vs+49zVGo10K9sjhe7TDkb6EIeGq0FOAW46vomihBvZUnjQsscHjfVXeTICpjE5&#10;vtxs+fx9fC3PTRUfHvVzLMT1ct7fA/M4+78x/OoHdSiCU2VPpBzrBGzuwlBAmgALbRqlMbDqknmR&#10;8//2xQ8AAAD//wMAUEsBAi0AFAAGAAgAAAAhALaDOJL+AAAA4QEAABMAAAAAAAAAAAAAAAAAAAAA&#10;AFtDb250ZW50X1R5cGVzXS54bWxQSwECLQAUAAYACAAAACEAOP0h/9YAAACUAQAACwAAAAAAAAAA&#10;AAAAAAAvAQAAX3JlbHMvLnJlbHNQSwECLQAUAAYACAAAACEAJvOLn6wCAACXBQAADgAAAAAAAAAA&#10;AAAAAAAuAgAAZHJzL2Uyb0RvYy54bWxQSwECLQAUAAYACAAAACEAEupkKNwAAAAFAQAADwAAAAAA&#10;AAAAAAAAAAAGBQAAZHJzL2Rvd25yZXYueG1sUEsFBgAAAAAEAAQA8wAAAA8GAAAAAA==&#10;" strokecolor="#365f91" strokeweight="3pt">
            <v:shadow color="#243f60" opacity=".5" offset="1pt"/>
          </v:shape>
        </w:pict>
      </w:r>
    </w:p>
    <w:p w:rsidR="008235FD" w:rsidRPr="00B6647E" w:rsidRDefault="008235FD" w:rsidP="008235FD">
      <w:pPr>
        <w:spacing w:after="120" w:line="240" w:lineRule="auto"/>
        <w:jc w:val="both"/>
        <w:rPr>
          <w:rFonts w:ascii="Arial" w:hAnsi="Arial" w:cs="Arial"/>
          <w:sz w:val="20"/>
          <w:szCs w:val="20"/>
          <w:lang w:val="fr-FR"/>
        </w:rPr>
      </w:pPr>
    </w:p>
    <w:p w:rsidR="00940AC8" w:rsidRPr="00B6647E" w:rsidRDefault="00940AC8" w:rsidP="008235FD">
      <w:pPr>
        <w:spacing w:after="120" w:line="240" w:lineRule="auto"/>
        <w:jc w:val="both"/>
        <w:rPr>
          <w:rFonts w:ascii="Arial" w:hAnsi="Arial" w:cs="Arial"/>
          <w:sz w:val="20"/>
          <w:szCs w:val="20"/>
          <w:lang w:val="fr-FR"/>
        </w:rPr>
      </w:pPr>
      <w:r w:rsidRPr="00B6647E">
        <w:rPr>
          <w:rFonts w:ascii="Arial" w:hAnsi="Arial" w:cs="Arial"/>
          <w:sz w:val="20"/>
          <w:szCs w:val="20"/>
          <w:lang w:val="fr-FR"/>
        </w:rPr>
        <w:t>Le Burundi est situé en Afrique Centrale. Il fait frontière communes avec trois pays : le Rwanda au Nord, la République Démocratique du Congo à l’Ouest, la Tanzanie au Sud et à l’Est. Le Burundi constitue un trait d’union entre l’Afrique Centrale, Orientale et Australe.</w:t>
      </w:r>
    </w:p>
    <w:p w:rsidR="00940AC8" w:rsidRPr="00B6647E" w:rsidRDefault="00940AC8" w:rsidP="008235FD">
      <w:pPr>
        <w:spacing w:after="120" w:line="240" w:lineRule="auto"/>
        <w:jc w:val="both"/>
        <w:rPr>
          <w:rFonts w:ascii="Arial" w:hAnsi="Arial" w:cs="Arial"/>
          <w:sz w:val="20"/>
          <w:szCs w:val="20"/>
          <w:lang w:val="fr-FR"/>
        </w:rPr>
      </w:pPr>
      <w:r w:rsidRPr="00B6647E">
        <w:rPr>
          <w:rFonts w:ascii="Arial" w:hAnsi="Arial" w:cs="Arial"/>
          <w:sz w:val="20"/>
          <w:szCs w:val="20"/>
          <w:lang w:val="fr-FR"/>
        </w:rPr>
        <w:t xml:space="preserve">Sa superficie est de 27.834 Km². Son relief est marqué par une altitude qui varie entre 774 m, correspondant au niveau du lac Tanganyika et 2670 m, point culminant au mont Heha. Ces différences d’altitude permettent au pays d’avoir des paysages très variés avec une multitude de collines qui forment les plateaux centraux du pays. </w:t>
      </w:r>
    </w:p>
    <w:p w:rsidR="00940AC8" w:rsidRPr="00B6647E" w:rsidRDefault="00940AC8" w:rsidP="008235FD">
      <w:pPr>
        <w:spacing w:after="120" w:line="240" w:lineRule="auto"/>
        <w:jc w:val="both"/>
        <w:rPr>
          <w:rFonts w:ascii="Arial" w:hAnsi="Arial" w:cs="Arial"/>
          <w:sz w:val="20"/>
          <w:szCs w:val="20"/>
          <w:lang w:val="fr-FR"/>
        </w:rPr>
      </w:pPr>
      <w:r w:rsidRPr="00B6647E">
        <w:rPr>
          <w:rFonts w:ascii="Arial" w:hAnsi="Arial" w:cs="Arial"/>
          <w:sz w:val="20"/>
          <w:szCs w:val="20"/>
          <w:lang w:val="fr-FR"/>
        </w:rPr>
        <w:t xml:space="preserve">De par sa situation montagneuse, le Burundi est caractérisé par un grand nombre de cours d’eau et de marais. Il dispose en outre d’un certain nombre de lacs qui occupent près du dixième de la superficie du pays. Il y a en plus du lac Tanganyika qui sépare le Burundi de ses voisins de l’Ouest et du Sud (le Congo Démocratique et la Tanzanie) d’autres petits lacs du nord (Cohoha, Rweru, Rwihinda ou lac aux oiseaux et Kanzigiri) que le Burundi partage avec le Rwanda. </w:t>
      </w:r>
    </w:p>
    <w:p w:rsidR="00940AC8" w:rsidRPr="00B6647E" w:rsidRDefault="00940AC8" w:rsidP="008235FD">
      <w:pPr>
        <w:spacing w:after="120" w:line="240" w:lineRule="auto"/>
        <w:jc w:val="both"/>
        <w:rPr>
          <w:rFonts w:ascii="Arial" w:hAnsi="Arial" w:cs="Arial"/>
          <w:sz w:val="20"/>
          <w:szCs w:val="20"/>
          <w:lang w:val="fr-FR"/>
        </w:rPr>
      </w:pPr>
      <w:r w:rsidRPr="00B6647E">
        <w:rPr>
          <w:rFonts w:ascii="Arial" w:hAnsi="Arial" w:cs="Arial"/>
          <w:sz w:val="20"/>
          <w:szCs w:val="20"/>
          <w:lang w:val="fr-FR"/>
        </w:rPr>
        <w:t xml:space="preserve">Le Burundi appartient également à deux grands bassins à savoir le bassin du fleuve Congo et celui du Nil. Les rivières situées à l’ouest de la crête Congo-Nil qui sépare les deux bassins se jettent dans le lac Tanganyika. Les eaux collectées à l’Est de cette crête sont cheminées vers le lac Victoria et alimentent par conséquent le fleuve Nil, raison pour laquelle on dit que la source la plus méridionale du Nil se trouve au Burundi. </w:t>
      </w:r>
    </w:p>
    <w:p w:rsidR="00940AC8" w:rsidRPr="00B6647E" w:rsidRDefault="00940AC8" w:rsidP="008235FD">
      <w:pPr>
        <w:spacing w:after="120" w:line="240" w:lineRule="auto"/>
        <w:jc w:val="both"/>
        <w:rPr>
          <w:rFonts w:ascii="Arial" w:hAnsi="Arial" w:cs="Arial"/>
          <w:sz w:val="20"/>
          <w:szCs w:val="20"/>
          <w:lang w:val="fr-FR"/>
        </w:rPr>
      </w:pPr>
      <w:r w:rsidRPr="00B6647E">
        <w:rPr>
          <w:rFonts w:ascii="Arial" w:hAnsi="Arial" w:cs="Arial"/>
          <w:sz w:val="20"/>
          <w:szCs w:val="20"/>
          <w:lang w:val="fr-FR"/>
        </w:rPr>
        <w:t xml:space="preserve">Le lac Tanganyika reste par ailleurs le deuxième lac le plus profond après le lac Baïkal, il regorge d’importantes espèces halieutiques. </w:t>
      </w:r>
    </w:p>
    <w:p w:rsidR="00940AC8" w:rsidRPr="00B6647E" w:rsidRDefault="00940AC8" w:rsidP="008235FD">
      <w:pPr>
        <w:spacing w:after="120" w:line="240" w:lineRule="auto"/>
        <w:jc w:val="both"/>
        <w:rPr>
          <w:rFonts w:ascii="Arial" w:hAnsi="Arial" w:cs="Arial"/>
          <w:sz w:val="20"/>
          <w:szCs w:val="20"/>
          <w:lang w:val="fr-FR"/>
        </w:rPr>
      </w:pPr>
      <w:r w:rsidRPr="00B6647E">
        <w:rPr>
          <w:rFonts w:ascii="Arial" w:hAnsi="Arial" w:cs="Arial"/>
          <w:sz w:val="20"/>
          <w:szCs w:val="20"/>
          <w:lang w:val="fr-FR"/>
        </w:rPr>
        <w:t xml:space="preserve">Le Burundi jouit d’un climat tropical tempéré par le relief. La moyenne annuelle des températures varie entre 15°C et 23 °C et subit une forte influence de l’altitude. Les moyennes les plus élevées sont observées dans la plaine de l’Imbo (Ouest du Burundi). </w:t>
      </w:r>
    </w:p>
    <w:p w:rsidR="00940AC8" w:rsidRPr="00B6647E" w:rsidRDefault="00940AC8" w:rsidP="008235FD">
      <w:pPr>
        <w:spacing w:after="120" w:line="240" w:lineRule="auto"/>
        <w:jc w:val="both"/>
        <w:rPr>
          <w:rFonts w:ascii="Arial" w:hAnsi="Arial" w:cs="Arial"/>
          <w:sz w:val="20"/>
          <w:szCs w:val="20"/>
          <w:lang w:val="fr-FR"/>
        </w:rPr>
      </w:pPr>
      <w:r w:rsidRPr="00B6647E">
        <w:rPr>
          <w:rFonts w:ascii="Arial" w:hAnsi="Arial" w:cs="Arial"/>
          <w:sz w:val="20"/>
          <w:szCs w:val="20"/>
          <w:lang w:val="fr-FR"/>
        </w:rPr>
        <w:t>Le régime pluviométrique est caractérisé par deux saisons sèches et pluvieuses dont chaque fois une grande et une petite. La grande saison des pluies a lieu entre le</w:t>
      </w:r>
      <w:r w:rsidR="00304FC3">
        <w:rPr>
          <w:rFonts w:ascii="Arial" w:hAnsi="Arial" w:cs="Arial"/>
          <w:sz w:val="20"/>
          <w:szCs w:val="20"/>
          <w:lang w:val="fr-FR"/>
        </w:rPr>
        <w:t>s</w:t>
      </w:r>
      <w:r w:rsidRPr="00B6647E">
        <w:rPr>
          <w:rFonts w:ascii="Arial" w:hAnsi="Arial" w:cs="Arial"/>
          <w:sz w:val="20"/>
          <w:szCs w:val="20"/>
          <w:lang w:val="fr-FR"/>
        </w:rPr>
        <w:t xml:space="preserve"> mois de fév</w:t>
      </w:r>
      <w:r w:rsidR="00304FC3">
        <w:rPr>
          <w:rFonts w:ascii="Arial" w:hAnsi="Arial" w:cs="Arial"/>
          <w:sz w:val="20"/>
          <w:szCs w:val="20"/>
          <w:lang w:val="fr-FR"/>
        </w:rPr>
        <w:t>r</w:t>
      </w:r>
      <w:r w:rsidRPr="00B6647E">
        <w:rPr>
          <w:rFonts w:ascii="Arial" w:hAnsi="Arial" w:cs="Arial"/>
          <w:sz w:val="20"/>
          <w:szCs w:val="20"/>
          <w:lang w:val="fr-FR"/>
        </w:rPr>
        <w:t xml:space="preserve">ier et </w:t>
      </w:r>
      <w:r w:rsidR="008235FD" w:rsidRPr="00B6647E">
        <w:rPr>
          <w:rFonts w:ascii="Arial" w:hAnsi="Arial" w:cs="Arial"/>
          <w:sz w:val="20"/>
          <w:szCs w:val="20"/>
          <w:lang w:val="fr-FR"/>
        </w:rPr>
        <w:t>mai</w:t>
      </w:r>
      <w:r w:rsidRPr="00B6647E">
        <w:rPr>
          <w:rFonts w:ascii="Arial" w:hAnsi="Arial" w:cs="Arial"/>
          <w:sz w:val="20"/>
          <w:szCs w:val="20"/>
          <w:lang w:val="fr-FR"/>
        </w:rPr>
        <w:t xml:space="preserve"> aussitôt suivie par la grande saison sèche qui va du mois de </w:t>
      </w:r>
      <w:r w:rsidR="008235FD" w:rsidRPr="00B6647E">
        <w:rPr>
          <w:rFonts w:ascii="Arial" w:hAnsi="Arial" w:cs="Arial"/>
          <w:sz w:val="20"/>
          <w:szCs w:val="20"/>
          <w:lang w:val="fr-FR"/>
        </w:rPr>
        <w:t>juin</w:t>
      </w:r>
      <w:r w:rsidRPr="00B6647E">
        <w:rPr>
          <w:rFonts w:ascii="Arial" w:hAnsi="Arial" w:cs="Arial"/>
          <w:sz w:val="20"/>
          <w:szCs w:val="20"/>
          <w:lang w:val="fr-FR"/>
        </w:rPr>
        <w:t xml:space="preserve"> jusqu’en août. Aujourd’hui, suite à des perturbations climatiques caractérisées par une forte avancée de la sécheresse, on assiste à un changement de tendances avec une saison sèche souvent plus longue que prévue ou un arrêt précoce de pluies. </w:t>
      </w:r>
    </w:p>
    <w:p w:rsidR="00940AC8" w:rsidRPr="00B6647E" w:rsidRDefault="00940AC8" w:rsidP="008235FD">
      <w:pPr>
        <w:spacing w:after="120" w:line="240" w:lineRule="auto"/>
        <w:jc w:val="both"/>
        <w:rPr>
          <w:rFonts w:ascii="Arial" w:hAnsi="Arial" w:cs="Arial"/>
          <w:sz w:val="20"/>
          <w:szCs w:val="20"/>
          <w:lang w:val="fr-FR"/>
        </w:rPr>
      </w:pPr>
      <w:r w:rsidRPr="00B6647E">
        <w:rPr>
          <w:rFonts w:ascii="Arial" w:hAnsi="Arial" w:cs="Arial"/>
          <w:sz w:val="20"/>
          <w:szCs w:val="20"/>
          <w:lang w:val="fr-FR"/>
        </w:rPr>
        <w:t xml:space="preserve">La petite saison pluvieuse va normalement de septembre à décembre et, aussitôt suivie par la petite saison sèche qui va de </w:t>
      </w:r>
      <w:r w:rsidR="008235FD" w:rsidRPr="00B6647E">
        <w:rPr>
          <w:rFonts w:ascii="Arial" w:hAnsi="Arial" w:cs="Arial"/>
          <w:sz w:val="20"/>
          <w:szCs w:val="20"/>
          <w:lang w:val="fr-FR"/>
        </w:rPr>
        <w:t>janvier</w:t>
      </w:r>
      <w:r w:rsidRPr="00B6647E">
        <w:rPr>
          <w:rFonts w:ascii="Arial" w:hAnsi="Arial" w:cs="Arial"/>
          <w:sz w:val="20"/>
          <w:szCs w:val="20"/>
          <w:lang w:val="fr-FR"/>
        </w:rPr>
        <w:t xml:space="preserve"> à février. </w:t>
      </w:r>
    </w:p>
    <w:p w:rsidR="00940AC8" w:rsidRPr="00B6647E" w:rsidRDefault="00940AC8" w:rsidP="00473A6F">
      <w:pPr>
        <w:pStyle w:val="Titre2"/>
        <w:keepNext w:val="0"/>
        <w:spacing w:before="240" w:after="200"/>
        <w:rPr>
          <w:rFonts w:cs="Arial"/>
          <w:u w:val="dotDash"/>
        </w:rPr>
      </w:pPr>
      <w:bookmarkStart w:id="16" w:name="_Toc295833398"/>
      <w:bookmarkStart w:id="17" w:name="_Toc354313818"/>
      <w:r w:rsidRPr="00B6647E">
        <w:rPr>
          <w:rFonts w:cs="Arial"/>
          <w:u w:val="dotDash"/>
        </w:rPr>
        <w:t>Organisation administrative et démographie</w:t>
      </w:r>
      <w:bookmarkEnd w:id="16"/>
      <w:bookmarkEnd w:id="17"/>
      <w:r w:rsidRPr="00B6647E">
        <w:rPr>
          <w:rFonts w:cs="Arial"/>
          <w:u w:val="dotDash"/>
        </w:rPr>
        <w:t xml:space="preserve"> </w:t>
      </w:r>
    </w:p>
    <w:p w:rsidR="00940AC8" w:rsidRPr="00B6647E" w:rsidRDefault="00940AC8" w:rsidP="00B40948">
      <w:pPr>
        <w:spacing w:after="120" w:line="240" w:lineRule="auto"/>
        <w:jc w:val="both"/>
        <w:rPr>
          <w:rFonts w:ascii="Arial" w:hAnsi="Arial" w:cs="Arial"/>
          <w:bCs/>
          <w:sz w:val="20"/>
          <w:szCs w:val="20"/>
          <w:lang w:val="fr-FR"/>
        </w:rPr>
      </w:pPr>
      <w:r w:rsidRPr="00B6647E">
        <w:rPr>
          <w:rFonts w:ascii="Arial" w:hAnsi="Arial" w:cs="Arial"/>
          <w:bCs/>
          <w:sz w:val="20"/>
          <w:szCs w:val="20"/>
          <w:lang w:val="fr-FR"/>
        </w:rPr>
        <w:t>Le premier niveau sub-national du Burundi est constitué de 17 entités administratives soit 16 provinces et la capitale Bujumbura (Bujumbura mairie). Les provinces portent le même nom que leur chef-lieu : Bubanza, Bujumbura Mairie, Bujumbura Rural, Bururi, Cankuzo, Cibitoke, Gitega, Karuzi, Kayanza, Kirundo, Makamba, Muramvya, Muyinga, Mwaro, Ngozi, Rutana, Ruyigi). Le deuxième niveau administratif est formé de 129 communes et le troisième de 2909 collines.</w:t>
      </w:r>
    </w:p>
    <w:p w:rsidR="00940AC8" w:rsidRPr="00B6647E" w:rsidRDefault="00940AC8" w:rsidP="00B40948">
      <w:pPr>
        <w:spacing w:after="120" w:line="240" w:lineRule="auto"/>
        <w:jc w:val="both"/>
        <w:rPr>
          <w:rFonts w:ascii="Arial" w:hAnsi="Arial" w:cs="Arial"/>
          <w:bCs/>
          <w:sz w:val="20"/>
          <w:szCs w:val="20"/>
          <w:lang w:val="fr-FR"/>
        </w:rPr>
      </w:pPr>
      <w:r w:rsidRPr="00B6647E">
        <w:rPr>
          <w:rFonts w:ascii="Arial" w:hAnsi="Arial" w:cs="Arial"/>
          <w:bCs/>
          <w:sz w:val="20"/>
          <w:szCs w:val="20"/>
          <w:lang w:val="fr-FR"/>
        </w:rPr>
        <w:t xml:space="preserve">Chaque colline, dirigé par un chef de colline est composée de sous-collines qui ne sont pas des entités administratives mais </w:t>
      </w:r>
      <w:r w:rsidR="00304FC3">
        <w:rPr>
          <w:rFonts w:ascii="Arial" w:hAnsi="Arial" w:cs="Arial"/>
          <w:bCs/>
          <w:sz w:val="20"/>
          <w:szCs w:val="20"/>
          <w:lang w:val="fr-FR"/>
        </w:rPr>
        <w:t>sont néanmoins reconnues</w:t>
      </w:r>
      <w:r w:rsidRPr="00B6647E">
        <w:rPr>
          <w:rFonts w:ascii="Arial" w:hAnsi="Arial" w:cs="Arial"/>
          <w:bCs/>
          <w:sz w:val="20"/>
          <w:szCs w:val="20"/>
          <w:lang w:val="fr-FR"/>
        </w:rPr>
        <w:t xml:space="preserve"> socialement et dirigées par des chefs de sous-colline. A l’intérieur des sous-collines, il existe des groupes de ménages (</w:t>
      </w:r>
      <w:r w:rsidRPr="00B6647E">
        <w:rPr>
          <w:rFonts w:ascii="Arial" w:hAnsi="Arial" w:cs="Arial"/>
          <w:bCs/>
          <w:i/>
          <w:sz w:val="20"/>
          <w:szCs w:val="20"/>
          <w:lang w:val="fr-FR"/>
        </w:rPr>
        <w:t xml:space="preserve">ingo </w:t>
      </w:r>
      <w:r w:rsidRPr="00B6647E">
        <w:rPr>
          <w:rFonts w:ascii="Arial" w:hAnsi="Arial" w:cs="Arial"/>
          <w:bCs/>
          <w:sz w:val="20"/>
          <w:szCs w:val="20"/>
          <w:lang w:val="fr-FR"/>
        </w:rPr>
        <w:t>pluriel de</w:t>
      </w:r>
      <w:r w:rsidRPr="00B6647E">
        <w:rPr>
          <w:rFonts w:ascii="Arial" w:hAnsi="Arial" w:cs="Arial"/>
          <w:bCs/>
          <w:i/>
          <w:sz w:val="20"/>
          <w:szCs w:val="20"/>
          <w:lang w:val="fr-FR"/>
        </w:rPr>
        <w:t xml:space="preserve"> rugo)</w:t>
      </w:r>
      <w:r w:rsidRPr="00B6647E">
        <w:rPr>
          <w:rFonts w:ascii="Arial" w:hAnsi="Arial" w:cs="Arial"/>
          <w:bCs/>
          <w:sz w:val="20"/>
          <w:szCs w:val="20"/>
          <w:lang w:val="fr-FR"/>
        </w:rPr>
        <w:t xml:space="preserve"> ayant à leur tête des chefs de groupes. Cette organisation sociale peut être exploitée à bon escient pour l’organisation de la collecte sur le terrain. </w:t>
      </w:r>
    </w:p>
    <w:p w:rsidR="00940AC8" w:rsidRPr="00B6647E" w:rsidRDefault="00940AC8" w:rsidP="00FB15C5">
      <w:pPr>
        <w:spacing w:after="120" w:line="240" w:lineRule="auto"/>
        <w:jc w:val="both"/>
        <w:rPr>
          <w:rFonts w:ascii="Arial" w:hAnsi="Arial" w:cs="Arial"/>
          <w:bCs/>
          <w:sz w:val="20"/>
          <w:szCs w:val="20"/>
          <w:lang w:val="fr-FR"/>
        </w:rPr>
      </w:pPr>
      <w:r w:rsidRPr="00B6647E">
        <w:rPr>
          <w:rFonts w:ascii="Arial" w:hAnsi="Arial" w:cs="Arial"/>
          <w:bCs/>
          <w:sz w:val="20"/>
          <w:szCs w:val="20"/>
          <w:lang w:val="fr-FR"/>
        </w:rPr>
        <w:t>Après Bujumbura la capitale du Burundi, Gitega, située à 110 km est la deuxième ville du pays. Les autres villes importantes sont Ngozi, Rumonge (dans la province de Bururi) et Muyinga.</w:t>
      </w:r>
      <w:r w:rsidR="00FB15C5" w:rsidRPr="00B6647E">
        <w:rPr>
          <w:rFonts w:ascii="Arial" w:hAnsi="Arial" w:cs="Arial"/>
          <w:bCs/>
          <w:sz w:val="20"/>
          <w:szCs w:val="20"/>
          <w:lang w:val="fr-FR"/>
        </w:rPr>
        <w:t xml:space="preserve"> </w:t>
      </w:r>
      <w:r w:rsidRPr="00B6647E">
        <w:rPr>
          <w:rFonts w:ascii="Arial" w:hAnsi="Arial" w:cs="Arial"/>
          <w:bCs/>
          <w:sz w:val="20"/>
          <w:szCs w:val="20"/>
          <w:lang w:val="fr-FR"/>
        </w:rPr>
        <w:t>Les résultats provisoires de Recensement général de la population de 2008 estiment  la population burundaise à 8.038 618 habitants et 1 607 573 ménages, soit une taille moyenne de 5 personnes par ménage. Le milieu rural représente environ 89%</w:t>
      </w:r>
      <w:r w:rsidRPr="00B6647E">
        <w:rPr>
          <w:rStyle w:val="Appelnotedebasdep"/>
          <w:rFonts w:ascii="Arial" w:hAnsi="Arial" w:cs="Arial"/>
          <w:bCs/>
          <w:sz w:val="20"/>
          <w:szCs w:val="20"/>
        </w:rPr>
        <w:footnoteReference w:id="9"/>
      </w:r>
      <w:r w:rsidRPr="00B6647E">
        <w:rPr>
          <w:rFonts w:ascii="Arial" w:hAnsi="Arial" w:cs="Arial"/>
          <w:bCs/>
          <w:sz w:val="20"/>
          <w:szCs w:val="20"/>
          <w:lang w:val="fr-FR"/>
        </w:rPr>
        <w:t xml:space="preserve"> de la population totale, soit au total 1 430 875 ménages.</w:t>
      </w:r>
    </w:p>
    <w:p w:rsidR="00FB15C5" w:rsidRPr="00B6647E" w:rsidRDefault="00FB15C5" w:rsidP="00DB0762">
      <w:pPr>
        <w:spacing w:after="0" w:line="240" w:lineRule="auto"/>
        <w:jc w:val="both"/>
        <w:rPr>
          <w:rFonts w:ascii="Arial" w:hAnsi="Arial" w:cs="Arial"/>
          <w:b/>
          <w:bCs/>
          <w:sz w:val="20"/>
          <w:szCs w:val="20"/>
          <w:lang w:val="fr-FR"/>
        </w:rPr>
      </w:pPr>
    </w:p>
    <w:p w:rsidR="00940AC8" w:rsidRPr="00B6647E" w:rsidRDefault="00940AC8" w:rsidP="00DB0762">
      <w:pPr>
        <w:spacing w:after="0" w:line="240" w:lineRule="auto"/>
        <w:jc w:val="both"/>
        <w:rPr>
          <w:rFonts w:ascii="Arial" w:hAnsi="Arial" w:cs="Arial"/>
          <w:b/>
          <w:bCs/>
          <w:sz w:val="20"/>
          <w:szCs w:val="20"/>
          <w:lang w:val="fr-FR"/>
        </w:rPr>
      </w:pPr>
      <w:r w:rsidRPr="00B6647E">
        <w:rPr>
          <w:rFonts w:ascii="Arial" w:hAnsi="Arial" w:cs="Arial"/>
          <w:b/>
          <w:bCs/>
          <w:sz w:val="20"/>
          <w:szCs w:val="20"/>
          <w:lang w:val="fr-FR"/>
        </w:rPr>
        <w:lastRenderedPageBreak/>
        <w:t xml:space="preserve">Tableau </w:t>
      </w:r>
      <w:r w:rsidR="00DB0762" w:rsidRPr="00B6647E">
        <w:rPr>
          <w:rFonts w:ascii="Arial" w:hAnsi="Arial" w:cs="Arial"/>
          <w:b/>
          <w:bCs/>
          <w:sz w:val="20"/>
          <w:szCs w:val="20"/>
          <w:lang w:val="fr-FR"/>
        </w:rPr>
        <w:t>0</w:t>
      </w:r>
      <w:r w:rsidRPr="00B6647E">
        <w:rPr>
          <w:rFonts w:ascii="Arial" w:hAnsi="Arial" w:cs="Arial"/>
          <w:b/>
          <w:bCs/>
          <w:sz w:val="20"/>
          <w:szCs w:val="20"/>
          <w:lang w:val="fr-FR"/>
        </w:rPr>
        <w:t>1 : Populations et divisions administratives par province</w:t>
      </w:r>
    </w:p>
    <w:p w:rsidR="00940AC8" w:rsidRPr="00B6647E" w:rsidRDefault="00940AC8" w:rsidP="00004F4F">
      <w:pPr>
        <w:spacing w:after="80" w:line="240" w:lineRule="auto"/>
        <w:jc w:val="both"/>
        <w:rPr>
          <w:rFonts w:ascii="Arial" w:hAnsi="Arial" w:cs="Arial"/>
          <w:bCs/>
          <w:lang w:val="fr-FR"/>
        </w:rPr>
      </w:pPr>
      <w:r w:rsidRPr="00B6647E">
        <w:rPr>
          <w:rFonts w:ascii="Arial" w:hAnsi="Arial" w:cs="Arial"/>
          <w:noProof/>
          <w:lang w:val="fr-FR" w:eastAsia="fr-FR"/>
        </w:rPr>
        <w:drawing>
          <wp:inline distT="0" distB="0" distL="0" distR="0">
            <wp:extent cx="5760720" cy="4008563"/>
            <wp:effectExtent l="19050" t="0" r="0" b="0"/>
            <wp:docPr id="6"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 cstate="print"/>
                    <a:srcRect/>
                    <a:stretch>
                      <a:fillRect/>
                    </a:stretch>
                  </pic:blipFill>
                  <pic:spPr bwMode="auto">
                    <a:xfrm>
                      <a:off x="0" y="0"/>
                      <a:ext cx="5760720" cy="4008563"/>
                    </a:xfrm>
                    <a:prstGeom prst="rect">
                      <a:avLst/>
                    </a:prstGeom>
                    <a:noFill/>
                    <a:ln w="9525">
                      <a:noFill/>
                      <a:miter lim="800000"/>
                      <a:headEnd/>
                      <a:tailEnd/>
                    </a:ln>
                  </pic:spPr>
                </pic:pic>
              </a:graphicData>
            </a:graphic>
          </wp:inline>
        </w:drawing>
      </w:r>
    </w:p>
    <w:p w:rsidR="00940AC8" w:rsidRPr="00B6647E" w:rsidRDefault="00940AC8" w:rsidP="00004F4F">
      <w:pPr>
        <w:spacing w:after="80" w:line="240" w:lineRule="auto"/>
        <w:jc w:val="both"/>
        <w:rPr>
          <w:rFonts w:ascii="Arial" w:hAnsi="Arial" w:cs="Arial"/>
          <w:bCs/>
          <w:sz w:val="20"/>
          <w:szCs w:val="20"/>
          <w:lang w:val="fr-FR"/>
        </w:rPr>
      </w:pPr>
      <w:r w:rsidRPr="00B6647E">
        <w:rPr>
          <w:rFonts w:ascii="Arial" w:hAnsi="Arial" w:cs="Arial"/>
          <w:bCs/>
          <w:sz w:val="20"/>
          <w:szCs w:val="20"/>
          <w:lang w:val="fr-FR"/>
        </w:rPr>
        <w:t>Les provinces les plus peuplées sont Gitega, Ngozi, Kirundo et Muyinga (plus de 600</w:t>
      </w:r>
      <w:r w:rsidR="002E76B4" w:rsidRPr="00B6647E">
        <w:rPr>
          <w:rFonts w:ascii="Arial" w:hAnsi="Arial" w:cs="Arial"/>
          <w:bCs/>
          <w:sz w:val="20"/>
          <w:szCs w:val="20"/>
          <w:lang w:val="fr-FR"/>
        </w:rPr>
        <w:t>.</w:t>
      </w:r>
      <w:r w:rsidRPr="00B6647E">
        <w:rPr>
          <w:rFonts w:ascii="Arial" w:hAnsi="Arial" w:cs="Arial"/>
          <w:bCs/>
          <w:sz w:val="20"/>
          <w:szCs w:val="20"/>
          <w:lang w:val="fr-FR"/>
        </w:rPr>
        <w:t>000 habitants) et les moins peuplées (moins de 300</w:t>
      </w:r>
      <w:r w:rsidR="002E76B4" w:rsidRPr="00B6647E">
        <w:rPr>
          <w:rFonts w:ascii="Arial" w:hAnsi="Arial" w:cs="Arial"/>
          <w:bCs/>
          <w:sz w:val="20"/>
          <w:szCs w:val="20"/>
          <w:lang w:val="fr-FR"/>
        </w:rPr>
        <w:t>.</w:t>
      </w:r>
      <w:r w:rsidRPr="00B6647E">
        <w:rPr>
          <w:rFonts w:ascii="Arial" w:hAnsi="Arial" w:cs="Arial"/>
          <w:bCs/>
          <w:sz w:val="20"/>
          <w:szCs w:val="20"/>
          <w:lang w:val="fr-FR"/>
        </w:rPr>
        <w:t>000 habitants) sont Cankuzo, Mwaro et Muramvya.</w:t>
      </w:r>
    </w:p>
    <w:p w:rsidR="00940AC8" w:rsidRPr="00B6647E" w:rsidRDefault="00940AC8" w:rsidP="00DB0762">
      <w:pPr>
        <w:spacing w:before="120" w:after="0" w:line="240" w:lineRule="auto"/>
        <w:jc w:val="both"/>
        <w:rPr>
          <w:rFonts w:ascii="Arial" w:hAnsi="Arial" w:cs="Arial"/>
          <w:b/>
          <w:bCs/>
          <w:sz w:val="20"/>
          <w:szCs w:val="20"/>
          <w:lang w:val="fr-FR"/>
        </w:rPr>
      </w:pPr>
      <w:r w:rsidRPr="00B6647E">
        <w:rPr>
          <w:rFonts w:ascii="Arial" w:hAnsi="Arial" w:cs="Arial"/>
          <w:b/>
          <w:bCs/>
          <w:sz w:val="20"/>
          <w:szCs w:val="20"/>
          <w:lang w:val="fr-FR"/>
        </w:rPr>
        <w:t xml:space="preserve">Tableau </w:t>
      </w:r>
      <w:r w:rsidR="00527DD2">
        <w:rPr>
          <w:rFonts w:ascii="Arial" w:hAnsi="Arial" w:cs="Arial"/>
          <w:b/>
          <w:bCs/>
          <w:sz w:val="20"/>
          <w:szCs w:val="20"/>
          <w:lang w:val="fr-FR"/>
        </w:rPr>
        <w:t>0</w:t>
      </w:r>
      <w:r w:rsidRPr="00B6647E">
        <w:rPr>
          <w:rFonts w:ascii="Arial" w:hAnsi="Arial" w:cs="Arial"/>
          <w:b/>
          <w:bCs/>
          <w:sz w:val="20"/>
          <w:szCs w:val="20"/>
          <w:lang w:val="fr-FR"/>
        </w:rPr>
        <w:t>2 : Densité de la population par province</w:t>
      </w:r>
    </w:p>
    <w:p w:rsidR="00940AC8" w:rsidRPr="00B6647E" w:rsidRDefault="00940AC8" w:rsidP="002E76B4">
      <w:pPr>
        <w:keepNext/>
        <w:spacing w:after="0" w:line="240" w:lineRule="auto"/>
        <w:jc w:val="both"/>
        <w:rPr>
          <w:rFonts w:ascii="Arial" w:hAnsi="Arial" w:cs="Arial"/>
          <w:bCs/>
          <w:lang w:val="fr-FR"/>
        </w:rPr>
      </w:pPr>
      <w:r w:rsidRPr="00B6647E">
        <w:rPr>
          <w:rFonts w:ascii="Arial" w:hAnsi="Arial" w:cs="Arial"/>
          <w:noProof/>
          <w:lang w:val="fr-FR" w:eastAsia="fr-FR"/>
        </w:rPr>
        <w:drawing>
          <wp:inline distT="0" distB="0" distL="0" distR="0">
            <wp:extent cx="3047750" cy="3838575"/>
            <wp:effectExtent l="19050" t="0" r="25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 cstate="print"/>
                    <a:srcRect/>
                    <a:stretch>
                      <a:fillRect/>
                    </a:stretch>
                  </pic:blipFill>
                  <pic:spPr bwMode="auto">
                    <a:xfrm>
                      <a:off x="0" y="0"/>
                      <a:ext cx="3047750" cy="3838575"/>
                    </a:xfrm>
                    <a:prstGeom prst="rect">
                      <a:avLst/>
                    </a:prstGeom>
                    <a:noFill/>
                    <a:ln w="9525">
                      <a:noFill/>
                      <a:miter lim="800000"/>
                      <a:headEnd/>
                      <a:tailEnd/>
                    </a:ln>
                  </pic:spPr>
                </pic:pic>
              </a:graphicData>
            </a:graphic>
          </wp:inline>
        </w:drawing>
      </w:r>
    </w:p>
    <w:p w:rsidR="00940AC8" w:rsidRPr="00B6647E" w:rsidRDefault="00940AC8" w:rsidP="002E76B4">
      <w:pPr>
        <w:keepNext/>
        <w:spacing w:after="0" w:line="240" w:lineRule="auto"/>
        <w:jc w:val="both"/>
        <w:rPr>
          <w:rFonts w:ascii="Arial" w:hAnsi="Arial" w:cs="Arial"/>
          <w:b/>
          <w:sz w:val="12"/>
          <w:szCs w:val="12"/>
        </w:rPr>
      </w:pPr>
      <w:r w:rsidRPr="00B6647E">
        <w:rPr>
          <w:rFonts w:ascii="Arial" w:hAnsi="Arial" w:cs="Arial"/>
          <w:b/>
          <w:sz w:val="12"/>
          <w:szCs w:val="12"/>
        </w:rPr>
        <w:t>* Burundi sans Bujumbura Mairie</w:t>
      </w:r>
    </w:p>
    <w:p w:rsidR="00940AC8" w:rsidRPr="00B6647E" w:rsidRDefault="00940AC8" w:rsidP="002E76B4">
      <w:pPr>
        <w:keepNext/>
        <w:spacing w:after="0" w:line="240" w:lineRule="auto"/>
        <w:jc w:val="both"/>
        <w:rPr>
          <w:rFonts w:ascii="Arial" w:hAnsi="Arial" w:cs="Arial"/>
          <w:b/>
          <w:sz w:val="12"/>
          <w:szCs w:val="12"/>
          <w:lang w:val="fr-FR"/>
        </w:rPr>
      </w:pPr>
      <w:r w:rsidRPr="00B6647E">
        <w:rPr>
          <w:rFonts w:ascii="Arial" w:hAnsi="Arial" w:cs="Arial"/>
          <w:b/>
          <w:sz w:val="12"/>
          <w:szCs w:val="12"/>
          <w:lang w:val="fr-FR"/>
        </w:rPr>
        <w:t>Source : DSIA/DGPAE et nos propres calculs</w:t>
      </w:r>
    </w:p>
    <w:p w:rsidR="002E76B4" w:rsidRPr="00B6647E" w:rsidRDefault="002E76B4" w:rsidP="00B40948">
      <w:pPr>
        <w:spacing w:after="0" w:line="240" w:lineRule="auto"/>
        <w:jc w:val="both"/>
        <w:rPr>
          <w:rFonts w:ascii="Arial" w:hAnsi="Arial" w:cs="Arial"/>
          <w:sz w:val="16"/>
          <w:szCs w:val="16"/>
          <w:lang w:val="fr-FR"/>
        </w:rPr>
      </w:pPr>
    </w:p>
    <w:p w:rsidR="002E76B4" w:rsidRPr="00B6647E" w:rsidRDefault="002E76B4" w:rsidP="002E76B4">
      <w:pPr>
        <w:spacing w:line="240" w:lineRule="auto"/>
        <w:jc w:val="both"/>
        <w:rPr>
          <w:rFonts w:ascii="Arial" w:hAnsi="Arial" w:cs="Arial"/>
          <w:bCs/>
          <w:sz w:val="20"/>
          <w:szCs w:val="20"/>
          <w:lang w:val="fr-FR"/>
        </w:rPr>
      </w:pPr>
      <w:r w:rsidRPr="00B6647E">
        <w:rPr>
          <w:rFonts w:ascii="Arial" w:hAnsi="Arial" w:cs="Arial"/>
          <w:bCs/>
          <w:sz w:val="20"/>
          <w:szCs w:val="20"/>
          <w:lang w:val="fr-FR"/>
        </w:rPr>
        <w:lastRenderedPageBreak/>
        <w:t>Le Burundi a une forte densité de la population (313 habi</w:t>
      </w:r>
      <w:r w:rsidR="00304FC3">
        <w:rPr>
          <w:rFonts w:ascii="Arial" w:hAnsi="Arial" w:cs="Arial"/>
          <w:bCs/>
          <w:sz w:val="20"/>
          <w:szCs w:val="20"/>
          <w:lang w:val="fr-FR"/>
        </w:rPr>
        <w:t>tants/km² sans Bujumbura Mairie</w:t>
      </w:r>
      <w:r w:rsidRPr="00B6647E">
        <w:rPr>
          <w:rFonts w:ascii="Arial" w:hAnsi="Arial" w:cs="Arial"/>
          <w:bCs/>
          <w:sz w:val="20"/>
          <w:szCs w:val="20"/>
          <w:lang w:val="fr-FR"/>
        </w:rPr>
        <w:t xml:space="preserve"> en 2008</w:t>
      </w:r>
      <w:r w:rsidR="00304FC3">
        <w:rPr>
          <w:rFonts w:ascii="Arial" w:hAnsi="Arial" w:cs="Arial"/>
          <w:bCs/>
          <w:sz w:val="20"/>
          <w:szCs w:val="20"/>
          <w:lang w:val="fr-FR"/>
        </w:rPr>
        <w:t>)</w:t>
      </w:r>
      <w:r w:rsidRPr="00B6647E">
        <w:rPr>
          <w:rFonts w:ascii="Arial" w:hAnsi="Arial" w:cs="Arial"/>
          <w:bCs/>
          <w:sz w:val="20"/>
          <w:szCs w:val="20"/>
          <w:lang w:val="fr-FR"/>
        </w:rPr>
        <w:t>. Cette densité qui cache une grande disparité entre les provinces provient essentiellement du milieu rural car le milieu urbain ne représente que 11%</w:t>
      </w:r>
      <w:r w:rsidRPr="00B6647E">
        <w:rPr>
          <w:rStyle w:val="Appelnotedebasdep"/>
          <w:rFonts w:ascii="Arial" w:hAnsi="Arial" w:cs="Arial"/>
          <w:bCs/>
          <w:sz w:val="20"/>
          <w:szCs w:val="20"/>
        </w:rPr>
        <w:footnoteReference w:id="10"/>
      </w:r>
      <w:r w:rsidRPr="00B6647E">
        <w:rPr>
          <w:rFonts w:ascii="Arial" w:hAnsi="Arial" w:cs="Arial"/>
          <w:bCs/>
          <w:sz w:val="20"/>
          <w:szCs w:val="20"/>
          <w:lang w:val="fr-FR"/>
        </w:rPr>
        <w:t xml:space="preserve"> de la population totale. Les provinces les plus dens</w:t>
      </w:r>
      <w:r w:rsidR="00304FC3">
        <w:rPr>
          <w:rFonts w:ascii="Arial" w:hAnsi="Arial" w:cs="Arial"/>
          <w:bCs/>
          <w:sz w:val="20"/>
          <w:szCs w:val="20"/>
          <w:lang w:val="fr-FR"/>
        </w:rPr>
        <w:t>ément peuplées</w:t>
      </w:r>
      <w:r w:rsidRPr="00B6647E">
        <w:rPr>
          <w:rFonts w:ascii="Arial" w:hAnsi="Arial" w:cs="Arial"/>
          <w:bCs/>
          <w:sz w:val="20"/>
          <w:szCs w:val="20"/>
          <w:lang w:val="fr-FR"/>
        </w:rPr>
        <w:t xml:space="preserve"> sont  Bujumbura rurale (674,7 hab./km²), Kayanza (508,5 hab./km²), Ngozi (448,7 hab./km²), Muramvya (424 hab./km²) et les moins dens</w:t>
      </w:r>
      <w:r w:rsidR="00304FC3">
        <w:rPr>
          <w:rFonts w:ascii="Arial" w:hAnsi="Arial" w:cs="Arial"/>
          <w:bCs/>
          <w:sz w:val="20"/>
          <w:szCs w:val="20"/>
          <w:lang w:val="fr-FR"/>
        </w:rPr>
        <w:t>ément peuplées</w:t>
      </w:r>
      <w:r w:rsidRPr="00B6647E">
        <w:rPr>
          <w:rFonts w:ascii="Arial" w:hAnsi="Arial" w:cs="Arial"/>
          <w:bCs/>
          <w:sz w:val="20"/>
          <w:szCs w:val="20"/>
          <w:lang w:val="fr-FR"/>
        </w:rPr>
        <w:t xml:space="preserve"> sont Cankuzo (112,7 hab./km²), Ruyigi (171,4 hab./km²).</w:t>
      </w:r>
    </w:p>
    <w:p w:rsidR="00940AC8" w:rsidRPr="00B6647E" w:rsidRDefault="00940AC8" w:rsidP="00E62B65">
      <w:pPr>
        <w:pStyle w:val="Titre2"/>
        <w:keepNext w:val="0"/>
        <w:spacing w:before="240" w:after="200"/>
        <w:rPr>
          <w:rFonts w:cs="Arial"/>
          <w:u w:val="dotDash"/>
        </w:rPr>
      </w:pPr>
      <w:bookmarkStart w:id="18" w:name="_Toc295833399"/>
      <w:bookmarkStart w:id="19" w:name="_Toc354313819"/>
      <w:r w:rsidRPr="00B6647E">
        <w:rPr>
          <w:rFonts w:cs="Arial"/>
          <w:u w:val="dotDash"/>
        </w:rPr>
        <w:t>Caractéristiques agro-écologiques productives des provinces</w:t>
      </w:r>
      <w:r w:rsidRPr="00B6647E">
        <w:rPr>
          <w:rFonts w:cs="Arial"/>
          <w:u w:val="dotDash"/>
          <w:vertAlign w:val="superscript"/>
        </w:rPr>
        <w:footnoteReference w:id="11"/>
      </w:r>
      <w:bookmarkEnd w:id="18"/>
      <w:bookmarkEnd w:id="19"/>
    </w:p>
    <w:p w:rsidR="00C21C43" w:rsidRPr="00B6647E" w:rsidRDefault="00C21C43" w:rsidP="00C21C43">
      <w:pPr>
        <w:pStyle w:val="xl25"/>
        <w:pBdr>
          <w:top w:val="none" w:sz="0" w:space="0" w:color="auto"/>
          <w:left w:val="none" w:sz="0" w:space="0" w:color="auto"/>
          <w:bottom w:val="none" w:sz="0" w:space="0" w:color="auto"/>
          <w:right w:val="none" w:sz="0" w:space="0" w:color="auto"/>
        </w:pBdr>
        <w:spacing w:before="0" w:beforeAutospacing="0" w:after="120" w:afterAutospacing="0"/>
        <w:jc w:val="both"/>
        <w:rPr>
          <w:rFonts w:eastAsia="Calibri"/>
          <w:bCs/>
          <w:sz w:val="20"/>
          <w:szCs w:val="20"/>
          <w:lang w:eastAsia="en-US" w:bidi="en-US"/>
        </w:rPr>
      </w:pPr>
      <w:bookmarkStart w:id="20" w:name="_Toc233701928"/>
      <w:r w:rsidRPr="00B6647E">
        <w:rPr>
          <w:rFonts w:eastAsia="Calibri"/>
          <w:bCs/>
          <w:sz w:val="20"/>
          <w:szCs w:val="20"/>
          <w:lang w:eastAsia="en-US" w:bidi="en-US"/>
        </w:rPr>
        <w:t>La Province de</w:t>
      </w:r>
      <w:r w:rsidRPr="00B6647E">
        <w:rPr>
          <w:rFonts w:eastAsia="Calibri"/>
          <w:b/>
          <w:bCs/>
          <w:sz w:val="20"/>
          <w:szCs w:val="20"/>
          <w:lang w:eastAsia="en-US" w:bidi="en-US"/>
        </w:rPr>
        <w:t xml:space="preserve"> Bubanza</w:t>
      </w:r>
      <w:r w:rsidRPr="00B6647E">
        <w:rPr>
          <w:rFonts w:eastAsia="Calibri"/>
          <w:bCs/>
          <w:sz w:val="20"/>
          <w:szCs w:val="20"/>
          <w:lang w:eastAsia="en-US" w:bidi="en-US"/>
        </w:rPr>
        <w:t xml:space="preserve"> est distribuée dans plusieurs régions naturelles du fait de son adossement à la chaîne montagneuse du Mumirwa. L’Imbo constitue la majeure partie, suivie du Mumirwa et du Mugamba.  L’altitude s’étage de </w:t>
      </w:r>
      <w:smartTag w:uri="urn:schemas-microsoft-com:office:smarttags" w:element="metricconverter">
        <w:smartTagPr>
          <w:attr w:name="ProductID" w:val="770 m"/>
        </w:smartTagPr>
        <w:r w:rsidRPr="00B6647E">
          <w:rPr>
            <w:rFonts w:eastAsia="Calibri"/>
            <w:bCs/>
            <w:sz w:val="20"/>
            <w:szCs w:val="20"/>
            <w:lang w:eastAsia="en-US" w:bidi="en-US"/>
          </w:rPr>
          <w:t>770 m</w:t>
        </w:r>
      </w:smartTag>
      <w:r w:rsidRPr="00B6647E">
        <w:rPr>
          <w:rFonts w:eastAsia="Calibri"/>
          <w:bCs/>
          <w:sz w:val="20"/>
          <w:szCs w:val="20"/>
          <w:lang w:eastAsia="en-US" w:bidi="en-US"/>
        </w:rPr>
        <w:t xml:space="preserve"> dans l’Imbo à </w:t>
      </w:r>
      <w:smartTag w:uri="urn:schemas-microsoft-com:office:smarttags" w:element="metricconverter">
        <w:smartTagPr>
          <w:attr w:name="ProductID" w:val="2 600 m"/>
        </w:smartTagPr>
        <w:r w:rsidRPr="00B6647E">
          <w:rPr>
            <w:rFonts w:eastAsia="Calibri"/>
            <w:bCs/>
            <w:sz w:val="20"/>
            <w:szCs w:val="20"/>
            <w:lang w:eastAsia="en-US" w:bidi="en-US"/>
          </w:rPr>
          <w:t>2 600 m</w:t>
        </w:r>
      </w:smartTag>
      <w:r w:rsidRPr="00B6647E">
        <w:rPr>
          <w:rFonts w:eastAsia="Calibri"/>
          <w:bCs/>
          <w:sz w:val="20"/>
          <w:szCs w:val="20"/>
          <w:lang w:eastAsia="en-US" w:bidi="en-US"/>
        </w:rPr>
        <w:t xml:space="preserve"> dans le Mugamba. Il en est de même pour la  pluviométrie qui varie de 900 à </w:t>
      </w:r>
      <w:smartTag w:uri="urn:schemas-microsoft-com:office:smarttags" w:element="metricconverter">
        <w:smartTagPr>
          <w:attr w:name="ProductID" w:val="1 600 mm"/>
        </w:smartTagPr>
        <w:r w:rsidRPr="00B6647E">
          <w:rPr>
            <w:rFonts w:eastAsia="Calibri"/>
            <w:bCs/>
            <w:sz w:val="20"/>
            <w:szCs w:val="20"/>
            <w:lang w:eastAsia="en-US" w:bidi="en-US"/>
          </w:rPr>
          <w:t>1 600 mm</w:t>
        </w:r>
      </w:smartTag>
      <w:r w:rsidRPr="00B6647E">
        <w:rPr>
          <w:rFonts w:eastAsia="Calibri"/>
          <w:bCs/>
          <w:sz w:val="20"/>
          <w:szCs w:val="20"/>
          <w:lang w:eastAsia="en-US" w:bidi="en-US"/>
        </w:rPr>
        <w:t xml:space="preserve">. </w:t>
      </w:r>
    </w:p>
    <w:p w:rsidR="00C21C43" w:rsidRPr="00B6647E" w:rsidRDefault="00C21C43" w:rsidP="00C21C43">
      <w:pPr>
        <w:pStyle w:val="xl25"/>
        <w:pBdr>
          <w:top w:val="none" w:sz="0" w:space="0" w:color="auto"/>
          <w:left w:val="none" w:sz="0" w:space="0" w:color="auto"/>
          <w:bottom w:val="none" w:sz="0" w:space="0" w:color="auto"/>
          <w:right w:val="none" w:sz="0" w:space="0" w:color="auto"/>
        </w:pBdr>
        <w:spacing w:before="0" w:beforeAutospacing="0" w:after="120" w:afterAutospacing="0"/>
        <w:jc w:val="both"/>
        <w:rPr>
          <w:rFonts w:eastAsia="Calibri"/>
          <w:sz w:val="20"/>
          <w:szCs w:val="20"/>
          <w:lang w:eastAsia="en-US" w:bidi="en-US"/>
        </w:rPr>
      </w:pPr>
      <w:r w:rsidRPr="00B6647E">
        <w:rPr>
          <w:rFonts w:eastAsia="Calibri"/>
          <w:bCs/>
          <w:sz w:val="20"/>
          <w:szCs w:val="20"/>
          <w:lang w:eastAsia="en-US" w:bidi="en-US"/>
        </w:rPr>
        <w:t xml:space="preserve">La Province de </w:t>
      </w:r>
      <w:r w:rsidRPr="00B6647E">
        <w:rPr>
          <w:rFonts w:eastAsia="Calibri"/>
          <w:b/>
          <w:bCs/>
          <w:sz w:val="20"/>
          <w:szCs w:val="20"/>
          <w:lang w:eastAsia="en-US" w:bidi="en-US"/>
        </w:rPr>
        <w:t>Bujumbura Rural</w:t>
      </w:r>
      <w:r w:rsidRPr="00B6647E">
        <w:rPr>
          <w:rFonts w:eastAsia="Calibri"/>
          <w:bCs/>
          <w:sz w:val="20"/>
          <w:szCs w:val="20"/>
          <w:lang w:eastAsia="en-US" w:bidi="en-US"/>
        </w:rPr>
        <w:t xml:space="preserve"> se réparti</w:t>
      </w:r>
      <w:r w:rsidR="00304FC3">
        <w:rPr>
          <w:rFonts w:eastAsia="Calibri"/>
          <w:bCs/>
          <w:sz w:val="20"/>
          <w:szCs w:val="20"/>
          <w:lang w:eastAsia="en-US" w:bidi="en-US"/>
        </w:rPr>
        <w:t>t</w:t>
      </w:r>
      <w:r w:rsidRPr="00B6647E">
        <w:rPr>
          <w:rFonts w:eastAsia="Calibri"/>
          <w:bCs/>
          <w:sz w:val="20"/>
          <w:szCs w:val="20"/>
          <w:lang w:eastAsia="en-US" w:bidi="en-US"/>
        </w:rPr>
        <w:t xml:space="preserve"> entre plusieurs régions naturelles (Imbo, Mugamba, Mumirwa) qui déterminent d’importantes variations tant au niveau relief (700 à </w:t>
      </w:r>
      <w:smartTag w:uri="urn:schemas-microsoft-com:office:smarttags" w:element="metricconverter">
        <w:smartTagPr>
          <w:attr w:name="ProductID" w:val="2 600 m"/>
        </w:smartTagPr>
        <w:r w:rsidRPr="00B6647E">
          <w:rPr>
            <w:rFonts w:eastAsia="Calibri"/>
            <w:bCs/>
            <w:sz w:val="20"/>
            <w:szCs w:val="20"/>
            <w:lang w:eastAsia="en-US" w:bidi="en-US"/>
          </w:rPr>
          <w:t>2 600 m</w:t>
        </w:r>
      </w:smartTag>
      <w:r w:rsidRPr="00B6647E">
        <w:rPr>
          <w:rFonts w:eastAsia="Calibri"/>
          <w:bCs/>
          <w:sz w:val="20"/>
          <w:szCs w:val="20"/>
          <w:lang w:eastAsia="en-US" w:bidi="en-US"/>
        </w:rPr>
        <w:t xml:space="preserve">) que des précipitations (de 900 à </w:t>
      </w:r>
      <w:smartTag w:uri="urn:schemas-microsoft-com:office:smarttags" w:element="metricconverter">
        <w:smartTagPr>
          <w:attr w:name="ProductID" w:val="1 600 mm"/>
        </w:smartTagPr>
        <w:r w:rsidRPr="00B6647E">
          <w:rPr>
            <w:rFonts w:eastAsia="Calibri"/>
            <w:bCs/>
            <w:sz w:val="20"/>
            <w:szCs w:val="20"/>
            <w:lang w:eastAsia="en-US" w:bidi="en-US"/>
          </w:rPr>
          <w:t>1 600 mm</w:t>
        </w:r>
      </w:smartTag>
      <w:r w:rsidRPr="00B6647E">
        <w:rPr>
          <w:rFonts w:eastAsia="Calibri"/>
          <w:bCs/>
          <w:sz w:val="20"/>
          <w:szCs w:val="20"/>
          <w:lang w:eastAsia="en-US" w:bidi="en-US"/>
        </w:rPr>
        <w:t>).</w:t>
      </w:r>
    </w:p>
    <w:p w:rsidR="00C21C43" w:rsidRPr="00B6647E" w:rsidRDefault="00C21C43" w:rsidP="00C21C43">
      <w:pPr>
        <w:pStyle w:val="xl25"/>
        <w:pBdr>
          <w:top w:val="none" w:sz="0" w:space="0" w:color="auto"/>
          <w:left w:val="none" w:sz="0" w:space="0" w:color="auto"/>
          <w:bottom w:val="none" w:sz="0" w:space="0" w:color="auto"/>
          <w:right w:val="none" w:sz="0" w:space="0" w:color="auto"/>
        </w:pBdr>
        <w:spacing w:before="0" w:beforeAutospacing="0" w:after="120" w:afterAutospacing="0"/>
        <w:jc w:val="both"/>
        <w:rPr>
          <w:rFonts w:eastAsia="Calibri"/>
          <w:bCs/>
          <w:sz w:val="20"/>
          <w:szCs w:val="20"/>
          <w:lang w:eastAsia="en-US" w:bidi="en-US"/>
        </w:rPr>
      </w:pPr>
      <w:r w:rsidRPr="00B6647E">
        <w:rPr>
          <w:rFonts w:eastAsia="Calibri"/>
          <w:bCs/>
          <w:sz w:val="20"/>
          <w:szCs w:val="20"/>
          <w:lang w:eastAsia="en-US" w:bidi="en-US"/>
        </w:rPr>
        <w:t>La Province de</w:t>
      </w:r>
      <w:r w:rsidRPr="00B6647E">
        <w:rPr>
          <w:rFonts w:eastAsia="Calibri"/>
          <w:b/>
          <w:bCs/>
          <w:sz w:val="20"/>
          <w:szCs w:val="20"/>
          <w:lang w:eastAsia="en-US" w:bidi="en-US"/>
        </w:rPr>
        <w:t xml:space="preserve"> Bururi</w:t>
      </w:r>
      <w:r w:rsidRPr="00B6647E">
        <w:rPr>
          <w:rFonts w:eastAsia="Calibri"/>
          <w:bCs/>
          <w:sz w:val="20"/>
          <w:szCs w:val="20"/>
          <w:lang w:eastAsia="en-US" w:bidi="en-US"/>
        </w:rPr>
        <w:t xml:space="preserve"> est majoritairement située dans la région naturelle du Bututsi  avec une petite partie dans le Mugamba. L’altitude dans la première région varie de 1750 à 2300m avec une pluviométrie de +/- </w:t>
      </w:r>
      <w:smartTag w:uri="urn:schemas-microsoft-com:office:smarttags" w:element="metricconverter">
        <w:smartTagPr>
          <w:attr w:name="ProductID" w:val="1300 mm"/>
        </w:smartTagPr>
        <w:r w:rsidRPr="00B6647E">
          <w:rPr>
            <w:rFonts w:eastAsia="Calibri"/>
            <w:bCs/>
            <w:sz w:val="20"/>
            <w:szCs w:val="20"/>
            <w:lang w:eastAsia="en-US" w:bidi="en-US"/>
          </w:rPr>
          <w:t>1300 mm</w:t>
        </w:r>
      </w:smartTag>
      <w:r w:rsidRPr="00B6647E">
        <w:rPr>
          <w:rFonts w:eastAsia="Calibri"/>
          <w:bCs/>
          <w:sz w:val="20"/>
          <w:szCs w:val="20"/>
          <w:lang w:eastAsia="en-US" w:bidi="en-US"/>
        </w:rPr>
        <w:t xml:space="preserve"> alors qu’elle est de 1750-</w:t>
      </w:r>
      <w:smartTag w:uri="urn:schemas-microsoft-com:office:smarttags" w:element="metricconverter">
        <w:smartTagPr>
          <w:attr w:name="ProductID" w:val="2600 m"/>
        </w:smartTagPr>
        <w:r w:rsidRPr="00B6647E">
          <w:rPr>
            <w:rFonts w:eastAsia="Calibri"/>
            <w:bCs/>
            <w:sz w:val="20"/>
            <w:szCs w:val="20"/>
            <w:lang w:eastAsia="en-US" w:bidi="en-US"/>
          </w:rPr>
          <w:t>2600 m</w:t>
        </w:r>
      </w:smartTag>
      <w:r w:rsidRPr="00B6647E">
        <w:rPr>
          <w:rFonts w:eastAsia="Calibri"/>
          <w:bCs/>
          <w:sz w:val="20"/>
          <w:szCs w:val="20"/>
          <w:lang w:eastAsia="en-US" w:bidi="en-US"/>
        </w:rPr>
        <w:t xml:space="preserve"> pour des précipitations de 1400-</w:t>
      </w:r>
      <w:smartTag w:uri="urn:schemas-microsoft-com:office:smarttags" w:element="metricconverter">
        <w:smartTagPr>
          <w:attr w:name="ProductID" w:val="1600 mm"/>
        </w:smartTagPr>
        <w:r w:rsidRPr="00B6647E">
          <w:rPr>
            <w:rFonts w:eastAsia="Calibri"/>
            <w:bCs/>
            <w:sz w:val="20"/>
            <w:szCs w:val="20"/>
            <w:lang w:eastAsia="en-US" w:bidi="en-US"/>
          </w:rPr>
          <w:t>1600 mm</w:t>
        </w:r>
      </w:smartTag>
      <w:r w:rsidRPr="00B6647E">
        <w:rPr>
          <w:rFonts w:eastAsia="Calibri"/>
          <w:bCs/>
          <w:sz w:val="20"/>
          <w:szCs w:val="20"/>
          <w:lang w:eastAsia="en-US" w:bidi="en-US"/>
        </w:rPr>
        <w:t xml:space="preserve"> dans le Mugamba.</w:t>
      </w:r>
      <w:bookmarkStart w:id="21" w:name="_Toc233701931"/>
      <w:r w:rsidRPr="00B6647E">
        <w:rPr>
          <w:rFonts w:eastAsia="Calibri"/>
          <w:bCs/>
          <w:sz w:val="20"/>
          <w:szCs w:val="20"/>
          <w:lang w:eastAsia="en-US" w:bidi="en-US"/>
        </w:rPr>
        <w:t xml:space="preserve"> </w:t>
      </w:r>
    </w:p>
    <w:bookmarkEnd w:id="21"/>
    <w:p w:rsidR="00C21C43" w:rsidRPr="00B6647E" w:rsidRDefault="00C21C43" w:rsidP="00C21C43">
      <w:pPr>
        <w:pStyle w:val="xl25"/>
        <w:pBdr>
          <w:top w:val="none" w:sz="0" w:space="0" w:color="auto"/>
          <w:left w:val="none" w:sz="0" w:space="0" w:color="auto"/>
          <w:bottom w:val="none" w:sz="0" w:space="0" w:color="auto"/>
          <w:right w:val="none" w:sz="0" w:space="0" w:color="auto"/>
        </w:pBdr>
        <w:spacing w:before="0" w:beforeAutospacing="0" w:after="120" w:afterAutospacing="0"/>
        <w:jc w:val="both"/>
        <w:rPr>
          <w:rFonts w:eastAsia="Calibri"/>
          <w:bCs/>
          <w:sz w:val="20"/>
          <w:szCs w:val="20"/>
          <w:lang w:eastAsia="en-US" w:bidi="en-US"/>
        </w:rPr>
      </w:pPr>
      <w:r w:rsidRPr="00B6647E">
        <w:rPr>
          <w:rFonts w:eastAsia="Calibri"/>
          <w:bCs/>
          <w:sz w:val="20"/>
          <w:szCs w:val="20"/>
          <w:lang w:eastAsia="en-US" w:bidi="en-US"/>
        </w:rPr>
        <w:t xml:space="preserve">La Province de </w:t>
      </w:r>
      <w:r w:rsidRPr="00B6647E">
        <w:rPr>
          <w:rFonts w:eastAsia="Calibri"/>
          <w:b/>
          <w:bCs/>
          <w:sz w:val="20"/>
          <w:szCs w:val="20"/>
          <w:lang w:eastAsia="en-US" w:bidi="en-US"/>
        </w:rPr>
        <w:t>Cankuzo</w:t>
      </w:r>
      <w:r w:rsidRPr="00B6647E">
        <w:rPr>
          <w:rFonts w:eastAsia="Calibri"/>
          <w:bCs/>
          <w:sz w:val="20"/>
          <w:szCs w:val="20"/>
          <w:lang w:eastAsia="en-US" w:bidi="en-US"/>
        </w:rPr>
        <w:t xml:space="preserve"> est située dans plusieurs régions naturelles dont le Buyogoma et le </w:t>
      </w:r>
      <w:r w:rsidR="00304FC3" w:rsidRPr="00B6647E">
        <w:rPr>
          <w:rFonts w:eastAsia="Calibri"/>
          <w:bCs/>
          <w:sz w:val="20"/>
          <w:szCs w:val="20"/>
          <w:lang w:eastAsia="en-US" w:bidi="en-US"/>
        </w:rPr>
        <w:t xml:space="preserve">Moso. </w:t>
      </w:r>
      <w:r w:rsidRPr="00B6647E">
        <w:rPr>
          <w:rFonts w:eastAsia="Calibri"/>
          <w:bCs/>
          <w:sz w:val="20"/>
          <w:szCs w:val="20"/>
          <w:lang w:eastAsia="en-US" w:bidi="en-US"/>
        </w:rPr>
        <w:t>L’altitude varie de 1 100-</w:t>
      </w:r>
      <w:smartTag w:uri="urn:schemas-microsoft-com:office:smarttags" w:element="metricconverter">
        <w:smartTagPr>
          <w:attr w:name="ProductID" w:val="1 400 m"/>
        </w:smartTagPr>
        <w:r w:rsidRPr="00B6647E">
          <w:rPr>
            <w:rFonts w:eastAsia="Calibri"/>
            <w:bCs/>
            <w:sz w:val="20"/>
            <w:szCs w:val="20"/>
            <w:lang w:eastAsia="en-US" w:bidi="en-US"/>
          </w:rPr>
          <w:t>1 400 m</w:t>
        </w:r>
      </w:smartTag>
      <w:r w:rsidRPr="00B6647E">
        <w:rPr>
          <w:rFonts w:eastAsia="Calibri"/>
          <w:bCs/>
          <w:sz w:val="20"/>
          <w:szCs w:val="20"/>
          <w:lang w:eastAsia="en-US" w:bidi="en-US"/>
        </w:rPr>
        <w:t xml:space="preserve"> pour le Moso et de 1 400-</w:t>
      </w:r>
      <w:smartTag w:uri="urn:schemas-microsoft-com:office:smarttags" w:element="metricconverter">
        <w:smartTagPr>
          <w:attr w:name="ProductID" w:val="1 800 m"/>
        </w:smartTagPr>
        <w:r w:rsidRPr="00B6647E">
          <w:rPr>
            <w:rFonts w:eastAsia="Calibri"/>
            <w:bCs/>
            <w:sz w:val="20"/>
            <w:szCs w:val="20"/>
            <w:lang w:eastAsia="en-US" w:bidi="en-US"/>
          </w:rPr>
          <w:t>1 800 m</w:t>
        </w:r>
      </w:smartTag>
      <w:r w:rsidRPr="00B6647E">
        <w:rPr>
          <w:rFonts w:eastAsia="Calibri"/>
          <w:bCs/>
          <w:sz w:val="20"/>
          <w:szCs w:val="20"/>
          <w:lang w:eastAsia="en-US" w:bidi="en-US"/>
        </w:rPr>
        <w:t xml:space="preserve"> dans le Buyogoma. Les précipitations sont comprises entre 1 100 et </w:t>
      </w:r>
      <w:smartTag w:uri="urn:schemas-microsoft-com:office:smarttags" w:element="metricconverter">
        <w:smartTagPr>
          <w:attr w:name="ProductID" w:val="1 300 mm"/>
        </w:smartTagPr>
        <w:r w:rsidRPr="00B6647E">
          <w:rPr>
            <w:rFonts w:eastAsia="Calibri"/>
            <w:bCs/>
            <w:sz w:val="20"/>
            <w:szCs w:val="20"/>
            <w:lang w:eastAsia="en-US" w:bidi="en-US"/>
          </w:rPr>
          <w:t>1 300 mm</w:t>
        </w:r>
      </w:smartTag>
      <w:r w:rsidRPr="00B6647E">
        <w:rPr>
          <w:rFonts w:eastAsia="Calibri"/>
          <w:bCs/>
          <w:sz w:val="20"/>
          <w:szCs w:val="20"/>
          <w:lang w:eastAsia="en-US" w:bidi="en-US"/>
        </w:rPr>
        <w:t xml:space="preserve">. </w:t>
      </w:r>
      <w:bookmarkStart w:id="22" w:name="_Toc233701932"/>
    </w:p>
    <w:bookmarkEnd w:id="22"/>
    <w:p w:rsidR="00C21C43" w:rsidRPr="00B6647E" w:rsidRDefault="00C21C43" w:rsidP="00C21C43">
      <w:pPr>
        <w:pStyle w:val="xl25"/>
        <w:pBdr>
          <w:top w:val="none" w:sz="0" w:space="0" w:color="auto"/>
          <w:left w:val="none" w:sz="0" w:space="0" w:color="auto"/>
          <w:bottom w:val="none" w:sz="0" w:space="0" w:color="auto"/>
          <w:right w:val="none" w:sz="0" w:space="0" w:color="auto"/>
        </w:pBdr>
        <w:spacing w:before="0" w:beforeAutospacing="0" w:after="120" w:afterAutospacing="0"/>
        <w:jc w:val="both"/>
        <w:rPr>
          <w:rFonts w:eastAsia="Calibri"/>
          <w:sz w:val="20"/>
          <w:szCs w:val="20"/>
          <w:lang w:eastAsia="en-US" w:bidi="en-US"/>
        </w:rPr>
      </w:pPr>
      <w:r w:rsidRPr="00B6647E">
        <w:rPr>
          <w:rFonts w:eastAsia="Calibri"/>
          <w:bCs/>
          <w:sz w:val="20"/>
          <w:szCs w:val="20"/>
          <w:lang w:eastAsia="en-US" w:bidi="en-US"/>
        </w:rPr>
        <w:t xml:space="preserve">La Province de </w:t>
      </w:r>
      <w:r w:rsidRPr="00B6647E">
        <w:rPr>
          <w:rFonts w:eastAsia="Calibri"/>
          <w:b/>
          <w:bCs/>
          <w:sz w:val="20"/>
          <w:szCs w:val="20"/>
          <w:lang w:eastAsia="en-US" w:bidi="en-US"/>
        </w:rPr>
        <w:t>Cibitoke</w:t>
      </w:r>
      <w:r w:rsidRPr="00B6647E">
        <w:rPr>
          <w:rFonts w:eastAsia="Calibri"/>
          <w:bCs/>
          <w:sz w:val="20"/>
          <w:szCs w:val="20"/>
          <w:lang w:eastAsia="en-US" w:bidi="en-US"/>
        </w:rPr>
        <w:t xml:space="preserve"> est répartie entre plusieurs régions naturelles : Imbo, Mugamba et Mumirwa. L’amplitude de l’altitude est de ce fait importante : de 770 à 1 760. La pluviométrie varie en fonction des zones de </w:t>
      </w:r>
      <w:smartTag w:uri="urn:schemas-microsoft-com:office:smarttags" w:element="metricconverter">
        <w:smartTagPr>
          <w:attr w:name="ProductID" w:val="900 mm"/>
        </w:smartTagPr>
        <w:r w:rsidRPr="00B6647E">
          <w:rPr>
            <w:rFonts w:eastAsia="Calibri"/>
            <w:bCs/>
            <w:sz w:val="20"/>
            <w:szCs w:val="20"/>
            <w:lang w:eastAsia="en-US" w:bidi="en-US"/>
          </w:rPr>
          <w:t>900 mm</w:t>
        </w:r>
      </w:smartTag>
      <w:r w:rsidRPr="00B6647E">
        <w:rPr>
          <w:rFonts w:eastAsia="Calibri"/>
          <w:bCs/>
          <w:sz w:val="20"/>
          <w:szCs w:val="20"/>
          <w:lang w:eastAsia="en-US" w:bidi="en-US"/>
        </w:rPr>
        <w:t xml:space="preserve"> (Imbo) à 1 400-1 600 (Mugamba).</w:t>
      </w:r>
      <w:bookmarkStart w:id="23" w:name="_Toc233701933"/>
      <w:r w:rsidRPr="00B6647E">
        <w:rPr>
          <w:rFonts w:eastAsia="Calibri"/>
          <w:sz w:val="20"/>
          <w:szCs w:val="20"/>
          <w:lang w:eastAsia="en-US" w:bidi="en-US"/>
        </w:rPr>
        <w:t xml:space="preserve"> GITEGA</w:t>
      </w:r>
      <w:bookmarkEnd w:id="23"/>
    </w:p>
    <w:p w:rsidR="00C21C43" w:rsidRPr="00B6647E" w:rsidRDefault="00C21C43" w:rsidP="00C21C43">
      <w:pPr>
        <w:pStyle w:val="xl25"/>
        <w:pBdr>
          <w:top w:val="none" w:sz="0" w:space="0" w:color="auto"/>
          <w:left w:val="none" w:sz="0" w:space="0" w:color="auto"/>
          <w:bottom w:val="none" w:sz="0" w:space="0" w:color="auto"/>
          <w:right w:val="none" w:sz="0" w:space="0" w:color="auto"/>
        </w:pBdr>
        <w:spacing w:before="0" w:beforeAutospacing="0" w:after="120" w:afterAutospacing="0"/>
        <w:jc w:val="both"/>
        <w:rPr>
          <w:rFonts w:eastAsia="Calibri"/>
          <w:sz w:val="20"/>
          <w:szCs w:val="20"/>
          <w:lang w:eastAsia="en-US" w:bidi="en-US"/>
        </w:rPr>
      </w:pPr>
      <w:r w:rsidRPr="00B6647E">
        <w:rPr>
          <w:rFonts w:eastAsia="Calibri"/>
          <w:bCs/>
          <w:sz w:val="20"/>
          <w:szCs w:val="20"/>
          <w:lang w:eastAsia="en-US" w:bidi="en-US"/>
        </w:rPr>
        <w:t xml:space="preserve">La Province de </w:t>
      </w:r>
      <w:r w:rsidRPr="00B6647E">
        <w:rPr>
          <w:rFonts w:eastAsia="Calibri"/>
          <w:b/>
          <w:bCs/>
          <w:sz w:val="20"/>
          <w:szCs w:val="20"/>
          <w:lang w:eastAsia="en-US" w:bidi="en-US"/>
        </w:rPr>
        <w:t>Gitega</w:t>
      </w:r>
      <w:r w:rsidRPr="00B6647E">
        <w:rPr>
          <w:rFonts w:eastAsia="Calibri"/>
          <w:bCs/>
          <w:sz w:val="20"/>
          <w:szCs w:val="20"/>
          <w:lang w:eastAsia="en-US" w:bidi="en-US"/>
        </w:rPr>
        <w:t xml:space="preserve"> est principalement localisée dans la région naturelle du Kirimiro, avec une frange méridionale dans la région du Bututsi.  L’altitude varie de 1 400 à 1750 pour la première et de 1 750 à  </w:t>
      </w:r>
      <w:smartTag w:uri="urn:schemas-microsoft-com:office:smarttags" w:element="metricconverter">
        <w:smartTagPr>
          <w:attr w:name="ProductID" w:val="2 300 m"/>
        </w:smartTagPr>
        <w:r w:rsidRPr="00B6647E">
          <w:rPr>
            <w:rFonts w:eastAsia="Calibri"/>
            <w:bCs/>
            <w:sz w:val="20"/>
            <w:szCs w:val="20"/>
            <w:lang w:eastAsia="en-US" w:bidi="en-US"/>
          </w:rPr>
          <w:t>2 300 m</w:t>
        </w:r>
      </w:smartTag>
      <w:r w:rsidRPr="00B6647E">
        <w:rPr>
          <w:rFonts w:eastAsia="Calibri"/>
          <w:bCs/>
          <w:sz w:val="20"/>
          <w:szCs w:val="20"/>
          <w:lang w:eastAsia="en-US" w:bidi="en-US"/>
        </w:rPr>
        <w:t xml:space="preserve"> pour la seconde. La  pluviométrie moyenne commune est de l’ordre de 1 200 à 1 300 mm (saison sèche de 3 à 4 mois).</w:t>
      </w:r>
      <w:bookmarkStart w:id="24" w:name="_Toc233701934"/>
      <w:r w:rsidRPr="00B6647E">
        <w:rPr>
          <w:rFonts w:eastAsia="Calibri"/>
          <w:sz w:val="20"/>
          <w:szCs w:val="20"/>
          <w:lang w:eastAsia="en-US" w:bidi="en-US"/>
        </w:rPr>
        <w:t xml:space="preserve"> </w:t>
      </w:r>
    </w:p>
    <w:bookmarkEnd w:id="24"/>
    <w:p w:rsidR="00C21C43" w:rsidRPr="00B6647E" w:rsidRDefault="00C21C43" w:rsidP="00C21C43">
      <w:pPr>
        <w:pStyle w:val="xl25"/>
        <w:pBdr>
          <w:top w:val="none" w:sz="0" w:space="0" w:color="auto"/>
          <w:left w:val="none" w:sz="0" w:space="0" w:color="auto"/>
          <w:bottom w:val="none" w:sz="0" w:space="0" w:color="auto"/>
          <w:right w:val="none" w:sz="0" w:space="0" w:color="auto"/>
        </w:pBdr>
        <w:spacing w:before="0" w:beforeAutospacing="0" w:after="120" w:afterAutospacing="0"/>
        <w:jc w:val="both"/>
        <w:rPr>
          <w:rFonts w:eastAsia="Calibri"/>
          <w:bCs/>
          <w:sz w:val="20"/>
          <w:szCs w:val="20"/>
          <w:lang w:eastAsia="en-US" w:bidi="en-US"/>
        </w:rPr>
      </w:pPr>
      <w:r w:rsidRPr="00B6647E">
        <w:rPr>
          <w:rFonts w:eastAsia="Calibri"/>
          <w:bCs/>
          <w:sz w:val="20"/>
          <w:szCs w:val="20"/>
          <w:lang w:eastAsia="en-US" w:bidi="en-US"/>
        </w:rPr>
        <w:t xml:space="preserve">La Province de </w:t>
      </w:r>
      <w:r w:rsidRPr="00B6647E">
        <w:rPr>
          <w:rFonts w:eastAsia="Calibri"/>
          <w:b/>
          <w:bCs/>
          <w:sz w:val="20"/>
          <w:szCs w:val="20"/>
          <w:lang w:eastAsia="en-US" w:bidi="en-US"/>
        </w:rPr>
        <w:t>Karuzi</w:t>
      </w:r>
      <w:r w:rsidRPr="00B6647E">
        <w:rPr>
          <w:rFonts w:eastAsia="Calibri"/>
          <w:bCs/>
          <w:sz w:val="20"/>
          <w:szCs w:val="20"/>
          <w:lang w:eastAsia="en-US" w:bidi="en-US"/>
        </w:rPr>
        <w:t xml:space="preserve"> est distribuée entre trois régions naturelles : Bweru, Buyogoma et  Kirimiro.  L’altitude moyenne commune est comprise entre 1400 à 1750 m. La  pluviométrie commune est assez similaire : 1150 à </w:t>
      </w:r>
      <w:smartTag w:uri="urn:schemas-microsoft-com:office:smarttags" w:element="metricconverter">
        <w:smartTagPr>
          <w:attr w:name="ProductID" w:val="1300 mm"/>
        </w:smartTagPr>
        <w:r w:rsidRPr="00B6647E">
          <w:rPr>
            <w:rFonts w:eastAsia="Calibri"/>
            <w:bCs/>
            <w:sz w:val="20"/>
            <w:szCs w:val="20"/>
            <w:lang w:eastAsia="en-US" w:bidi="en-US"/>
          </w:rPr>
          <w:t>1300 mm</w:t>
        </w:r>
      </w:smartTag>
      <w:r w:rsidRPr="00B6647E">
        <w:rPr>
          <w:rFonts w:eastAsia="Calibri"/>
          <w:bCs/>
          <w:sz w:val="20"/>
          <w:szCs w:val="20"/>
          <w:lang w:eastAsia="en-US" w:bidi="en-US"/>
        </w:rPr>
        <w:t xml:space="preserve"> en proportion de l’élévation.</w:t>
      </w:r>
      <w:bookmarkStart w:id="25" w:name="_Toc233701935"/>
      <w:r w:rsidRPr="00B6647E">
        <w:rPr>
          <w:rFonts w:eastAsia="Calibri"/>
          <w:bCs/>
          <w:sz w:val="20"/>
          <w:szCs w:val="20"/>
          <w:lang w:eastAsia="en-US" w:bidi="en-US"/>
        </w:rPr>
        <w:t xml:space="preserve"> </w:t>
      </w:r>
    </w:p>
    <w:bookmarkEnd w:id="25"/>
    <w:p w:rsidR="00C21C43" w:rsidRPr="00B6647E" w:rsidRDefault="00C21C43" w:rsidP="00C21C43">
      <w:pPr>
        <w:pStyle w:val="xl25"/>
        <w:pBdr>
          <w:top w:val="none" w:sz="0" w:space="0" w:color="auto"/>
          <w:left w:val="none" w:sz="0" w:space="0" w:color="auto"/>
          <w:bottom w:val="none" w:sz="0" w:space="0" w:color="auto"/>
          <w:right w:val="none" w:sz="0" w:space="0" w:color="auto"/>
        </w:pBdr>
        <w:spacing w:before="0" w:beforeAutospacing="0" w:after="120" w:afterAutospacing="0"/>
        <w:jc w:val="both"/>
        <w:rPr>
          <w:rFonts w:eastAsia="Calibri"/>
          <w:sz w:val="20"/>
          <w:szCs w:val="20"/>
          <w:lang w:eastAsia="en-US" w:bidi="en-US"/>
        </w:rPr>
      </w:pPr>
      <w:r w:rsidRPr="00B6647E">
        <w:rPr>
          <w:rFonts w:eastAsia="Calibri"/>
          <w:bCs/>
          <w:sz w:val="20"/>
          <w:szCs w:val="20"/>
          <w:lang w:eastAsia="en-US" w:bidi="en-US"/>
        </w:rPr>
        <w:t xml:space="preserve">La Province de </w:t>
      </w:r>
      <w:r w:rsidRPr="00B6647E">
        <w:rPr>
          <w:rFonts w:eastAsia="Calibri"/>
          <w:b/>
          <w:bCs/>
          <w:sz w:val="20"/>
          <w:szCs w:val="20"/>
          <w:lang w:eastAsia="en-US" w:bidi="en-US"/>
        </w:rPr>
        <w:t>Kayanz</w:t>
      </w:r>
      <w:r w:rsidRPr="00B6647E">
        <w:rPr>
          <w:rFonts w:eastAsia="Calibri"/>
          <w:bCs/>
          <w:sz w:val="20"/>
          <w:szCs w:val="20"/>
          <w:lang w:eastAsia="en-US" w:bidi="en-US"/>
        </w:rPr>
        <w:t>a est principalement localisée dans deux régions naturelles : Buyenzi et pour une moindre importance Mugamba.  L’altitude dans le premier cas est de 1 500-</w:t>
      </w:r>
      <w:smartTag w:uri="urn:schemas-microsoft-com:office:smarttags" w:element="metricconverter">
        <w:smartTagPr>
          <w:attr w:name="ProductID" w:val="1 900 m"/>
        </w:smartTagPr>
        <w:r w:rsidRPr="00B6647E">
          <w:rPr>
            <w:rFonts w:eastAsia="Calibri"/>
            <w:bCs/>
            <w:sz w:val="20"/>
            <w:szCs w:val="20"/>
            <w:lang w:eastAsia="en-US" w:bidi="en-US"/>
          </w:rPr>
          <w:t>1 900 m</w:t>
        </w:r>
      </w:smartTag>
      <w:r w:rsidRPr="00B6647E">
        <w:rPr>
          <w:rFonts w:eastAsia="Calibri"/>
          <w:bCs/>
          <w:sz w:val="20"/>
          <w:szCs w:val="20"/>
          <w:lang w:eastAsia="en-US" w:bidi="en-US"/>
        </w:rPr>
        <w:t xml:space="preserve"> alors qu’il est de 1 750 à </w:t>
      </w:r>
      <w:smartTag w:uri="urn:schemas-microsoft-com:office:smarttags" w:element="metricconverter">
        <w:smartTagPr>
          <w:attr w:name="ProductID" w:val="2 600 m"/>
        </w:smartTagPr>
        <w:r w:rsidRPr="00B6647E">
          <w:rPr>
            <w:rFonts w:eastAsia="Calibri"/>
            <w:bCs/>
            <w:sz w:val="20"/>
            <w:szCs w:val="20"/>
            <w:lang w:eastAsia="en-US" w:bidi="en-US"/>
          </w:rPr>
          <w:t>2 600 m</w:t>
        </w:r>
      </w:smartTag>
      <w:r w:rsidRPr="00B6647E">
        <w:rPr>
          <w:rFonts w:eastAsia="Calibri"/>
          <w:bCs/>
          <w:sz w:val="20"/>
          <w:szCs w:val="20"/>
          <w:lang w:eastAsia="en-US" w:bidi="en-US"/>
        </w:rPr>
        <w:t xml:space="preserve"> pour Mugamba. La  pluviométrie varie de 1 200 à </w:t>
      </w:r>
      <w:smartTag w:uri="urn:schemas-microsoft-com:office:smarttags" w:element="metricconverter">
        <w:smartTagPr>
          <w:attr w:name="ProductID" w:val="1 600 mm"/>
        </w:smartTagPr>
        <w:r w:rsidRPr="00B6647E">
          <w:rPr>
            <w:rFonts w:eastAsia="Calibri"/>
            <w:bCs/>
            <w:sz w:val="20"/>
            <w:szCs w:val="20"/>
            <w:lang w:eastAsia="en-US" w:bidi="en-US"/>
          </w:rPr>
          <w:t>1 600 mm</w:t>
        </w:r>
      </w:smartTag>
      <w:r w:rsidRPr="00B6647E">
        <w:rPr>
          <w:rFonts w:eastAsia="Calibri"/>
          <w:bCs/>
          <w:sz w:val="20"/>
          <w:szCs w:val="20"/>
          <w:lang w:eastAsia="en-US" w:bidi="en-US"/>
        </w:rPr>
        <w:t xml:space="preserve"> en proportion de l’élévation.</w:t>
      </w:r>
      <w:bookmarkStart w:id="26" w:name="_Toc233701936"/>
      <w:r w:rsidRPr="00B6647E">
        <w:rPr>
          <w:rFonts w:eastAsia="Calibri"/>
          <w:sz w:val="20"/>
          <w:szCs w:val="20"/>
          <w:lang w:eastAsia="en-US" w:bidi="en-US"/>
        </w:rPr>
        <w:t xml:space="preserve"> KIRUNDO</w:t>
      </w:r>
      <w:bookmarkEnd w:id="26"/>
    </w:p>
    <w:p w:rsidR="00C21C43" w:rsidRPr="00B6647E" w:rsidRDefault="00C21C43" w:rsidP="00C21C43">
      <w:pPr>
        <w:pStyle w:val="xl25"/>
        <w:pBdr>
          <w:top w:val="none" w:sz="0" w:space="0" w:color="auto"/>
          <w:left w:val="none" w:sz="0" w:space="0" w:color="auto"/>
          <w:bottom w:val="none" w:sz="0" w:space="0" w:color="auto"/>
          <w:right w:val="none" w:sz="0" w:space="0" w:color="auto"/>
        </w:pBdr>
        <w:spacing w:before="0" w:beforeAutospacing="0" w:after="120" w:afterAutospacing="0"/>
        <w:jc w:val="both"/>
        <w:rPr>
          <w:rFonts w:eastAsia="Calibri"/>
          <w:bCs/>
          <w:sz w:val="20"/>
          <w:szCs w:val="20"/>
          <w:lang w:eastAsia="en-US" w:bidi="en-US"/>
        </w:rPr>
      </w:pPr>
      <w:r w:rsidRPr="00B6647E">
        <w:rPr>
          <w:rFonts w:eastAsia="Calibri"/>
          <w:bCs/>
          <w:sz w:val="20"/>
          <w:szCs w:val="20"/>
          <w:lang w:eastAsia="en-US" w:bidi="en-US"/>
        </w:rPr>
        <w:t xml:space="preserve">La province de </w:t>
      </w:r>
      <w:r w:rsidRPr="00B6647E">
        <w:rPr>
          <w:rFonts w:eastAsia="Calibri"/>
          <w:b/>
          <w:bCs/>
          <w:sz w:val="20"/>
          <w:szCs w:val="20"/>
          <w:lang w:eastAsia="en-US" w:bidi="en-US"/>
        </w:rPr>
        <w:t>Kirundo</w:t>
      </w:r>
      <w:r w:rsidRPr="00B6647E">
        <w:rPr>
          <w:rFonts w:eastAsia="Calibri"/>
          <w:bCs/>
          <w:sz w:val="20"/>
          <w:szCs w:val="20"/>
          <w:lang w:eastAsia="en-US" w:bidi="en-US"/>
        </w:rPr>
        <w:t xml:space="preserve"> est majoritairement incluse dans la région naturelle du Bugesera (88%) avec une petite zone (7%)  au Nord-est dans le Bweru. L’altitude moyenne varie entre 1 300 et </w:t>
      </w:r>
      <w:smartTag w:uri="urn:schemas-microsoft-com:office:smarttags" w:element="metricconverter">
        <w:smartTagPr>
          <w:attr w:name="ProductID" w:val="1 700 m￨tres"/>
        </w:smartTagPr>
        <w:r w:rsidRPr="00B6647E">
          <w:rPr>
            <w:rFonts w:eastAsia="Calibri"/>
            <w:bCs/>
            <w:sz w:val="20"/>
            <w:szCs w:val="20"/>
            <w:lang w:eastAsia="en-US" w:bidi="en-US"/>
          </w:rPr>
          <w:t>1 700 mètres</w:t>
        </w:r>
      </w:smartTag>
      <w:r w:rsidRPr="00B6647E">
        <w:rPr>
          <w:rFonts w:eastAsia="Calibri"/>
          <w:bCs/>
          <w:sz w:val="20"/>
          <w:szCs w:val="20"/>
          <w:lang w:eastAsia="en-US" w:bidi="en-US"/>
        </w:rPr>
        <w:t xml:space="preserve"> et les précipitations de 1 000 à </w:t>
      </w:r>
      <w:smartTag w:uri="urn:schemas-microsoft-com:office:smarttags" w:element="metricconverter">
        <w:smartTagPr>
          <w:attr w:name="ProductID" w:val="1 200 mm"/>
        </w:smartTagPr>
        <w:r w:rsidRPr="00B6647E">
          <w:rPr>
            <w:rFonts w:eastAsia="Calibri"/>
            <w:bCs/>
            <w:sz w:val="20"/>
            <w:szCs w:val="20"/>
            <w:lang w:eastAsia="en-US" w:bidi="en-US"/>
          </w:rPr>
          <w:t>1 200 mm</w:t>
        </w:r>
      </w:smartTag>
      <w:r w:rsidRPr="00B6647E">
        <w:rPr>
          <w:rFonts w:eastAsia="Calibri"/>
          <w:bCs/>
          <w:sz w:val="20"/>
          <w:szCs w:val="20"/>
          <w:lang w:eastAsia="en-US" w:bidi="en-US"/>
        </w:rPr>
        <w:t>.</w:t>
      </w:r>
      <w:bookmarkStart w:id="27" w:name="_Toc233701937"/>
      <w:r w:rsidRPr="00B6647E">
        <w:rPr>
          <w:rFonts w:eastAsia="Calibri"/>
          <w:bCs/>
          <w:sz w:val="20"/>
          <w:szCs w:val="20"/>
          <w:lang w:eastAsia="en-US" w:bidi="en-US"/>
        </w:rPr>
        <w:t xml:space="preserve"> </w:t>
      </w:r>
    </w:p>
    <w:bookmarkEnd w:id="27"/>
    <w:p w:rsidR="00C21C43" w:rsidRPr="00B6647E" w:rsidRDefault="00C21C43" w:rsidP="00C21C43">
      <w:pPr>
        <w:pStyle w:val="xl25"/>
        <w:pBdr>
          <w:top w:val="none" w:sz="0" w:space="0" w:color="auto"/>
          <w:left w:val="none" w:sz="0" w:space="0" w:color="auto"/>
          <w:bottom w:val="none" w:sz="0" w:space="0" w:color="auto"/>
          <w:right w:val="none" w:sz="0" w:space="0" w:color="auto"/>
        </w:pBdr>
        <w:spacing w:before="0" w:beforeAutospacing="0" w:after="120" w:afterAutospacing="0"/>
        <w:jc w:val="both"/>
        <w:rPr>
          <w:rFonts w:eastAsia="Calibri"/>
          <w:sz w:val="20"/>
          <w:szCs w:val="20"/>
          <w:lang w:eastAsia="en-US" w:bidi="en-US"/>
        </w:rPr>
      </w:pPr>
      <w:r w:rsidRPr="00B6647E">
        <w:rPr>
          <w:rFonts w:eastAsia="Calibri"/>
          <w:bCs/>
          <w:sz w:val="20"/>
          <w:szCs w:val="20"/>
          <w:lang w:eastAsia="en-US" w:bidi="en-US"/>
        </w:rPr>
        <w:t xml:space="preserve">La Province de </w:t>
      </w:r>
      <w:r w:rsidRPr="00B6647E">
        <w:rPr>
          <w:rFonts w:eastAsia="Calibri"/>
          <w:b/>
          <w:bCs/>
          <w:sz w:val="20"/>
          <w:szCs w:val="20"/>
          <w:lang w:eastAsia="en-US" w:bidi="en-US"/>
        </w:rPr>
        <w:t>Makamba</w:t>
      </w:r>
      <w:r w:rsidRPr="00B6647E">
        <w:rPr>
          <w:rFonts w:eastAsia="Calibri"/>
          <w:bCs/>
          <w:sz w:val="20"/>
          <w:szCs w:val="20"/>
          <w:lang w:eastAsia="en-US" w:bidi="en-US"/>
        </w:rPr>
        <w:t xml:space="preserve"> est majoritairement située dans la région naturelle du Buragane (75%) avec une frange dans les régions de l’Imbo et du Moso. L’altitude du Buragane varie de 1400 </w:t>
      </w:r>
      <w:r w:rsidR="00304FC3">
        <w:rPr>
          <w:rFonts w:eastAsia="Calibri"/>
          <w:bCs/>
          <w:sz w:val="20"/>
          <w:szCs w:val="20"/>
          <w:lang w:eastAsia="en-US" w:bidi="en-US"/>
        </w:rPr>
        <w:t>à</w:t>
      </w:r>
      <w:r w:rsidRPr="00B6647E">
        <w:rPr>
          <w:rFonts w:eastAsia="Calibri"/>
          <w:bCs/>
          <w:sz w:val="20"/>
          <w:szCs w:val="20"/>
          <w:lang w:eastAsia="en-US" w:bidi="en-US"/>
        </w:rPr>
        <w:t xml:space="preserve"> </w:t>
      </w:r>
      <w:smartTag w:uri="urn:schemas-microsoft-com:office:smarttags" w:element="metricconverter">
        <w:smartTagPr>
          <w:attr w:name="ProductID" w:val="1 800 m"/>
        </w:smartTagPr>
        <w:r w:rsidRPr="00B6647E">
          <w:rPr>
            <w:rFonts w:eastAsia="Calibri"/>
            <w:bCs/>
            <w:sz w:val="20"/>
            <w:szCs w:val="20"/>
            <w:lang w:eastAsia="en-US" w:bidi="en-US"/>
          </w:rPr>
          <w:t>1 800 m</w:t>
        </w:r>
      </w:smartTag>
      <w:r w:rsidRPr="00B6647E">
        <w:rPr>
          <w:rFonts w:eastAsia="Calibri"/>
          <w:bCs/>
          <w:sz w:val="20"/>
          <w:szCs w:val="20"/>
          <w:lang w:eastAsia="en-US" w:bidi="en-US"/>
        </w:rPr>
        <w:t xml:space="preserve"> avec des précipitations comprises entre 1 400 et </w:t>
      </w:r>
      <w:smartTag w:uri="urn:schemas-microsoft-com:office:smarttags" w:element="metricconverter">
        <w:smartTagPr>
          <w:attr w:name="ProductID" w:val="1 800 mm"/>
        </w:smartTagPr>
        <w:r w:rsidRPr="00B6647E">
          <w:rPr>
            <w:rFonts w:eastAsia="Calibri"/>
            <w:bCs/>
            <w:sz w:val="20"/>
            <w:szCs w:val="20"/>
            <w:lang w:eastAsia="en-US" w:bidi="en-US"/>
          </w:rPr>
          <w:t>1 800 mm</w:t>
        </w:r>
      </w:smartTag>
      <w:r w:rsidRPr="00B6647E">
        <w:rPr>
          <w:rFonts w:eastAsia="Calibri"/>
          <w:bCs/>
          <w:sz w:val="20"/>
          <w:szCs w:val="20"/>
          <w:lang w:eastAsia="en-US" w:bidi="en-US"/>
        </w:rPr>
        <w:t>.</w:t>
      </w:r>
      <w:bookmarkStart w:id="28" w:name="_Toc233701938"/>
      <w:r w:rsidRPr="00B6647E">
        <w:rPr>
          <w:rFonts w:eastAsia="Calibri"/>
          <w:sz w:val="20"/>
          <w:szCs w:val="20"/>
          <w:lang w:eastAsia="en-US" w:bidi="en-US"/>
        </w:rPr>
        <w:t xml:space="preserve"> MURAMVYA</w:t>
      </w:r>
      <w:bookmarkEnd w:id="28"/>
    </w:p>
    <w:p w:rsidR="00C21C43" w:rsidRPr="00B6647E" w:rsidRDefault="00C21C43" w:rsidP="00C21C43">
      <w:pPr>
        <w:pStyle w:val="xl25"/>
        <w:pBdr>
          <w:top w:val="none" w:sz="0" w:space="0" w:color="auto"/>
          <w:left w:val="none" w:sz="0" w:space="0" w:color="auto"/>
          <w:bottom w:val="none" w:sz="0" w:space="0" w:color="auto"/>
          <w:right w:val="none" w:sz="0" w:space="0" w:color="auto"/>
        </w:pBdr>
        <w:spacing w:before="0" w:beforeAutospacing="0" w:after="120" w:afterAutospacing="0"/>
        <w:jc w:val="both"/>
        <w:rPr>
          <w:rFonts w:eastAsia="Calibri"/>
          <w:sz w:val="20"/>
          <w:szCs w:val="20"/>
          <w:lang w:eastAsia="en-US" w:bidi="en-US"/>
        </w:rPr>
      </w:pPr>
      <w:r w:rsidRPr="00B6647E">
        <w:rPr>
          <w:rFonts w:eastAsia="Calibri"/>
          <w:bCs/>
          <w:sz w:val="20"/>
          <w:szCs w:val="20"/>
          <w:lang w:eastAsia="en-US" w:bidi="en-US"/>
        </w:rPr>
        <w:t xml:space="preserve">La Province de </w:t>
      </w:r>
      <w:r w:rsidRPr="00B6647E">
        <w:rPr>
          <w:rFonts w:eastAsia="Calibri"/>
          <w:b/>
          <w:bCs/>
          <w:sz w:val="20"/>
          <w:szCs w:val="20"/>
          <w:lang w:eastAsia="en-US" w:bidi="en-US"/>
        </w:rPr>
        <w:t>Muramvya</w:t>
      </w:r>
      <w:r w:rsidRPr="00B6647E">
        <w:rPr>
          <w:rFonts w:eastAsia="Calibri"/>
          <w:bCs/>
          <w:sz w:val="20"/>
          <w:szCs w:val="20"/>
          <w:lang w:eastAsia="en-US" w:bidi="en-US"/>
        </w:rPr>
        <w:t xml:space="preserve"> est principalement située dans deux régions naturelles : Kirimiro et Mugamba.  L’altitude dans le premier cas est de 1400 à </w:t>
      </w:r>
      <w:smartTag w:uri="urn:schemas-microsoft-com:office:smarttags" w:element="metricconverter">
        <w:smartTagPr>
          <w:attr w:name="ProductID" w:val="1750 m"/>
        </w:smartTagPr>
        <w:r w:rsidRPr="00B6647E">
          <w:rPr>
            <w:rFonts w:eastAsia="Calibri"/>
            <w:bCs/>
            <w:sz w:val="20"/>
            <w:szCs w:val="20"/>
            <w:lang w:eastAsia="en-US" w:bidi="en-US"/>
          </w:rPr>
          <w:t>1750 m</w:t>
        </w:r>
      </w:smartTag>
      <w:r w:rsidRPr="00B6647E">
        <w:rPr>
          <w:rFonts w:eastAsia="Calibri"/>
          <w:bCs/>
          <w:sz w:val="20"/>
          <w:szCs w:val="20"/>
          <w:lang w:eastAsia="en-US" w:bidi="en-US"/>
        </w:rPr>
        <w:t xml:space="preserve"> alors qu’il varie de 1750 à </w:t>
      </w:r>
      <w:smartTag w:uri="urn:schemas-microsoft-com:office:smarttags" w:element="metricconverter">
        <w:smartTagPr>
          <w:attr w:name="ProductID" w:val="2600 m"/>
        </w:smartTagPr>
        <w:r w:rsidRPr="00B6647E">
          <w:rPr>
            <w:rFonts w:eastAsia="Calibri"/>
            <w:bCs/>
            <w:sz w:val="20"/>
            <w:szCs w:val="20"/>
            <w:lang w:eastAsia="en-US" w:bidi="en-US"/>
          </w:rPr>
          <w:t>2600 m</w:t>
        </w:r>
      </w:smartTag>
      <w:r w:rsidRPr="00B6647E">
        <w:rPr>
          <w:rFonts w:eastAsia="Calibri"/>
          <w:bCs/>
          <w:sz w:val="20"/>
          <w:szCs w:val="20"/>
          <w:lang w:eastAsia="en-US" w:bidi="en-US"/>
        </w:rPr>
        <w:t xml:space="preserve"> pour Mugamba. La  pluviométrie, proportionnelle à l’élévation, est comprise entre 1200 à </w:t>
      </w:r>
      <w:smartTag w:uri="urn:schemas-microsoft-com:office:smarttags" w:element="metricconverter">
        <w:smartTagPr>
          <w:attr w:name="ProductID" w:val="1600 mm"/>
        </w:smartTagPr>
        <w:r w:rsidRPr="00B6647E">
          <w:rPr>
            <w:rFonts w:eastAsia="Calibri"/>
            <w:bCs/>
            <w:sz w:val="20"/>
            <w:szCs w:val="20"/>
            <w:lang w:eastAsia="en-US" w:bidi="en-US"/>
          </w:rPr>
          <w:t>1600 mm</w:t>
        </w:r>
      </w:smartTag>
      <w:r w:rsidRPr="00B6647E">
        <w:rPr>
          <w:rFonts w:eastAsia="Calibri"/>
          <w:bCs/>
          <w:sz w:val="20"/>
          <w:szCs w:val="20"/>
          <w:lang w:eastAsia="en-US" w:bidi="en-US"/>
        </w:rPr>
        <w:t>.</w:t>
      </w:r>
    </w:p>
    <w:p w:rsidR="0030797A" w:rsidRPr="00B6647E" w:rsidRDefault="00C21C43" w:rsidP="00C21C43">
      <w:pPr>
        <w:pStyle w:val="xl25"/>
        <w:pBdr>
          <w:top w:val="none" w:sz="0" w:space="0" w:color="auto"/>
          <w:left w:val="none" w:sz="0" w:space="0" w:color="auto"/>
          <w:bottom w:val="none" w:sz="0" w:space="0" w:color="auto"/>
          <w:right w:val="none" w:sz="0" w:space="0" w:color="auto"/>
        </w:pBdr>
        <w:spacing w:before="0" w:beforeAutospacing="0" w:after="120" w:afterAutospacing="0"/>
        <w:jc w:val="both"/>
        <w:rPr>
          <w:rFonts w:eastAsia="Calibri"/>
          <w:sz w:val="20"/>
          <w:szCs w:val="20"/>
          <w:lang w:eastAsia="en-US" w:bidi="en-US"/>
        </w:rPr>
      </w:pPr>
      <w:r w:rsidRPr="00B6647E">
        <w:rPr>
          <w:rFonts w:eastAsia="Calibri"/>
          <w:bCs/>
          <w:sz w:val="20"/>
          <w:szCs w:val="20"/>
          <w:lang w:eastAsia="en-US" w:bidi="en-US"/>
        </w:rPr>
        <w:lastRenderedPageBreak/>
        <w:t xml:space="preserve">La Province de </w:t>
      </w:r>
      <w:r w:rsidR="0030797A" w:rsidRPr="00B6647E">
        <w:rPr>
          <w:rFonts w:eastAsia="Calibri"/>
          <w:b/>
          <w:bCs/>
          <w:sz w:val="20"/>
          <w:szCs w:val="20"/>
          <w:lang w:eastAsia="en-US" w:bidi="en-US"/>
        </w:rPr>
        <w:t>Muyinga</w:t>
      </w:r>
      <w:r w:rsidRPr="00B6647E">
        <w:rPr>
          <w:rFonts w:eastAsia="Calibri"/>
          <w:bCs/>
          <w:sz w:val="20"/>
          <w:szCs w:val="20"/>
          <w:lang w:eastAsia="en-US" w:bidi="en-US"/>
        </w:rPr>
        <w:t xml:space="preserve"> est principalement située dans la région naturelle du Bweru avec une frange dans le Bugesera. L’altitude moyenne de 1 400-</w:t>
      </w:r>
      <w:smartTag w:uri="urn:schemas-microsoft-com:office:smarttags" w:element="metricconverter">
        <w:smartTagPr>
          <w:attr w:name="ProductID" w:val="1 750 m"/>
        </w:smartTagPr>
        <w:r w:rsidRPr="00B6647E">
          <w:rPr>
            <w:rFonts w:eastAsia="Calibri"/>
            <w:bCs/>
            <w:sz w:val="20"/>
            <w:szCs w:val="20"/>
            <w:lang w:eastAsia="en-US" w:bidi="en-US"/>
          </w:rPr>
          <w:t>1 750 m</w:t>
        </w:r>
      </w:smartTag>
      <w:r w:rsidRPr="00B6647E">
        <w:rPr>
          <w:rFonts w:eastAsia="Calibri"/>
          <w:bCs/>
          <w:sz w:val="20"/>
          <w:szCs w:val="20"/>
          <w:lang w:eastAsia="en-US" w:bidi="en-US"/>
        </w:rPr>
        <w:t xml:space="preserve"> avec un paysage à relief vallonné. La pluviométrie est de 1 100 à </w:t>
      </w:r>
      <w:smartTag w:uri="urn:schemas-microsoft-com:office:smarttags" w:element="metricconverter">
        <w:smartTagPr>
          <w:attr w:name="ProductID" w:val="1 200 m"/>
        </w:smartTagPr>
        <w:r w:rsidRPr="00B6647E">
          <w:rPr>
            <w:rFonts w:eastAsia="Calibri"/>
            <w:bCs/>
            <w:sz w:val="20"/>
            <w:szCs w:val="20"/>
            <w:lang w:eastAsia="en-US" w:bidi="en-US"/>
          </w:rPr>
          <w:t>1 200 m</w:t>
        </w:r>
      </w:smartTag>
      <w:r w:rsidRPr="00B6647E">
        <w:rPr>
          <w:rFonts w:eastAsia="Calibri"/>
          <w:bCs/>
          <w:sz w:val="20"/>
          <w:szCs w:val="20"/>
          <w:lang w:eastAsia="en-US" w:bidi="en-US"/>
        </w:rPr>
        <w:t>.</w:t>
      </w:r>
      <w:bookmarkStart w:id="29" w:name="_Toc233701940"/>
      <w:r w:rsidRPr="00B6647E">
        <w:rPr>
          <w:rFonts w:eastAsia="Calibri"/>
          <w:sz w:val="20"/>
          <w:szCs w:val="20"/>
          <w:lang w:eastAsia="en-US" w:bidi="en-US"/>
        </w:rPr>
        <w:t xml:space="preserve"> </w:t>
      </w:r>
    </w:p>
    <w:bookmarkEnd w:id="29"/>
    <w:p w:rsidR="0030797A" w:rsidRPr="00B6647E" w:rsidRDefault="00C21C43" w:rsidP="00C21C43">
      <w:pPr>
        <w:pStyle w:val="xl25"/>
        <w:pBdr>
          <w:top w:val="none" w:sz="0" w:space="0" w:color="auto"/>
          <w:left w:val="none" w:sz="0" w:space="0" w:color="auto"/>
          <w:bottom w:val="none" w:sz="0" w:space="0" w:color="auto"/>
          <w:right w:val="none" w:sz="0" w:space="0" w:color="auto"/>
        </w:pBdr>
        <w:spacing w:before="0" w:beforeAutospacing="0" w:after="120" w:afterAutospacing="0"/>
        <w:jc w:val="both"/>
        <w:rPr>
          <w:rFonts w:eastAsia="Calibri"/>
          <w:bCs/>
          <w:sz w:val="20"/>
          <w:szCs w:val="20"/>
          <w:lang w:eastAsia="en-US" w:bidi="en-US"/>
        </w:rPr>
      </w:pPr>
      <w:r w:rsidRPr="00B6647E">
        <w:rPr>
          <w:rFonts w:eastAsia="Calibri"/>
          <w:bCs/>
          <w:sz w:val="20"/>
          <w:szCs w:val="20"/>
          <w:lang w:eastAsia="en-US" w:bidi="en-US"/>
        </w:rPr>
        <w:t xml:space="preserve">La Province de </w:t>
      </w:r>
      <w:r w:rsidRPr="00B6647E">
        <w:rPr>
          <w:rFonts w:eastAsia="Calibri"/>
          <w:b/>
          <w:bCs/>
          <w:sz w:val="20"/>
          <w:szCs w:val="20"/>
          <w:lang w:eastAsia="en-US" w:bidi="en-US"/>
        </w:rPr>
        <w:t>Mwaro</w:t>
      </w:r>
      <w:r w:rsidRPr="00B6647E">
        <w:rPr>
          <w:rFonts w:eastAsia="Calibri"/>
          <w:bCs/>
          <w:sz w:val="20"/>
          <w:szCs w:val="20"/>
          <w:lang w:eastAsia="en-US" w:bidi="en-US"/>
        </w:rPr>
        <w:t xml:space="preserve"> est principalement localisée dans deux régions naturelles : Kirimiro et Mugamba.  L’altitude dans le premier cas est de 1400 à </w:t>
      </w:r>
      <w:smartTag w:uri="urn:schemas-microsoft-com:office:smarttags" w:element="metricconverter">
        <w:smartTagPr>
          <w:attr w:name="ProductID" w:val="1750 m"/>
        </w:smartTagPr>
        <w:r w:rsidRPr="00B6647E">
          <w:rPr>
            <w:rFonts w:eastAsia="Calibri"/>
            <w:bCs/>
            <w:sz w:val="20"/>
            <w:szCs w:val="20"/>
            <w:lang w:eastAsia="en-US" w:bidi="en-US"/>
          </w:rPr>
          <w:t>1750 m</w:t>
        </w:r>
      </w:smartTag>
      <w:r w:rsidRPr="00B6647E">
        <w:rPr>
          <w:rFonts w:eastAsia="Calibri"/>
          <w:bCs/>
          <w:sz w:val="20"/>
          <w:szCs w:val="20"/>
          <w:lang w:eastAsia="en-US" w:bidi="en-US"/>
        </w:rPr>
        <w:t xml:space="preserve"> alors qu’il est de 1750 à </w:t>
      </w:r>
      <w:smartTag w:uri="urn:schemas-microsoft-com:office:smarttags" w:element="metricconverter">
        <w:smartTagPr>
          <w:attr w:name="ProductID" w:val="2600 m"/>
        </w:smartTagPr>
        <w:r w:rsidRPr="00B6647E">
          <w:rPr>
            <w:rFonts w:eastAsia="Calibri"/>
            <w:bCs/>
            <w:sz w:val="20"/>
            <w:szCs w:val="20"/>
            <w:lang w:eastAsia="en-US" w:bidi="en-US"/>
          </w:rPr>
          <w:t>2600 m</w:t>
        </w:r>
      </w:smartTag>
      <w:r w:rsidRPr="00B6647E">
        <w:rPr>
          <w:rFonts w:eastAsia="Calibri"/>
          <w:bCs/>
          <w:sz w:val="20"/>
          <w:szCs w:val="20"/>
          <w:lang w:eastAsia="en-US" w:bidi="en-US"/>
        </w:rPr>
        <w:t xml:space="preserve"> pour Mugamba. La  pluviométrie varie de 1200 à </w:t>
      </w:r>
      <w:smartTag w:uri="urn:schemas-microsoft-com:office:smarttags" w:element="metricconverter">
        <w:smartTagPr>
          <w:attr w:name="ProductID" w:val="1600 mm"/>
        </w:smartTagPr>
        <w:r w:rsidRPr="00B6647E">
          <w:rPr>
            <w:rFonts w:eastAsia="Calibri"/>
            <w:bCs/>
            <w:sz w:val="20"/>
            <w:szCs w:val="20"/>
            <w:lang w:eastAsia="en-US" w:bidi="en-US"/>
          </w:rPr>
          <w:t>1600 mm</w:t>
        </w:r>
      </w:smartTag>
      <w:r w:rsidRPr="00B6647E">
        <w:rPr>
          <w:rFonts w:eastAsia="Calibri"/>
          <w:bCs/>
          <w:sz w:val="20"/>
          <w:szCs w:val="20"/>
          <w:lang w:eastAsia="en-US" w:bidi="en-US"/>
        </w:rPr>
        <w:t xml:space="preserve"> en proportion de l’élévation.</w:t>
      </w:r>
      <w:bookmarkStart w:id="30" w:name="_Toc233701941"/>
    </w:p>
    <w:bookmarkEnd w:id="30"/>
    <w:p w:rsidR="00C21C43" w:rsidRPr="00B6647E" w:rsidRDefault="00C21C43" w:rsidP="00C21C43">
      <w:pPr>
        <w:pStyle w:val="xl25"/>
        <w:pBdr>
          <w:top w:val="none" w:sz="0" w:space="0" w:color="auto"/>
          <w:left w:val="none" w:sz="0" w:space="0" w:color="auto"/>
          <w:bottom w:val="none" w:sz="0" w:space="0" w:color="auto"/>
          <w:right w:val="none" w:sz="0" w:space="0" w:color="auto"/>
        </w:pBdr>
        <w:spacing w:before="0" w:beforeAutospacing="0" w:after="120" w:afterAutospacing="0"/>
        <w:jc w:val="both"/>
        <w:rPr>
          <w:rFonts w:eastAsia="Calibri"/>
          <w:bCs/>
          <w:sz w:val="20"/>
          <w:szCs w:val="20"/>
          <w:lang w:eastAsia="en-US" w:bidi="en-US"/>
        </w:rPr>
      </w:pPr>
      <w:r w:rsidRPr="00B6647E">
        <w:rPr>
          <w:rFonts w:eastAsia="Calibri"/>
          <w:bCs/>
          <w:sz w:val="20"/>
          <w:szCs w:val="20"/>
          <w:lang w:eastAsia="en-US" w:bidi="en-US"/>
        </w:rPr>
        <w:t xml:space="preserve">La Province de </w:t>
      </w:r>
      <w:r w:rsidRPr="00B6647E">
        <w:rPr>
          <w:rFonts w:eastAsia="Calibri"/>
          <w:b/>
          <w:bCs/>
          <w:sz w:val="20"/>
          <w:szCs w:val="20"/>
          <w:lang w:eastAsia="en-US" w:bidi="en-US"/>
        </w:rPr>
        <w:t>Ngozi</w:t>
      </w:r>
      <w:r w:rsidRPr="00B6647E">
        <w:rPr>
          <w:rFonts w:eastAsia="Calibri"/>
          <w:bCs/>
          <w:sz w:val="20"/>
          <w:szCs w:val="20"/>
          <w:lang w:eastAsia="en-US" w:bidi="en-US"/>
        </w:rPr>
        <w:t xml:space="preserve"> est située à plus de 60 % dans la région naturelle de Buyenzi. L’altitude varie de 1 500 à </w:t>
      </w:r>
      <w:smartTag w:uri="urn:schemas-microsoft-com:office:smarttags" w:element="metricconverter">
        <w:smartTagPr>
          <w:attr w:name="ProductID" w:val="1 900 m"/>
        </w:smartTagPr>
        <w:r w:rsidRPr="00B6647E">
          <w:rPr>
            <w:rFonts w:eastAsia="Calibri"/>
            <w:bCs/>
            <w:sz w:val="20"/>
            <w:szCs w:val="20"/>
            <w:lang w:eastAsia="en-US" w:bidi="en-US"/>
          </w:rPr>
          <w:t>1 900 m</w:t>
        </w:r>
      </w:smartTag>
      <w:r w:rsidRPr="00B6647E">
        <w:rPr>
          <w:rFonts w:eastAsia="Calibri"/>
          <w:bCs/>
          <w:sz w:val="20"/>
          <w:szCs w:val="20"/>
          <w:lang w:eastAsia="en-US" w:bidi="en-US"/>
        </w:rPr>
        <w:t xml:space="preserve"> avec un paysage accidenté de collines à sommets largement arrondis. La pluviométrie est de1 200 à </w:t>
      </w:r>
      <w:smartTag w:uri="urn:schemas-microsoft-com:office:smarttags" w:element="metricconverter">
        <w:smartTagPr>
          <w:attr w:name="ProductID" w:val="1 300 m"/>
        </w:smartTagPr>
        <w:r w:rsidRPr="00B6647E">
          <w:rPr>
            <w:rFonts w:eastAsia="Calibri"/>
            <w:bCs/>
            <w:sz w:val="20"/>
            <w:szCs w:val="20"/>
            <w:lang w:eastAsia="en-US" w:bidi="en-US"/>
          </w:rPr>
          <w:t>1 300 m</w:t>
        </w:r>
      </w:smartTag>
      <w:r w:rsidRPr="00B6647E">
        <w:rPr>
          <w:rFonts w:eastAsia="Calibri"/>
          <w:bCs/>
          <w:sz w:val="20"/>
          <w:szCs w:val="20"/>
          <w:lang w:eastAsia="en-US" w:bidi="en-US"/>
        </w:rPr>
        <w:t xml:space="preserve"> avec (saison sèche de 3 mois).</w:t>
      </w:r>
      <w:bookmarkStart w:id="31" w:name="_Toc233701942"/>
      <w:r w:rsidRPr="00B6647E">
        <w:rPr>
          <w:rFonts w:eastAsia="Calibri"/>
          <w:bCs/>
          <w:sz w:val="20"/>
          <w:szCs w:val="20"/>
          <w:lang w:eastAsia="en-US" w:bidi="en-US"/>
        </w:rPr>
        <w:t xml:space="preserve"> </w:t>
      </w:r>
    </w:p>
    <w:bookmarkEnd w:id="31"/>
    <w:p w:rsidR="00C21C43" w:rsidRPr="00B6647E" w:rsidRDefault="00C21C43" w:rsidP="00C21C43">
      <w:pPr>
        <w:pStyle w:val="xl25"/>
        <w:pBdr>
          <w:top w:val="none" w:sz="0" w:space="0" w:color="auto"/>
          <w:left w:val="none" w:sz="0" w:space="0" w:color="auto"/>
          <w:bottom w:val="none" w:sz="0" w:space="0" w:color="auto"/>
          <w:right w:val="none" w:sz="0" w:space="0" w:color="auto"/>
        </w:pBdr>
        <w:spacing w:before="0" w:beforeAutospacing="0" w:after="120" w:afterAutospacing="0"/>
        <w:jc w:val="both"/>
        <w:rPr>
          <w:rFonts w:eastAsia="Calibri"/>
          <w:bCs/>
          <w:sz w:val="20"/>
          <w:szCs w:val="20"/>
          <w:lang w:eastAsia="en-US" w:bidi="en-US"/>
        </w:rPr>
      </w:pPr>
      <w:r w:rsidRPr="00B6647E">
        <w:rPr>
          <w:rFonts w:eastAsia="Calibri"/>
          <w:bCs/>
          <w:sz w:val="20"/>
          <w:szCs w:val="20"/>
          <w:lang w:eastAsia="en-US" w:bidi="en-US"/>
        </w:rPr>
        <w:t xml:space="preserve">La Province de </w:t>
      </w:r>
      <w:r w:rsidRPr="00B6647E">
        <w:rPr>
          <w:rFonts w:eastAsia="Calibri"/>
          <w:b/>
          <w:bCs/>
          <w:sz w:val="20"/>
          <w:szCs w:val="20"/>
          <w:lang w:eastAsia="en-US" w:bidi="en-US"/>
        </w:rPr>
        <w:t>Rutana</w:t>
      </w:r>
      <w:r w:rsidRPr="00B6647E">
        <w:rPr>
          <w:rFonts w:eastAsia="Calibri"/>
          <w:bCs/>
          <w:sz w:val="20"/>
          <w:szCs w:val="20"/>
          <w:lang w:eastAsia="en-US" w:bidi="en-US"/>
        </w:rPr>
        <w:t xml:space="preserve"> est répartie entre trois régions naturelles selon la superficie décroissante suivante : Moso, Buragane et Buyogoma. Dans les deux premières régions, l’altitude varie de 1100-1400 (Moso) et de 1400-1800 pour les deux autres régions. La pluviométrie commune moyenne est comprise entre 1100 et </w:t>
      </w:r>
      <w:smartTag w:uri="urn:schemas-microsoft-com:office:smarttags" w:element="metricconverter">
        <w:smartTagPr>
          <w:attr w:name="ProductID" w:val="1300 mm"/>
        </w:smartTagPr>
        <w:r w:rsidRPr="00B6647E">
          <w:rPr>
            <w:rFonts w:eastAsia="Calibri"/>
            <w:bCs/>
            <w:sz w:val="20"/>
            <w:szCs w:val="20"/>
            <w:lang w:eastAsia="en-US" w:bidi="en-US"/>
          </w:rPr>
          <w:t>1300 mm</w:t>
        </w:r>
        <w:r w:rsidR="006024C0" w:rsidRPr="00B6647E">
          <w:rPr>
            <w:rFonts w:eastAsia="Calibri"/>
            <w:bCs/>
            <w:sz w:val="20"/>
            <w:szCs w:val="20"/>
            <w:lang w:eastAsia="en-US" w:bidi="en-US"/>
          </w:rPr>
          <w:t xml:space="preserve"> </w:t>
        </w:r>
      </w:smartTag>
      <w:r w:rsidRPr="00B6647E">
        <w:rPr>
          <w:rFonts w:eastAsia="Calibri"/>
          <w:bCs/>
          <w:sz w:val="20"/>
          <w:szCs w:val="20"/>
          <w:lang w:eastAsia="en-US" w:bidi="en-US"/>
        </w:rPr>
        <w:t>(saison sèche de 4 mois)</w:t>
      </w:r>
      <w:bookmarkStart w:id="32" w:name="_Toc233701943"/>
      <w:r w:rsidRPr="00B6647E">
        <w:rPr>
          <w:rFonts w:eastAsia="Calibri"/>
          <w:bCs/>
          <w:sz w:val="20"/>
          <w:szCs w:val="20"/>
          <w:lang w:eastAsia="en-US" w:bidi="en-US"/>
        </w:rPr>
        <w:t xml:space="preserve">. </w:t>
      </w:r>
    </w:p>
    <w:bookmarkEnd w:id="32"/>
    <w:p w:rsidR="00C21C43" w:rsidRPr="00B6647E" w:rsidRDefault="00C21C43" w:rsidP="00C21C43">
      <w:pPr>
        <w:pStyle w:val="xl25"/>
        <w:pBdr>
          <w:top w:val="none" w:sz="0" w:space="0" w:color="auto"/>
          <w:left w:val="none" w:sz="0" w:space="0" w:color="auto"/>
          <w:bottom w:val="none" w:sz="0" w:space="0" w:color="auto"/>
          <w:right w:val="none" w:sz="0" w:space="0" w:color="auto"/>
        </w:pBdr>
        <w:spacing w:before="0" w:beforeAutospacing="0" w:after="120" w:afterAutospacing="0"/>
        <w:jc w:val="both"/>
        <w:rPr>
          <w:rFonts w:eastAsia="Calibri"/>
          <w:bCs/>
          <w:sz w:val="20"/>
          <w:szCs w:val="20"/>
          <w:lang w:eastAsia="en-US" w:bidi="en-US"/>
        </w:rPr>
      </w:pPr>
      <w:r w:rsidRPr="00B6647E">
        <w:rPr>
          <w:rFonts w:eastAsia="Calibri"/>
          <w:bCs/>
          <w:sz w:val="20"/>
          <w:szCs w:val="20"/>
          <w:lang w:eastAsia="en-US" w:bidi="en-US"/>
        </w:rPr>
        <w:t xml:space="preserve">La Province de </w:t>
      </w:r>
      <w:r w:rsidRPr="00B6647E">
        <w:rPr>
          <w:rFonts w:eastAsia="Calibri"/>
          <w:b/>
          <w:bCs/>
          <w:sz w:val="20"/>
          <w:szCs w:val="20"/>
          <w:lang w:eastAsia="en-US" w:bidi="en-US"/>
        </w:rPr>
        <w:t>Ruyigi</w:t>
      </w:r>
      <w:r w:rsidRPr="00B6647E">
        <w:rPr>
          <w:rFonts w:eastAsia="Calibri"/>
          <w:bCs/>
          <w:sz w:val="20"/>
          <w:szCs w:val="20"/>
          <w:lang w:eastAsia="en-US" w:bidi="en-US"/>
        </w:rPr>
        <w:t xml:space="preserve"> est distribuée entre deux grandes régions naturelles : Buyogoma et Moso. L’altitude varie de 1400-1800 pour la première et de 1100-1400 pour la seconde. La  pluviométrie moyenne commune se situe entre 1100 et 1300 mm</w:t>
      </w:r>
      <w:r w:rsidR="006024C0" w:rsidRPr="00B6647E">
        <w:rPr>
          <w:rFonts w:eastAsia="Calibri"/>
          <w:bCs/>
          <w:sz w:val="20"/>
          <w:szCs w:val="20"/>
          <w:lang w:eastAsia="en-US" w:bidi="en-US"/>
        </w:rPr>
        <w:t xml:space="preserve"> </w:t>
      </w:r>
      <w:r w:rsidRPr="00B6647E">
        <w:rPr>
          <w:rFonts w:eastAsia="Calibri"/>
          <w:bCs/>
          <w:sz w:val="20"/>
          <w:szCs w:val="20"/>
          <w:lang w:eastAsia="en-US" w:bidi="en-US"/>
        </w:rPr>
        <w:t xml:space="preserve">(saison sèche de 4 mois). </w:t>
      </w:r>
    </w:p>
    <w:p w:rsidR="00D63490" w:rsidRPr="00B6647E" w:rsidRDefault="00304FC3" w:rsidP="00D63490">
      <w:pPr>
        <w:pStyle w:val="xl25"/>
        <w:pBdr>
          <w:top w:val="none" w:sz="0" w:space="0" w:color="auto"/>
          <w:left w:val="none" w:sz="0" w:space="0" w:color="auto"/>
          <w:bottom w:val="none" w:sz="0" w:space="0" w:color="auto"/>
          <w:right w:val="none" w:sz="0" w:space="0" w:color="auto"/>
        </w:pBdr>
        <w:spacing w:before="0" w:beforeAutospacing="0" w:after="120" w:afterAutospacing="0"/>
        <w:jc w:val="both"/>
        <w:rPr>
          <w:rFonts w:eastAsia="Calibri"/>
          <w:bCs/>
          <w:sz w:val="20"/>
          <w:szCs w:val="20"/>
          <w:lang w:eastAsia="en-US" w:bidi="en-US"/>
        </w:rPr>
      </w:pPr>
      <w:r>
        <w:rPr>
          <w:rFonts w:eastAsia="Calibri"/>
          <w:bCs/>
          <w:sz w:val="20"/>
          <w:szCs w:val="20"/>
          <w:lang w:eastAsia="en-US" w:bidi="en-US"/>
        </w:rPr>
        <w:t>Au niveau national, l</w:t>
      </w:r>
      <w:r w:rsidR="00D63490" w:rsidRPr="00B6647E">
        <w:rPr>
          <w:rFonts w:eastAsia="Calibri"/>
          <w:bCs/>
          <w:sz w:val="20"/>
          <w:szCs w:val="20"/>
          <w:lang w:eastAsia="en-US" w:bidi="en-US"/>
        </w:rPr>
        <w:t>a superficie annuelle totale des cultures vivrières en pure et principales a été estimée à 1.210.604 ha composés de tubercules (35,3%), légumineuses (29,2%), céréales (18,4%), banane (14,7%) et oléagineux (2,4%)</w:t>
      </w:r>
      <w:r w:rsidR="00076F9C" w:rsidRPr="00B6647E">
        <w:rPr>
          <w:rStyle w:val="Appelnotedebasdep"/>
          <w:rFonts w:eastAsia="Calibri"/>
          <w:bCs/>
          <w:sz w:val="20"/>
          <w:szCs w:val="20"/>
          <w:lang w:eastAsia="en-US" w:bidi="en-US"/>
        </w:rPr>
        <w:footnoteReference w:id="12"/>
      </w:r>
      <w:r w:rsidR="00D63490" w:rsidRPr="00B6647E">
        <w:rPr>
          <w:rFonts w:eastAsia="Calibri"/>
          <w:bCs/>
          <w:sz w:val="20"/>
          <w:szCs w:val="20"/>
          <w:lang w:eastAsia="en-US" w:bidi="en-US"/>
        </w:rPr>
        <w:t xml:space="preserve">. </w:t>
      </w:r>
    </w:p>
    <w:p w:rsidR="0030797A" w:rsidRPr="00B6647E" w:rsidRDefault="0030797A" w:rsidP="00D63490">
      <w:pPr>
        <w:pStyle w:val="xl25"/>
        <w:pBdr>
          <w:top w:val="none" w:sz="0" w:space="0" w:color="auto"/>
          <w:left w:val="none" w:sz="0" w:space="0" w:color="auto"/>
          <w:bottom w:val="none" w:sz="0" w:space="0" w:color="auto"/>
          <w:right w:val="none" w:sz="0" w:space="0" w:color="auto"/>
        </w:pBdr>
        <w:spacing w:before="0" w:beforeAutospacing="0" w:after="120" w:afterAutospacing="0"/>
        <w:jc w:val="both"/>
        <w:rPr>
          <w:rFonts w:eastAsia="Calibri"/>
          <w:b/>
          <w:bCs/>
          <w:sz w:val="20"/>
          <w:szCs w:val="20"/>
          <w:lang w:eastAsia="en-US" w:bidi="en-US"/>
        </w:rPr>
      </w:pPr>
      <w:r w:rsidRPr="00B6647E">
        <w:rPr>
          <w:rFonts w:eastAsia="Calibri"/>
          <w:b/>
          <w:bCs/>
          <w:sz w:val="20"/>
          <w:szCs w:val="20"/>
          <w:lang w:eastAsia="en-US" w:bidi="en-US"/>
        </w:rPr>
        <w:t>Tableau 0</w:t>
      </w:r>
      <w:r w:rsidR="00527DD2">
        <w:rPr>
          <w:rFonts w:eastAsia="Calibri"/>
          <w:b/>
          <w:bCs/>
          <w:sz w:val="20"/>
          <w:szCs w:val="20"/>
          <w:lang w:eastAsia="en-US" w:bidi="en-US"/>
        </w:rPr>
        <w:t>3</w:t>
      </w:r>
      <w:r w:rsidRPr="00B6647E">
        <w:rPr>
          <w:rFonts w:eastAsia="Calibri"/>
          <w:b/>
          <w:bCs/>
          <w:sz w:val="20"/>
          <w:szCs w:val="20"/>
          <w:lang w:eastAsia="en-US" w:bidi="en-US"/>
        </w:rPr>
        <w:t> : Répartition  des superficies annuelles cultivées en pure et principales par province (%)</w:t>
      </w:r>
    </w:p>
    <w:p w:rsidR="00D63490" w:rsidRPr="00B6647E" w:rsidRDefault="00C21C43" w:rsidP="001B076C">
      <w:pPr>
        <w:spacing w:after="20"/>
        <w:rPr>
          <w:rFonts w:ascii="Arial" w:eastAsia="Calibri" w:hAnsi="Arial" w:cs="Arial"/>
          <w:sz w:val="20"/>
          <w:szCs w:val="20"/>
          <w:lang w:eastAsia="en-US" w:bidi="en-US"/>
        </w:rPr>
      </w:pPr>
      <w:r w:rsidRPr="00B6647E">
        <w:rPr>
          <w:noProof/>
          <w:szCs w:val="20"/>
          <w:lang w:val="fr-FR" w:eastAsia="fr-FR"/>
        </w:rPr>
        <w:drawing>
          <wp:inline distT="0" distB="0" distL="0" distR="0">
            <wp:extent cx="4838700" cy="3895725"/>
            <wp:effectExtent l="19050" t="0" r="0" b="0"/>
            <wp:docPr id="35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4838700" cy="3895725"/>
                    </a:xfrm>
                    <a:prstGeom prst="rect">
                      <a:avLst/>
                    </a:prstGeom>
                    <a:noFill/>
                    <a:ln w="9525">
                      <a:noFill/>
                      <a:miter lim="800000"/>
                      <a:headEnd/>
                      <a:tailEnd/>
                    </a:ln>
                  </pic:spPr>
                </pic:pic>
              </a:graphicData>
            </a:graphic>
          </wp:inline>
        </w:drawing>
      </w:r>
    </w:p>
    <w:bookmarkEnd w:id="20"/>
    <w:p w:rsidR="00940AC8" w:rsidRPr="00B6647E" w:rsidRDefault="00613D0F" w:rsidP="00004F4F">
      <w:pPr>
        <w:keepNext/>
        <w:spacing w:line="240" w:lineRule="auto"/>
        <w:jc w:val="both"/>
        <w:rPr>
          <w:rFonts w:ascii="Arial" w:hAnsi="Arial" w:cs="Arial"/>
          <w:b/>
          <w:sz w:val="20"/>
          <w:szCs w:val="20"/>
          <w:lang w:val="fr-FR"/>
        </w:rPr>
      </w:pPr>
      <w:r w:rsidRPr="00B6647E">
        <w:rPr>
          <w:rFonts w:ascii="Arial" w:hAnsi="Arial" w:cs="Arial"/>
          <w:b/>
          <w:sz w:val="20"/>
          <w:szCs w:val="20"/>
          <w:lang w:val="fr-FR"/>
        </w:rPr>
        <w:lastRenderedPageBreak/>
        <w:t>Carte 01</w:t>
      </w:r>
      <w:r w:rsidR="00940AC8" w:rsidRPr="00B6647E">
        <w:rPr>
          <w:rFonts w:ascii="Arial" w:hAnsi="Arial" w:cs="Arial"/>
          <w:b/>
          <w:sz w:val="20"/>
          <w:szCs w:val="20"/>
          <w:lang w:val="fr-FR"/>
        </w:rPr>
        <w:t> : Carte des provinces et régions naturelles du Burundi</w:t>
      </w:r>
    </w:p>
    <w:p w:rsidR="00940AC8" w:rsidRPr="00B6647E" w:rsidRDefault="00940AC8" w:rsidP="00004F4F">
      <w:pPr>
        <w:keepNext/>
        <w:spacing w:line="240" w:lineRule="auto"/>
        <w:jc w:val="both"/>
        <w:rPr>
          <w:rFonts w:ascii="Arial" w:hAnsi="Arial" w:cs="Arial"/>
        </w:rPr>
      </w:pPr>
      <w:r w:rsidRPr="00B6647E">
        <w:rPr>
          <w:rFonts w:ascii="Arial" w:hAnsi="Arial" w:cs="Arial"/>
          <w:noProof/>
          <w:lang w:val="fr-FR" w:eastAsia="fr-FR"/>
        </w:rPr>
        <w:drawing>
          <wp:inline distT="0" distB="0" distL="0" distR="0">
            <wp:extent cx="4733445" cy="6124575"/>
            <wp:effectExtent l="19050" t="0" r="0" b="0"/>
            <wp:docPr id="1" name="Image 1" descr="R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N.bmp"/>
                    <pic:cNvPicPr>
                      <a:picLocks noChangeAspect="1" noChangeArrowheads="1"/>
                    </pic:cNvPicPr>
                  </pic:nvPicPr>
                  <pic:blipFill>
                    <a:blip r:embed="rId22" cstate="print"/>
                    <a:srcRect/>
                    <a:stretch>
                      <a:fillRect/>
                    </a:stretch>
                  </pic:blipFill>
                  <pic:spPr bwMode="auto">
                    <a:xfrm>
                      <a:off x="0" y="0"/>
                      <a:ext cx="4733445" cy="6124575"/>
                    </a:xfrm>
                    <a:prstGeom prst="rect">
                      <a:avLst/>
                    </a:prstGeom>
                    <a:noFill/>
                    <a:ln w="9525">
                      <a:noFill/>
                      <a:miter lim="800000"/>
                      <a:headEnd/>
                      <a:tailEnd/>
                    </a:ln>
                  </pic:spPr>
                </pic:pic>
              </a:graphicData>
            </a:graphic>
          </wp:inline>
        </w:drawing>
      </w:r>
    </w:p>
    <w:p w:rsidR="0030797A" w:rsidRPr="00B6647E" w:rsidRDefault="0030797A">
      <w:pPr>
        <w:rPr>
          <w:rFonts w:ascii="Arial" w:hAnsi="Arial" w:cs="Arial"/>
          <w:sz w:val="20"/>
          <w:szCs w:val="20"/>
          <w:lang w:val="fr-FR"/>
        </w:rPr>
      </w:pPr>
      <w:r w:rsidRPr="00B6647E">
        <w:rPr>
          <w:rFonts w:ascii="Arial" w:hAnsi="Arial" w:cs="Arial"/>
          <w:sz w:val="20"/>
          <w:szCs w:val="20"/>
          <w:lang w:val="fr-FR"/>
        </w:rPr>
        <w:br w:type="page"/>
      </w:r>
    </w:p>
    <w:p w:rsidR="0030797A" w:rsidRPr="00B6647E" w:rsidRDefault="0030797A" w:rsidP="0030797A">
      <w:pPr>
        <w:spacing w:line="240" w:lineRule="auto"/>
        <w:jc w:val="both"/>
        <w:rPr>
          <w:rFonts w:ascii="Arial" w:hAnsi="Arial" w:cs="Arial"/>
          <w:sz w:val="20"/>
          <w:szCs w:val="20"/>
          <w:lang w:val="fr-FR"/>
        </w:rPr>
      </w:pPr>
      <w:r w:rsidRPr="00B6647E">
        <w:rPr>
          <w:rFonts w:ascii="Arial" w:hAnsi="Arial" w:cs="Arial"/>
          <w:sz w:val="20"/>
          <w:szCs w:val="20"/>
          <w:lang w:val="fr-FR"/>
        </w:rPr>
        <w:lastRenderedPageBreak/>
        <w:t>Les mêmes cultures se retrouvent dans toutes les provinces avec des importances variables, mais de façon générale les cultures les plus pratiquées sont le haricot, le maïs, le manioc et la banane.</w:t>
      </w:r>
    </w:p>
    <w:p w:rsidR="0030797A" w:rsidRPr="00B6647E" w:rsidRDefault="0030797A" w:rsidP="0030797A">
      <w:pPr>
        <w:spacing w:before="200" w:after="120" w:line="240" w:lineRule="auto"/>
        <w:jc w:val="both"/>
        <w:rPr>
          <w:rFonts w:ascii="Arial" w:eastAsia="Calibri" w:hAnsi="Arial" w:cs="Arial"/>
          <w:bCs/>
          <w:sz w:val="20"/>
          <w:szCs w:val="20"/>
          <w:lang w:val="fr-FR" w:eastAsia="en-US" w:bidi="en-US"/>
        </w:rPr>
      </w:pPr>
      <w:r w:rsidRPr="00B6647E">
        <w:rPr>
          <w:rFonts w:ascii="Arial" w:eastAsia="Calibri" w:hAnsi="Arial" w:cs="Arial"/>
          <w:bCs/>
          <w:sz w:val="20"/>
          <w:szCs w:val="20"/>
          <w:lang w:val="fr-FR" w:eastAsia="en-US" w:bidi="en-US"/>
        </w:rPr>
        <w:t>Il y a onze régions naturelles dans le pays qui recouvrent les provinces. Il s’agit de : Bugesera, Buragane, Bututsi, Buyenzi, Buyogoma, Bweru, Imbo, Kirimiro, Moso, Mugamba, Mumirwa.</w:t>
      </w:r>
    </w:p>
    <w:p w:rsidR="0030797A" w:rsidRPr="00B6647E" w:rsidRDefault="0030797A" w:rsidP="0030797A">
      <w:pPr>
        <w:pStyle w:val="Paragraphedeliste"/>
        <w:spacing w:after="120" w:line="240" w:lineRule="auto"/>
        <w:ind w:left="0"/>
        <w:jc w:val="both"/>
        <w:rPr>
          <w:rFonts w:ascii="Arial" w:hAnsi="Arial" w:cs="Arial"/>
          <w:b/>
          <w:bCs/>
          <w:sz w:val="20"/>
          <w:szCs w:val="20"/>
        </w:rPr>
      </w:pPr>
      <w:r w:rsidRPr="00B6647E">
        <w:rPr>
          <w:rFonts w:ascii="Arial" w:hAnsi="Arial" w:cs="Arial"/>
          <w:b/>
          <w:bCs/>
          <w:sz w:val="20"/>
          <w:szCs w:val="20"/>
        </w:rPr>
        <w:t>Tableau 0</w:t>
      </w:r>
      <w:r w:rsidR="00527DD2">
        <w:rPr>
          <w:rFonts w:ascii="Arial" w:hAnsi="Arial" w:cs="Arial"/>
          <w:b/>
          <w:bCs/>
          <w:sz w:val="20"/>
          <w:szCs w:val="20"/>
        </w:rPr>
        <w:t>4</w:t>
      </w:r>
      <w:r w:rsidRPr="00B6647E">
        <w:rPr>
          <w:rFonts w:ascii="Arial" w:hAnsi="Arial" w:cs="Arial"/>
          <w:b/>
          <w:bCs/>
          <w:sz w:val="20"/>
          <w:szCs w:val="20"/>
        </w:rPr>
        <w:t xml:space="preserve"> : Synthèse des caractéristiques agro-écologiques des provinces</w:t>
      </w:r>
    </w:p>
    <w:p w:rsidR="0030797A" w:rsidRPr="00B6647E" w:rsidRDefault="0030797A" w:rsidP="0030797A">
      <w:pPr>
        <w:pStyle w:val="Paragraphedeliste"/>
        <w:spacing w:line="240" w:lineRule="auto"/>
        <w:ind w:left="0"/>
        <w:jc w:val="both"/>
        <w:rPr>
          <w:rFonts w:ascii="Arial" w:hAnsi="Arial" w:cs="Arial"/>
          <w:bCs/>
          <w:sz w:val="20"/>
          <w:szCs w:val="20"/>
        </w:rPr>
      </w:pPr>
      <w:r w:rsidRPr="00B6647E">
        <w:rPr>
          <w:rFonts w:ascii="Arial" w:hAnsi="Arial" w:cs="Arial"/>
          <w:noProof/>
          <w:szCs w:val="20"/>
          <w:lang w:val="fr-FR" w:eastAsia="fr-FR"/>
        </w:rPr>
        <w:drawing>
          <wp:inline distT="0" distB="0" distL="0" distR="0">
            <wp:extent cx="5760720" cy="3403957"/>
            <wp:effectExtent l="19050" t="0" r="0" b="0"/>
            <wp:docPr id="360"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3" cstate="print"/>
                    <a:srcRect/>
                    <a:stretch>
                      <a:fillRect/>
                    </a:stretch>
                  </pic:blipFill>
                  <pic:spPr bwMode="auto">
                    <a:xfrm>
                      <a:off x="0" y="0"/>
                      <a:ext cx="5760720" cy="3403957"/>
                    </a:xfrm>
                    <a:prstGeom prst="rect">
                      <a:avLst/>
                    </a:prstGeom>
                    <a:noFill/>
                    <a:ln w="9525">
                      <a:noFill/>
                      <a:miter lim="800000"/>
                      <a:headEnd/>
                      <a:tailEnd/>
                    </a:ln>
                  </pic:spPr>
                </pic:pic>
              </a:graphicData>
            </a:graphic>
          </wp:inline>
        </w:drawing>
      </w:r>
    </w:p>
    <w:p w:rsidR="00940AC8" w:rsidRPr="00B6647E" w:rsidRDefault="00940AC8" w:rsidP="00473A6F">
      <w:pPr>
        <w:pStyle w:val="Titre2"/>
        <w:keepNext w:val="0"/>
        <w:spacing w:before="240" w:after="200"/>
        <w:rPr>
          <w:rFonts w:cs="Arial"/>
          <w:u w:val="dotDash"/>
        </w:rPr>
      </w:pPr>
      <w:bookmarkStart w:id="33" w:name="_Toc295833400"/>
      <w:bookmarkStart w:id="34" w:name="_Toc354313820"/>
      <w:r w:rsidRPr="00B6647E">
        <w:rPr>
          <w:rFonts w:cs="Arial"/>
          <w:u w:val="dotDash"/>
        </w:rPr>
        <w:t>Caractéristique de l’agriculture burundaise</w:t>
      </w:r>
      <w:bookmarkEnd w:id="33"/>
      <w:bookmarkEnd w:id="34"/>
    </w:p>
    <w:p w:rsidR="00940AC8" w:rsidRPr="00B6647E" w:rsidRDefault="00940AC8" w:rsidP="003209D0">
      <w:pPr>
        <w:tabs>
          <w:tab w:val="center" w:pos="4512"/>
        </w:tabs>
        <w:suppressAutoHyphens/>
        <w:spacing w:before="200" w:after="120" w:line="240" w:lineRule="auto"/>
        <w:jc w:val="both"/>
        <w:rPr>
          <w:rFonts w:ascii="Arial" w:hAnsi="Arial" w:cs="Arial"/>
          <w:i/>
          <w:spacing w:val="-3"/>
          <w:sz w:val="20"/>
          <w:szCs w:val="20"/>
          <w:lang w:val="fr-FR"/>
        </w:rPr>
      </w:pPr>
      <w:r w:rsidRPr="00B6647E">
        <w:rPr>
          <w:rFonts w:ascii="Arial" w:hAnsi="Arial" w:cs="Arial"/>
          <w:spacing w:val="-3"/>
          <w:sz w:val="20"/>
          <w:szCs w:val="20"/>
          <w:lang w:val="fr-FR"/>
        </w:rPr>
        <w:t>Ces informations sont tirées pour l’essentiel de « </w:t>
      </w:r>
      <w:r w:rsidRPr="00B6647E">
        <w:rPr>
          <w:rFonts w:ascii="Arial" w:hAnsi="Arial" w:cs="Arial"/>
          <w:i/>
          <w:spacing w:val="-3"/>
          <w:sz w:val="20"/>
          <w:szCs w:val="20"/>
          <w:lang w:val="fr-FR"/>
        </w:rPr>
        <w:t>l’Etude sur la dynamique des sy</w:t>
      </w:r>
      <w:r w:rsidR="00304FC3">
        <w:rPr>
          <w:rFonts w:ascii="Arial" w:hAnsi="Arial" w:cs="Arial"/>
          <w:i/>
          <w:spacing w:val="-3"/>
          <w:sz w:val="20"/>
          <w:szCs w:val="20"/>
          <w:lang w:val="fr-FR"/>
        </w:rPr>
        <w:t>stèmes agraires au Burundi (H. C</w:t>
      </w:r>
      <w:r w:rsidRPr="00B6647E">
        <w:rPr>
          <w:rFonts w:ascii="Arial" w:hAnsi="Arial" w:cs="Arial"/>
          <w:i/>
          <w:spacing w:val="-3"/>
          <w:sz w:val="20"/>
          <w:szCs w:val="20"/>
          <w:lang w:val="fr-FR"/>
        </w:rPr>
        <w:t>ochet, juin 1993) ».</w:t>
      </w:r>
    </w:p>
    <w:p w:rsidR="00940AC8" w:rsidRPr="00B6647E" w:rsidRDefault="00940AC8" w:rsidP="003209D0">
      <w:pPr>
        <w:tabs>
          <w:tab w:val="center" w:pos="4512"/>
        </w:tabs>
        <w:suppressAutoHyphens/>
        <w:spacing w:after="0" w:line="240" w:lineRule="auto"/>
        <w:jc w:val="both"/>
        <w:rPr>
          <w:rFonts w:ascii="Arial" w:hAnsi="Arial" w:cs="Arial"/>
          <w:bCs/>
          <w:sz w:val="20"/>
          <w:szCs w:val="20"/>
          <w:lang w:val="fr-FR"/>
        </w:rPr>
      </w:pPr>
      <w:r w:rsidRPr="00B6647E">
        <w:rPr>
          <w:rFonts w:ascii="Arial" w:hAnsi="Arial" w:cs="Arial"/>
          <w:bCs/>
          <w:sz w:val="20"/>
          <w:szCs w:val="20"/>
          <w:lang w:val="fr-FR"/>
        </w:rPr>
        <w:t>L’agriculture du Burundi est très complexe de par le nombre de saisons, la multiplicité des cycles des cultures, la diversité des cultures et le nombre de cultures associées par parcelle.</w:t>
      </w:r>
    </w:p>
    <w:p w:rsidR="00940AC8" w:rsidRPr="00B6647E" w:rsidRDefault="00940AC8" w:rsidP="003209D0">
      <w:pPr>
        <w:pStyle w:val="Titre3"/>
        <w:keepNext w:val="0"/>
        <w:spacing w:before="200" w:after="120"/>
        <w:rPr>
          <w:rFonts w:cs="Arial"/>
          <w:szCs w:val="20"/>
        </w:rPr>
      </w:pPr>
      <w:bookmarkStart w:id="35" w:name="_Toc295833401"/>
      <w:bookmarkStart w:id="36" w:name="_Toc354313821"/>
      <w:r w:rsidRPr="00B6647E">
        <w:rPr>
          <w:rFonts w:cs="Arial"/>
          <w:szCs w:val="20"/>
        </w:rPr>
        <w:t>Saisons agricoles</w:t>
      </w:r>
      <w:bookmarkEnd w:id="35"/>
      <w:bookmarkEnd w:id="36"/>
    </w:p>
    <w:p w:rsidR="00940AC8" w:rsidRPr="00B6647E" w:rsidRDefault="00940AC8" w:rsidP="006024C0">
      <w:pPr>
        <w:spacing w:line="240" w:lineRule="auto"/>
        <w:jc w:val="both"/>
        <w:rPr>
          <w:rFonts w:ascii="Arial" w:hAnsi="Arial" w:cs="Arial"/>
          <w:sz w:val="20"/>
          <w:szCs w:val="20"/>
          <w:lang w:val="fr-FR"/>
        </w:rPr>
      </w:pPr>
      <w:r w:rsidRPr="00B6647E">
        <w:rPr>
          <w:rFonts w:ascii="Arial" w:hAnsi="Arial" w:cs="Arial"/>
          <w:sz w:val="20"/>
          <w:szCs w:val="20"/>
          <w:lang w:val="fr-FR"/>
        </w:rPr>
        <w:t xml:space="preserve">Il existe trois saisons par </w:t>
      </w:r>
      <w:r w:rsidR="000658A9" w:rsidRPr="00B6647E">
        <w:rPr>
          <w:rFonts w:ascii="Arial" w:hAnsi="Arial" w:cs="Arial"/>
          <w:sz w:val="20"/>
          <w:szCs w:val="20"/>
          <w:lang w:val="fr-FR"/>
        </w:rPr>
        <w:t>an</w:t>
      </w:r>
      <w:r w:rsidR="00D65443" w:rsidRPr="00B6647E">
        <w:rPr>
          <w:rFonts w:ascii="Arial" w:hAnsi="Arial" w:cs="Arial"/>
          <w:sz w:val="20"/>
          <w:szCs w:val="20"/>
          <w:lang w:val="fr-FR"/>
        </w:rPr>
        <w:t>. Le découpage utilisé par l’enquête nationale agricole a été fait de sorte à limiter au maximum les doubles emplois de la production entre les différentes saisons.</w:t>
      </w:r>
    </w:p>
    <w:p w:rsidR="00BC6738" w:rsidRPr="00B6647E" w:rsidRDefault="00BC6738" w:rsidP="006024C0">
      <w:pPr>
        <w:spacing w:line="240" w:lineRule="auto"/>
        <w:jc w:val="both"/>
        <w:rPr>
          <w:rFonts w:ascii="Arial" w:hAnsi="Arial" w:cs="Arial"/>
          <w:sz w:val="20"/>
          <w:szCs w:val="20"/>
          <w:lang w:val="fr-FR"/>
        </w:rPr>
      </w:pPr>
      <w:r w:rsidRPr="00B6647E">
        <w:rPr>
          <w:rFonts w:ascii="Arial" w:hAnsi="Arial" w:cs="Arial"/>
          <w:sz w:val="20"/>
          <w:szCs w:val="20"/>
          <w:lang w:val="fr-FR"/>
        </w:rPr>
        <w:t xml:space="preserve">Les cultures pérennes (manioc et banane) sont </w:t>
      </w:r>
      <w:r w:rsidR="00304FC3" w:rsidRPr="00B6647E">
        <w:rPr>
          <w:rFonts w:ascii="Arial" w:hAnsi="Arial" w:cs="Arial"/>
          <w:sz w:val="20"/>
          <w:szCs w:val="20"/>
          <w:lang w:val="fr-FR"/>
        </w:rPr>
        <w:t>pratiquées</w:t>
      </w:r>
      <w:r w:rsidRPr="00B6647E">
        <w:rPr>
          <w:rFonts w:ascii="Arial" w:hAnsi="Arial" w:cs="Arial"/>
          <w:sz w:val="20"/>
          <w:szCs w:val="20"/>
          <w:lang w:val="fr-FR"/>
        </w:rPr>
        <w:t xml:space="preserve"> au cours de toutes </w:t>
      </w:r>
      <w:r w:rsidR="006024C0" w:rsidRPr="00B6647E">
        <w:rPr>
          <w:rFonts w:ascii="Arial" w:hAnsi="Arial" w:cs="Arial"/>
          <w:sz w:val="20"/>
          <w:szCs w:val="20"/>
          <w:lang w:val="fr-FR"/>
        </w:rPr>
        <w:t>l</w:t>
      </w:r>
      <w:r w:rsidRPr="00B6647E">
        <w:rPr>
          <w:rFonts w:ascii="Arial" w:hAnsi="Arial" w:cs="Arial"/>
          <w:sz w:val="20"/>
          <w:szCs w:val="20"/>
          <w:lang w:val="fr-FR"/>
        </w:rPr>
        <w:t>es saisons.</w:t>
      </w:r>
    </w:p>
    <w:p w:rsidR="00940AC8" w:rsidRPr="00B6647E" w:rsidRDefault="00940AC8" w:rsidP="006024C0">
      <w:pPr>
        <w:tabs>
          <w:tab w:val="center" w:pos="4512"/>
        </w:tabs>
        <w:suppressAutoHyphens/>
        <w:spacing w:after="120" w:line="240" w:lineRule="auto"/>
        <w:jc w:val="both"/>
        <w:rPr>
          <w:rFonts w:ascii="Arial" w:hAnsi="Arial" w:cs="Arial"/>
          <w:i/>
          <w:spacing w:val="-3"/>
          <w:sz w:val="20"/>
          <w:szCs w:val="20"/>
          <w:lang w:val="fr-FR"/>
        </w:rPr>
      </w:pPr>
      <w:r w:rsidRPr="00B6647E">
        <w:rPr>
          <w:rFonts w:ascii="Arial" w:hAnsi="Arial" w:cs="Arial"/>
          <w:i/>
          <w:spacing w:val="-3"/>
          <w:sz w:val="20"/>
          <w:szCs w:val="20"/>
          <w:lang w:val="fr-FR"/>
        </w:rPr>
        <w:t>Saison A ou agatasi</w:t>
      </w:r>
    </w:p>
    <w:p w:rsidR="00940AC8" w:rsidRPr="00B6647E" w:rsidRDefault="00940AC8" w:rsidP="006024C0">
      <w:pPr>
        <w:tabs>
          <w:tab w:val="center" w:pos="4512"/>
        </w:tabs>
        <w:suppressAutoHyphens/>
        <w:spacing w:line="240" w:lineRule="auto"/>
        <w:jc w:val="both"/>
        <w:rPr>
          <w:rFonts w:ascii="Arial" w:hAnsi="Arial" w:cs="Arial"/>
          <w:spacing w:val="-3"/>
          <w:sz w:val="20"/>
          <w:szCs w:val="20"/>
          <w:lang w:val="fr-FR"/>
        </w:rPr>
      </w:pPr>
      <w:r w:rsidRPr="00B6647E">
        <w:rPr>
          <w:rFonts w:ascii="Arial" w:hAnsi="Arial" w:cs="Arial"/>
          <w:spacing w:val="-3"/>
          <w:sz w:val="20"/>
          <w:szCs w:val="20"/>
          <w:lang w:val="fr-FR"/>
        </w:rPr>
        <w:t>Cette saison va d</w:t>
      </w:r>
      <w:r w:rsidR="004C456E" w:rsidRPr="00B6647E">
        <w:rPr>
          <w:rFonts w:ascii="Arial" w:hAnsi="Arial" w:cs="Arial"/>
          <w:spacing w:val="-3"/>
          <w:sz w:val="20"/>
          <w:szCs w:val="20"/>
          <w:lang w:val="fr-FR"/>
        </w:rPr>
        <w:t>u</w:t>
      </w:r>
      <w:r w:rsidRPr="00B6647E">
        <w:rPr>
          <w:rFonts w:ascii="Arial" w:hAnsi="Arial" w:cs="Arial"/>
          <w:spacing w:val="-3"/>
          <w:sz w:val="20"/>
          <w:szCs w:val="20"/>
          <w:lang w:val="fr-FR"/>
        </w:rPr>
        <w:t xml:space="preserve"> </w:t>
      </w:r>
      <w:r w:rsidR="004C456E" w:rsidRPr="00B6647E">
        <w:rPr>
          <w:rFonts w:ascii="Arial" w:hAnsi="Arial" w:cs="Arial"/>
          <w:spacing w:val="-3"/>
          <w:sz w:val="20"/>
          <w:szCs w:val="20"/>
          <w:lang w:val="fr-FR"/>
        </w:rPr>
        <w:t xml:space="preserve">16 </w:t>
      </w:r>
      <w:r w:rsidR="00304FC3">
        <w:rPr>
          <w:rFonts w:ascii="Arial" w:hAnsi="Arial" w:cs="Arial"/>
          <w:spacing w:val="-3"/>
          <w:sz w:val="20"/>
          <w:szCs w:val="20"/>
          <w:lang w:val="fr-FR"/>
        </w:rPr>
        <w:t>septembre au</w:t>
      </w:r>
      <w:r w:rsidRPr="00B6647E">
        <w:rPr>
          <w:rFonts w:ascii="Arial" w:hAnsi="Arial" w:cs="Arial"/>
          <w:spacing w:val="-3"/>
          <w:sz w:val="20"/>
          <w:szCs w:val="20"/>
          <w:lang w:val="fr-FR"/>
        </w:rPr>
        <w:t xml:space="preserve"> </w:t>
      </w:r>
      <w:r w:rsidR="00D65443" w:rsidRPr="00B6647E">
        <w:rPr>
          <w:rFonts w:ascii="Arial" w:hAnsi="Arial" w:cs="Arial"/>
          <w:spacing w:val="-3"/>
          <w:sz w:val="20"/>
          <w:szCs w:val="20"/>
          <w:lang w:val="fr-FR"/>
        </w:rPr>
        <w:t>15 février</w:t>
      </w:r>
      <w:r w:rsidRPr="00B6647E">
        <w:rPr>
          <w:rFonts w:ascii="Arial" w:hAnsi="Arial" w:cs="Arial"/>
          <w:spacing w:val="-3"/>
          <w:sz w:val="20"/>
          <w:szCs w:val="20"/>
          <w:lang w:val="fr-FR"/>
        </w:rPr>
        <w:t xml:space="preserve">. C’est la petite saison des pluies. La production de cette saison représente en moyenne le </w:t>
      </w:r>
      <w:r w:rsidR="00227ABC" w:rsidRPr="00B6647E">
        <w:rPr>
          <w:rFonts w:ascii="Arial" w:hAnsi="Arial" w:cs="Arial"/>
          <w:spacing w:val="-3"/>
          <w:sz w:val="20"/>
          <w:szCs w:val="20"/>
          <w:lang w:val="fr-FR"/>
        </w:rPr>
        <w:t>quart (23,7%</w:t>
      </w:r>
      <w:r w:rsidR="00227ABC" w:rsidRPr="00B6647E">
        <w:rPr>
          <w:rStyle w:val="Appelnotedebasdep"/>
          <w:rFonts w:ascii="Arial" w:hAnsi="Arial" w:cs="Arial"/>
          <w:spacing w:val="-3"/>
          <w:sz w:val="20"/>
          <w:szCs w:val="20"/>
          <w:lang w:val="fr-FR"/>
        </w:rPr>
        <w:footnoteReference w:id="13"/>
      </w:r>
      <w:r w:rsidR="00227ABC" w:rsidRPr="00B6647E">
        <w:rPr>
          <w:rFonts w:ascii="Arial" w:hAnsi="Arial" w:cs="Arial"/>
          <w:spacing w:val="-3"/>
          <w:sz w:val="20"/>
          <w:szCs w:val="20"/>
          <w:lang w:val="fr-FR"/>
        </w:rPr>
        <w:t xml:space="preserve">) </w:t>
      </w:r>
      <w:r w:rsidRPr="00B6647E">
        <w:rPr>
          <w:rFonts w:ascii="Arial" w:hAnsi="Arial" w:cs="Arial"/>
          <w:spacing w:val="-3"/>
          <w:sz w:val="20"/>
          <w:szCs w:val="20"/>
          <w:lang w:val="fr-FR"/>
        </w:rPr>
        <w:t>de la production annuelle.</w:t>
      </w:r>
    </w:p>
    <w:p w:rsidR="00940AC8" w:rsidRPr="00B6647E" w:rsidRDefault="00940AC8" w:rsidP="006024C0">
      <w:pPr>
        <w:tabs>
          <w:tab w:val="center" w:pos="4512"/>
        </w:tabs>
        <w:suppressAutoHyphens/>
        <w:spacing w:after="120" w:line="240" w:lineRule="auto"/>
        <w:jc w:val="both"/>
        <w:rPr>
          <w:rFonts w:ascii="Arial" w:hAnsi="Arial" w:cs="Arial"/>
          <w:i/>
          <w:spacing w:val="-3"/>
          <w:sz w:val="20"/>
          <w:szCs w:val="20"/>
          <w:lang w:val="fr-FR"/>
        </w:rPr>
      </w:pPr>
      <w:r w:rsidRPr="00B6647E">
        <w:rPr>
          <w:rFonts w:ascii="Arial" w:hAnsi="Arial" w:cs="Arial"/>
          <w:i/>
          <w:spacing w:val="-3"/>
          <w:sz w:val="20"/>
          <w:szCs w:val="20"/>
          <w:lang w:val="fr-FR"/>
        </w:rPr>
        <w:t>Saison B ou urushana</w:t>
      </w:r>
    </w:p>
    <w:p w:rsidR="00227ABC" w:rsidRPr="00B6647E" w:rsidRDefault="00940AC8" w:rsidP="006024C0">
      <w:pPr>
        <w:tabs>
          <w:tab w:val="center" w:pos="4512"/>
        </w:tabs>
        <w:suppressAutoHyphens/>
        <w:spacing w:line="240" w:lineRule="auto"/>
        <w:jc w:val="both"/>
        <w:rPr>
          <w:rFonts w:ascii="Arial" w:hAnsi="Arial" w:cs="Arial"/>
          <w:spacing w:val="-3"/>
          <w:sz w:val="20"/>
          <w:szCs w:val="20"/>
          <w:lang w:val="fr-FR"/>
        </w:rPr>
      </w:pPr>
      <w:r w:rsidRPr="00B6647E">
        <w:rPr>
          <w:rFonts w:ascii="Arial" w:hAnsi="Arial" w:cs="Arial"/>
          <w:spacing w:val="-3"/>
          <w:sz w:val="20"/>
          <w:szCs w:val="20"/>
          <w:lang w:val="fr-FR"/>
        </w:rPr>
        <w:t xml:space="preserve">La saison B qui correspond à la grande saison des pluies, couvre la période allant de </w:t>
      </w:r>
      <w:r w:rsidR="00D65443" w:rsidRPr="00B6647E">
        <w:rPr>
          <w:rFonts w:ascii="Arial" w:hAnsi="Arial" w:cs="Arial"/>
          <w:spacing w:val="-3"/>
          <w:sz w:val="20"/>
          <w:szCs w:val="20"/>
          <w:lang w:val="fr-FR"/>
        </w:rPr>
        <w:t xml:space="preserve">16 </w:t>
      </w:r>
      <w:r w:rsidRPr="00B6647E">
        <w:rPr>
          <w:rFonts w:ascii="Arial" w:hAnsi="Arial" w:cs="Arial"/>
          <w:spacing w:val="-3"/>
          <w:sz w:val="20"/>
          <w:szCs w:val="20"/>
          <w:lang w:val="fr-FR"/>
        </w:rPr>
        <w:t xml:space="preserve">février </w:t>
      </w:r>
      <w:r w:rsidR="00D65443" w:rsidRPr="00B6647E">
        <w:rPr>
          <w:rFonts w:ascii="Arial" w:hAnsi="Arial" w:cs="Arial"/>
          <w:spacing w:val="-3"/>
          <w:sz w:val="20"/>
          <w:szCs w:val="20"/>
          <w:lang w:val="fr-FR"/>
        </w:rPr>
        <w:t>au 15 juin</w:t>
      </w:r>
      <w:r w:rsidRPr="00B6647E">
        <w:rPr>
          <w:rFonts w:ascii="Arial" w:hAnsi="Arial" w:cs="Arial"/>
          <w:spacing w:val="-3"/>
          <w:sz w:val="20"/>
          <w:szCs w:val="20"/>
          <w:lang w:val="fr-FR"/>
        </w:rPr>
        <w:t xml:space="preserve">. Elle donne </w:t>
      </w:r>
      <w:r w:rsidR="00227ABC" w:rsidRPr="00B6647E">
        <w:rPr>
          <w:rFonts w:ascii="Arial" w:hAnsi="Arial" w:cs="Arial"/>
          <w:spacing w:val="-3"/>
          <w:sz w:val="20"/>
          <w:szCs w:val="20"/>
          <w:lang w:val="fr-FR"/>
        </w:rPr>
        <w:t>plus de la moitié (</w:t>
      </w:r>
      <w:r w:rsidRPr="00B6647E">
        <w:rPr>
          <w:rFonts w:ascii="Arial" w:hAnsi="Arial" w:cs="Arial"/>
          <w:spacing w:val="-3"/>
          <w:sz w:val="20"/>
          <w:szCs w:val="20"/>
          <w:lang w:val="fr-FR"/>
        </w:rPr>
        <w:t>5</w:t>
      </w:r>
      <w:r w:rsidR="00227ABC" w:rsidRPr="00B6647E">
        <w:rPr>
          <w:rFonts w:ascii="Arial" w:hAnsi="Arial" w:cs="Arial"/>
          <w:spacing w:val="-3"/>
          <w:sz w:val="20"/>
          <w:szCs w:val="20"/>
          <w:lang w:val="fr-FR"/>
        </w:rPr>
        <w:t>2,5</w:t>
      </w:r>
      <w:r w:rsidRPr="00B6647E">
        <w:rPr>
          <w:rFonts w:ascii="Arial" w:hAnsi="Arial" w:cs="Arial"/>
          <w:spacing w:val="-3"/>
          <w:sz w:val="20"/>
          <w:szCs w:val="20"/>
          <w:lang w:val="fr-FR"/>
        </w:rPr>
        <w:t>%</w:t>
      </w:r>
      <w:r w:rsidR="00227ABC" w:rsidRPr="00B6647E">
        <w:rPr>
          <w:rFonts w:ascii="Arial" w:hAnsi="Arial" w:cs="Arial"/>
          <w:spacing w:val="-3"/>
          <w:sz w:val="20"/>
          <w:szCs w:val="20"/>
          <w:vertAlign w:val="superscript"/>
          <w:lang w:val="fr-FR"/>
        </w:rPr>
        <w:t>12</w:t>
      </w:r>
      <w:r w:rsidR="00227ABC" w:rsidRPr="00B6647E">
        <w:rPr>
          <w:rFonts w:ascii="Arial" w:hAnsi="Arial" w:cs="Arial"/>
          <w:spacing w:val="-3"/>
          <w:sz w:val="20"/>
          <w:szCs w:val="20"/>
          <w:lang w:val="fr-FR"/>
        </w:rPr>
        <w:t>)</w:t>
      </w:r>
      <w:r w:rsidRPr="00B6647E">
        <w:rPr>
          <w:rFonts w:ascii="Arial" w:hAnsi="Arial" w:cs="Arial"/>
          <w:spacing w:val="-3"/>
          <w:sz w:val="20"/>
          <w:szCs w:val="20"/>
          <w:lang w:val="fr-FR"/>
        </w:rPr>
        <w:t xml:space="preserve"> de la production totale</w:t>
      </w:r>
      <w:r w:rsidR="005F781B" w:rsidRPr="00B6647E">
        <w:rPr>
          <w:rFonts w:ascii="Arial" w:hAnsi="Arial" w:cs="Arial"/>
          <w:spacing w:val="-3"/>
          <w:sz w:val="20"/>
          <w:szCs w:val="20"/>
          <w:lang w:val="fr-FR"/>
        </w:rPr>
        <w:t xml:space="preserve"> des cultures</w:t>
      </w:r>
      <w:r w:rsidR="00227ABC" w:rsidRPr="00B6647E">
        <w:rPr>
          <w:rFonts w:ascii="Arial" w:hAnsi="Arial" w:cs="Arial"/>
          <w:spacing w:val="-3"/>
          <w:sz w:val="20"/>
          <w:szCs w:val="20"/>
          <w:lang w:val="fr-FR"/>
        </w:rPr>
        <w:t>.</w:t>
      </w:r>
    </w:p>
    <w:p w:rsidR="00940AC8" w:rsidRPr="00B6647E" w:rsidRDefault="00940AC8" w:rsidP="006024C0">
      <w:pPr>
        <w:tabs>
          <w:tab w:val="center" w:pos="4512"/>
        </w:tabs>
        <w:suppressAutoHyphens/>
        <w:spacing w:line="240" w:lineRule="auto"/>
        <w:jc w:val="both"/>
        <w:rPr>
          <w:rFonts w:ascii="Arial" w:hAnsi="Arial" w:cs="Arial"/>
          <w:spacing w:val="-3"/>
          <w:sz w:val="20"/>
          <w:szCs w:val="20"/>
          <w:lang w:val="fr-FR"/>
        </w:rPr>
      </w:pPr>
      <w:r w:rsidRPr="00B6647E">
        <w:rPr>
          <w:rFonts w:ascii="Arial" w:hAnsi="Arial" w:cs="Arial"/>
          <w:spacing w:val="-3"/>
          <w:sz w:val="20"/>
          <w:szCs w:val="20"/>
          <w:lang w:val="fr-FR"/>
        </w:rPr>
        <w:t xml:space="preserve">Une période </w:t>
      </w:r>
      <w:r w:rsidR="005F781B" w:rsidRPr="00B6647E">
        <w:rPr>
          <w:rFonts w:ascii="Arial" w:hAnsi="Arial" w:cs="Arial"/>
          <w:spacing w:val="-3"/>
          <w:sz w:val="20"/>
          <w:szCs w:val="20"/>
          <w:lang w:val="fr-FR"/>
        </w:rPr>
        <w:t>transitoire</w:t>
      </w:r>
      <w:r w:rsidRPr="00B6647E">
        <w:rPr>
          <w:rFonts w:ascii="Arial" w:hAnsi="Arial" w:cs="Arial"/>
          <w:spacing w:val="-3"/>
          <w:sz w:val="20"/>
          <w:szCs w:val="20"/>
          <w:lang w:val="fr-FR"/>
        </w:rPr>
        <w:t xml:space="preserve"> entre la saison B et la saison C de mai à juin appelé </w:t>
      </w:r>
      <w:r w:rsidRPr="00B6647E">
        <w:rPr>
          <w:rFonts w:ascii="Arial" w:hAnsi="Arial" w:cs="Arial"/>
          <w:i/>
          <w:spacing w:val="-3"/>
          <w:sz w:val="20"/>
          <w:szCs w:val="20"/>
          <w:lang w:val="fr-FR"/>
        </w:rPr>
        <w:t>impeshi</w:t>
      </w:r>
      <w:r w:rsidRPr="00B6647E">
        <w:rPr>
          <w:rFonts w:ascii="Arial" w:hAnsi="Arial" w:cs="Arial"/>
          <w:spacing w:val="-3"/>
          <w:sz w:val="20"/>
          <w:szCs w:val="20"/>
          <w:lang w:val="fr-FR"/>
        </w:rPr>
        <w:t>.</w:t>
      </w:r>
    </w:p>
    <w:p w:rsidR="00304FC3" w:rsidRDefault="00304FC3" w:rsidP="006024C0">
      <w:pPr>
        <w:tabs>
          <w:tab w:val="center" w:pos="4512"/>
        </w:tabs>
        <w:suppressAutoHyphens/>
        <w:spacing w:after="120" w:line="240" w:lineRule="auto"/>
        <w:jc w:val="both"/>
        <w:rPr>
          <w:rFonts w:ascii="Arial" w:hAnsi="Arial" w:cs="Arial"/>
          <w:i/>
          <w:spacing w:val="-3"/>
          <w:sz w:val="20"/>
          <w:szCs w:val="20"/>
          <w:lang w:val="fr-FR"/>
        </w:rPr>
      </w:pPr>
    </w:p>
    <w:p w:rsidR="00304FC3" w:rsidRDefault="00304FC3" w:rsidP="006024C0">
      <w:pPr>
        <w:tabs>
          <w:tab w:val="center" w:pos="4512"/>
        </w:tabs>
        <w:suppressAutoHyphens/>
        <w:spacing w:after="120" w:line="240" w:lineRule="auto"/>
        <w:jc w:val="both"/>
        <w:rPr>
          <w:rFonts w:ascii="Arial" w:hAnsi="Arial" w:cs="Arial"/>
          <w:i/>
          <w:spacing w:val="-3"/>
          <w:sz w:val="20"/>
          <w:szCs w:val="20"/>
          <w:lang w:val="fr-FR"/>
        </w:rPr>
      </w:pPr>
    </w:p>
    <w:p w:rsidR="00940AC8" w:rsidRPr="00B6647E" w:rsidRDefault="00940AC8" w:rsidP="006024C0">
      <w:pPr>
        <w:tabs>
          <w:tab w:val="center" w:pos="4512"/>
        </w:tabs>
        <w:suppressAutoHyphens/>
        <w:spacing w:after="120" w:line="240" w:lineRule="auto"/>
        <w:jc w:val="both"/>
        <w:rPr>
          <w:rFonts w:ascii="Arial" w:hAnsi="Arial" w:cs="Arial"/>
          <w:i/>
          <w:spacing w:val="-3"/>
          <w:sz w:val="20"/>
          <w:szCs w:val="20"/>
          <w:lang w:val="fr-FR"/>
        </w:rPr>
      </w:pPr>
      <w:r w:rsidRPr="00B6647E">
        <w:rPr>
          <w:rFonts w:ascii="Arial" w:hAnsi="Arial" w:cs="Arial"/>
          <w:i/>
          <w:spacing w:val="-3"/>
          <w:sz w:val="20"/>
          <w:szCs w:val="20"/>
          <w:lang w:val="fr-FR"/>
        </w:rPr>
        <w:lastRenderedPageBreak/>
        <w:t>Saison C ou ici</w:t>
      </w:r>
    </w:p>
    <w:p w:rsidR="00227ABC" w:rsidRPr="00B6647E" w:rsidRDefault="00940AC8" w:rsidP="006024C0">
      <w:pPr>
        <w:spacing w:line="240" w:lineRule="auto"/>
        <w:jc w:val="both"/>
        <w:rPr>
          <w:rFonts w:ascii="Arial" w:hAnsi="Arial" w:cs="Arial"/>
          <w:sz w:val="20"/>
          <w:szCs w:val="20"/>
        </w:rPr>
      </w:pPr>
      <w:r w:rsidRPr="00B6647E">
        <w:rPr>
          <w:rFonts w:ascii="Arial" w:hAnsi="Arial" w:cs="Arial"/>
          <w:spacing w:val="-3"/>
          <w:sz w:val="20"/>
          <w:szCs w:val="20"/>
          <w:lang w:val="fr-FR"/>
        </w:rPr>
        <w:t>Elle s’étend d</w:t>
      </w:r>
      <w:r w:rsidR="00D65443" w:rsidRPr="00B6647E">
        <w:rPr>
          <w:rFonts w:ascii="Arial" w:hAnsi="Arial" w:cs="Arial"/>
          <w:spacing w:val="-3"/>
          <w:sz w:val="20"/>
          <w:szCs w:val="20"/>
          <w:lang w:val="fr-FR"/>
        </w:rPr>
        <w:t>u</w:t>
      </w:r>
      <w:r w:rsidRPr="00B6647E">
        <w:rPr>
          <w:rFonts w:ascii="Arial" w:hAnsi="Arial" w:cs="Arial"/>
          <w:spacing w:val="-3"/>
          <w:sz w:val="20"/>
          <w:szCs w:val="20"/>
          <w:lang w:val="fr-FR"/>
        </w:rPr>
        <w:t xml:space="preserve"> </w:t>
      </w:r>
      <w:r w:rsidR="00D65443" w:rsidRPr="00B6647E">
        <w:rPr>
          <w:rFonts w:ascii="Arial" w:hAnsi="Arial" w:cs="Arial"/>
          <w:spacing w:val="-3"/>
          <w:sz w:val="20"/>
          <w:szCs w:val="20"/>
          <w:lang w:val="fr-FR"/>
        </w:rPr>
        <w:t xml:space="preserve">16 </w:t>
      </w:r>
      <w:r w:rsidRPr="00B6647E">
        <w:rPr>
          <w:rFonts w:ascii="Arial" w:hAnsi="Arial" w:cs="Arial"/>
          <w:spacing w:val="-3"/>
          <w:sz w:val="20"/>
          <w:szCs w:val="20"/>
          <w:lang w:val="fr-FR"/>
        </w:rPr>
        <w:t xml:space="preserve">juin </w:t>
      </w:r>
      <w:r w:rsidR="00304FC3">
        <w:rPr>
          <w:rFonts w:ascii="Arial" w:hAnsi="Arial" w:cs="Arial"/>
          <w:spacing w:val="-3"/>
          <w:sz w:val="20"/>
          <w:szCs w:val="20"/>
          <w:lang w:val="fr-FR"/>
        </w:rPr>
        <w:t>au</w:t>
      </w:r>
      <w:r w:rsidRPr="00B6647E">
        <w:rPr>
          <w:rFonts w:ascii="Arial" w:hAnsi="Arial" w:cs="Arial"/>
          <w:spacing w:val="-3"/>
          <w:sz w:val="20"/>
          <w:szCs w:val="20"/>
          <w:lang w:val="fr-FR"/>
        </w:rPr>
        <w:t xml:space="preserve"> </w:t>
      </w:r>
      <w:r w:rsidR="00D65443" w:rsidRPr="00B6647E">
        <w:rPr>
          <w:rFonts w:ascii="Arial" w:hAnsi="Arial" w:cs="Arial"/>
          <w:spacing w:val="-3"/>
          <w:sz w:val="20"/>
          <w:szCs w:val="20"/>
          <w:lang w:val="fr-FR"/>
        </w:rPr>
        <w:t xml:space="preserve">15 </w:t>
      </w:r>
      <w:r w:rsidRPr="00B6647E">
        <w:rPr>
          <w:rFonts w:ascii="Arial" w:hAnsi="Arial" w:cs="Arial"/>
          <w:spacing w:val="-3"/>
          <w:sz w:val="20"/>
          <w:szCs w:val="20"/>
          <w:lang w:val="fr-FR"/>
        </w:rPr>
        <w:t xml:space="preserve">septembre et donne environ </w:t>
      </w:r>
      <w:r w:rsidR="00227ABC" w:rsidRPr="00B6647E">
        <w:rPr>
          <w:rFonts w:ascii="Arial" w:hAnsi="Arial" w:cs="Arial"/>
          <w:spacing w:val="-3"/>
          <w:sz w:val="20"/>
          <w:szCs w:val="20"/>
          <w:lang w:val="fr-FR"/>
        </w:rPr>
        <w:t xml:space="preserve">le quart </w:t>
      </w:r>
      <w:r w:rsidR="00304FC3">
        <w:rPr>
          <w:rFonts w:ascii="Arial" w:hAnsi="Arial" w:cs="Arial"/>
          <w:spacing w:val="-3"/>
          <w:sz w:val="20"/>
          <w:szCs w:val="20"/>
          <w:lang w:val="fr-FR"/>
        </w:rPr>
        <w:t>(</w:t>
      </w:r>
      <w:r w:rsidR="00227ABC" w:rsidRPr="00B6647E">
        <w:rPr>
          <w:rFonts w:ascii="Arial" w:hAnsi="Arial" w:cs="Arial"/>
          <w:spacing w:val="-3"/>
          <w:sz w:val="20"/>
          <w:szCs w:val="20"/>
          <w:lang w:val="fr-FR"/>
        </w:rPr>
        <w:t>23,8%) de la production annuelle</w:t>
      </w:r>
      <w:r w:rsidR="005F781B" w:rsidRPr="00B6647E">
        <w:rPr>
          <w:rFonts w:ascii="Arial" w:hAnsi="Arial" w:cs="Arial"/>
          <w:spacing w:val="-3"/>
          <w:sz w:val="20"/>
          <w:szCs w:val="20"/>
          <w:lang w:val="fr-FR"/>
        </w:rPr>
        <w:t xml:space="preserve"> des cultures</w:t>
      </w:r>
      <w:r w:rsidR="00227ABC" w:rsidRPr="00B6647E">
        <w:rPr>
          <w:rFonts w:ascii="Arial" w:hAnsi="Arial" w:cs="Arial"/>
          <w:spacing w:val="-3"/>
          <w:sz w:val="20"/>
          <w:szCs w:val="20"/>
          <w:lang w:val="fr-FR"/>
        </w:rPr>
        <w:t xml:space="preserve">. Cette production est principalement imputable au manioc et à la banane contrairement à </w:t>
      </w:r>
      <w:r w:rsidR="00227ABC" w:rsidRPr="00B6647E">
        <w:rPr>
          <w:rFonts w:ascii="Arial" w:hAnsi="Arial" w:cs="Arial"/>
          <w:sz w:val="20"/>
          <w:szCs w:val="20"/>
          <w:lang w:val="fr-FR"/>
        </w:rPr>
        <w:t xml:space="preserve">l’acceptation habituelle qui </w:t>
      </w:r>
      <w:r w:rsidR="00573684" w:rsidRPr="00B6647E">
        <w:rPr>
          <w:rFonts w:ascii="Arial" w:hAnsi="Arial" w:cs="Arial"/>
          <w:sz w:val="20"/>
          <w:szCs w:val="20"/>
          <w:lang w:val="fr-FR"/>
        </w:rPr>
        <w:t>estime</w:t>
      </w:r>
      <w:r w:rsidR="00227ABC" w:rsidRPr="00B6647E">
        <w:rPr>
          <w:rFonts w:ascii="Arial" w:hAnsi="Arial" w:cs="Arial"/>
          <w:sz w:val="20"/>
          <w:szCs w:val="20"/>
          <w:lang w:val="fr-FR"/>
        </w:rPr>
        <w:t xml:space="preserve"> à 15% la part de la saison C ce qui ne correspondrait pas tout à fait à la réalité en 2011-12.</w:t>
      </w:r>
    </w:p>
    <w:p w:rsidR="00940AC8" w:rsidRPr="00B6647E" w:rsidRDefault="00940AC8" w:rsidP="003209D0">
      <w:pPr>
        <w:pStyle w:val="Titre3"/>
        <w:keepNext w:val="0"/>
        <w:spacing w:before="200" w:after="120"/>
        <w:rPr>
          <w:rFonts w:cs="Arial"/>
          <w:szCs w:val="20"/>
        </w:rPr>
      </w:pPr>
      <w:bookmarkStart w:id="37" w:name="_Toc295833402"/>
      <w:bookmarkStart w:id="38" w:name="_Toc354313822"/>
      <w:r w:rsidRPr="00B6647E">
        <w:rPr>
          <w:rFonts w:cs="Arial"/>
          <w:szCs w:val="20"/>
        </w:rPr>
        <w:t>Association des cultures</w:t>
      </w:r>
      <w:bookmarkEnd w:id="37"/>
      <w:bookmarkEnd w:id="38"/>
    </w:p>
    <w:p w:rsidR="00940AC8" w:rsidRPr="00B6647E" w:rsidRDefault="00940AC8" w:rsidP="008235FD">
      <w:pPr>
        <w:spacing w:line="240" w:lineRule="auto"/>
        <w:jc w:val="both"/>
        <w:rPr>
          <w:rFonts w:ascii="Arial" w:hAnsi="Arial" w:cs="Arial"/>
          <w:bCs/>
          <w:sz w:val="20"/>
          <w:szCs w:val="20"/>
          <w:lang w:val="fr-FR"/>
        </w:rPr>
      </w:pPr>
      <w:r w:rsidRPr="00B6647E">
        <w:rPr>
          <w:rFonts w:ascii="Arial" w:hAnsi="Arial" w:cs="Arial"/>
          <w:bCs/>
          <w:sz w:val="20"/>
          <w:szCs w:val="20"/>
          <w:lang w:val="fr-FR"/>
        </w:rPr>
        <w:t xml:space="preserve">A l'exception des parcelles de cultures "industrielles" (thé, café, coton), les cycles de culture sur une même parcelle sont nombreux et les cultures diversifiées, les parcelles en culture pure (une seule espèce cultivée) sont rares. La majorité des champs cultivés comportent au même moment plusieurs cultures associées. On peut citer par exemple, l’association du maïs et du haricot, extrêmement répandue dans de nombreuses régions du pays. Beaucoup de cultivateurs associent ainsi céréales et légumineuses et ajoutent çà et là des boutures de patate douce et de manioc. On peut trouver dans la parcelle plus de cinq cultures associées. Par exemple, plusieurs céréales (maïs, sorgho), plusieurs légumineuses (haricot, petit pois), la patate douce et le manioc, sans parler des touffes de bananiers et des plants de colocases, etc. </w:t>
      </w:r>
    </w:p>
    <w:p w:rsidR="00940AC8" w:rsidRPr="00B6647E" w:rsidRDefault="00940AC8" w:rsidP="003209D0">
      <w:pPr>
        <w:pStyle w:val="Titre3"/>
        <w:keepNext w:val="0"/>
        <w:spacing w:before="200" w:after="120"/>
        <w:rPr>
          <w:rFonts w:cs="Arial"/>
          <w:szCs w:val="20"/>
        </w:rPr>
      </w:pPr>
      <w:bookmarkStart w:id="39" w:name="_Toc295833403"/>
      <w:bookmarkStart w:id="40" w:name="_Toc354313823"/>
      <w:r w:rsidRPr="00B6647E">
        <w:rPr>
          <w:rFonts w:cs="Arial"/>
          <w:szCs w:val="20"/>
        </w:rPr>
        <w:t>Multiplication des cycles de culture</w:t>
      </w:r>
      <w:bookmarkEnd w:id="39"/>
      <w:bookmarkEnd w:id="40"/>
      <w:r w:rsidRPr="00B6647E">
        <w:rPr>
          <w:rFonts w:cs="Arial"/>
          <w:szCs w:val="20"/>
        </w:rPr>
        <w:t xml:space="preserve"> </w:t>
      </w:r>
    </w:p>
    <w:p w:rsidR="00940AC8" w:rsidRPr="00B6647E" w:rsidRDefault="00940AC8" w:rsidP="008235FD">
      <w:pPr>
        <w:spacing w:line="240" w:lineRule="auto"/>
        <w:jc w:val="both"/>
        <w:rPr>
          <w:rFonts w:ascii="Arial" w:hAnsi="Arial" w:cs="Arial"/>
          <w:bCs/>
          <w:sz w:val="20"/>
          <w:szCs w:val="20"/>
          <w:lang w:val="fr-FR"/>
        </w:rPr>
      </w:pPr>
      <w:r w:rsidRPr="00B6647E">
        <w:rPr>
          <w:rFonts w:ascii="Arial" w:hAnsi="Arial" w:cs="Arial"/>
          <w:bCs/>
          <w:sz w:val="20"/>
          <w:szCs w:val="20"/>
          <w:lang w:val="fr-FR"/>
        </w:rPr>
        <w:t>La saison des pluies couvre huit mois et permet donc une double culture par an. Les parcelles sont emblavées deux fois par an pour les céréales (maïs, sorgho, blé) et les légumineuses (haricot, petit pois, arachide) et parfois trois fois par an grâce à la rapidité du cycle du haricot. La patate douce, dont le cycle de culture est également saisonnier (4 à 6 mois) est souvent incluse dans ces rotations à deux cultures par an</w:t>
      </w:r>
      <w:r w:rsidRPr="00B6647E">
        <w:rPr>
          <w:rFonts w:ascii="Arial" w:hAnsi="Arial" w:cs="Arial"/>
          <w:bCs/>
          <w:sz w:val="20"/>
          <w:szCs w:val="20"/>
          <w:vertAlign w:val="superscript"/>
        </w:rPr>
        <w:footnoteReference w:id="14"/>
      </w:r>
      <w:r w:rsidRPr="00B6647E">
        <w:rPr>
          <w:rFonts w:ascii="Arial" w:hAnsi="Arial" w:cs="Arial"/>
          <w:bCs/>
          <w:sz w:val="20"/>
          <w:szCs w:val="20"/>
          <w:lang w:val="fr-FR"/>
        </w:rPr>
        <w:t>.</w:t>
      </w:r>
    </w:p>
    <w:p w:rsidR="00940AC8" w:rsidRPr="00B6647E" w:rsidRDefault="00940AC8" w:rsidP="008235FD">
      <w:pPr>
        <w:spacing w:line="240" w:lineRule="auto"/>
        <w:jc w:val="both"/>
        <w:rPr>
          <w:rFonts w:ascii="Arial" w:hAnsi="Arial" w:cs="Arial"/>
          <w:bCs/>
          <w:sz w:val="20"/>
          <w:szCs w:val="20"/>
          <w:lang w:val="fr-FR"/>
        </w:rPr>
      </w:pPr>
      <w:r w:rsidRPr="00B6647E">
        <w:rPr>
          <w:rFonts w:ascii="Arial" w:hAnsi="Arial" w:cs="Arial"/>
          <w:bCs/>
          <w:sz w:val="20"/>
          <w:szCs w:val="20"/>
          <w:lang w:val="fr-FR"/>
        </w:rPr>
        <w:t>Dans les marais, il y a aussi parfois une multiplication des cycles de culture. Après un cycle de haricot associé au maïs pendant la saison sèche, on cultive parfois du riz (Buyenzi, Kirimiro, Bweru, Bugesera) ou de la patate douce de décembre-janvier à juin-juillet, complétant ainsi deux cycles de culture par an. Parfois même, les agriculteurs sèment de l'éleusine après la récolte du haricot, puis de la pomme de terre vers les mois de mars-avril, avant d'entreprendre une nouvelle culture de haricot-maïs. La parcelle est alors emblavée trois fois par an.</w:t>
      </w:r>
    </w:p>
    <w:p w:rsidR="00940AC8" w:rsidRPr="00B6647E" w:rsidRDefault="00940AC8" w:rsidP="008235FD">
      <w:pPr>
        <w:spacing w:line="240" w:lineRule="auto"/>
        <w:jc w:val="both"/>
        <w:rPr>
          <w:rFonts w:ascii="Arial" w:hAnsi="Arial" w:cs="Arial"/>
          <w:bCs/>
          <w:sz w:val="20"/>
          <w:szCs w:val="20"/>
          <w:lang w:val="fr-FR"/>
        </w:rPr>
      </w:pPr>
      <w:r w:rsidRPr="00B6647E">
        <w:rPr>
          <w:rFonts w:ascii="Arial" w:hAnsi="Arial" w:cs="Arial"/>
          <w:bCs/>
          <w:sz w:val="20"/>
          <w:szCs w:val="20"/>
          <w:lang w:val="fr-FR"/>
        </w:rPr>
        <w:t>La banane et les tubercules (patate douce, manioc et colocase) occupent une place importante dans les systèmes de culture burundais. La patate douce et le manioc sont cultivés en culture pure ou en association dans la même parcelle avec des céréales ou des légumineuses. La colocase, plante d'ombre, est le plus souvent cultivée sous les bananiers mais on la plante également en association avec les céréales, les légumineuses et les autres plantes à tubercules.</w:t>
      </w:r>
    </w:p>
    <w:p w:rsidR="00940AC8" w:rsidRPr="00B6647E" w:rsidRDefault="00940AC8" w:rsidP="008235FD">
      <w:pPr>
        <w:spacing w:line="240" w:lineRule="auto"/>
        <w:jc w:val="both"/>
        <w:rPr>
          <w:rFonts w:ascii="Arial" w:hAnsi="Arial" w:cs="Arial"/>
          <w:bCs/>
          <w:sz w:val="20"/>
          <w:szCs w:val="20"/>
          <w:lang w:val="fr-FR"/>
        </w:rPr>
      </w:pPr>
      <w:r w:rsidRPr="00B6647E">
        <w:rPr>
          <w:rFonts w:ascii="Arial" w:hAnsi="Arial" w:cs="Arial"/>
          <w:bCs/>
          <w:sz w:val="20"/>
          <w:szCs w:val="20"/>
          <w:lang w:val="fr-FR"/>
        </w:rPr>
        <w:t>Le manioc et la colocase présentent des cycles de cultures plus longs (18 mois à 3-4 ans pour le manioc)</w:t>
      </w:r>
      <w:r w:rsidRPr="00304FC3">
        <w:rPr>
          <w:rFonts w:ascii="Arial" w:hAnsi="Arial" w:cs="Arial"/>
          <w:bCs/>
          <w:sz w:val="20"/>
          <w:szCs w:val="20"/>
          <w:vertAlign w:val="superscript"/>
        </w:rPr>
        <w:footnoteReference w:id="15"/>
      </w:r>
      <w:r w:rsidRPr="00B6647E">
        <w:rPr>
          <w:rFonts w:ascii="Arial" w:hAnsi="Arial" w:cs="Arial"/>
          <w:bCs/>
          <w:sz w:val="20"/>
          <w:szCs w:val="20"/>
          <w:lang w:val="fr-FR"/>
        </w:rPr>
        <w:t>. Leur récolte n'intervient pas au même moment que celle des céréales et légumineuses et peut être étalée dans le temps.</w:t>
      </w:r>
    </w:p>
    <w:p w:rsidR="00940AC8" w:rsidRPr="00B6647E" w:rsidRDefault="00940AC8" w:rsidP="008235FD">
      <w:pPr>
        <w:spacing w:line="240" w:lineRule="auto"/>
        <w:jc w:val="both"/>
        <w:rPr>
          <w:rFonts w:ascii="Arial" w:hAnsi="Arial" w:cs="Arial"/>
          <w:bCs/>
          <w:sz w:val="20"/>
          <w:szCs w:val="20"/>
          <w:lang w:val="fr-FR"/>
        </w:rPr>
      </w:pPr>
      <w:r w:rsidRPr="00B6647E">
        <w:rPr>
          <w:rFonts w:ascii="Arial" w:hAnsi="Arial" w:cs="Arial"/>
          <w:bCs/>
          <w:sz w:val="20"/>
          <w:szCs w:val="20"/>
          <w:lang w:val="fr-FR"/>
        </w:rPr>
        <w:t xml:space="preserve">Le calendrier agricole du manioc, de la patate douce et de la colocase est souple. En effet, la plantation des boutures peut être faite à tout moment de la saison de pluie alors que les céréales et les légumineuses exigent le respect d’un calendrier agricole précis car les périodes favorables sont limitées. </w:t>
      </w:r>
    </w:p>
    <w:p w:rsidR="00940AC8" w:rsidRPr="00B6647E" w:rsidRDefault="00940AC8" w:rsidP="003209D0">
      <w:pPr>
        <w:pStyle w:val="Titre3"/>
        <w:keepNext w:val="0"/>
        <w:spacing w:before="200" w:after="120"/>
        <w:rPr>
          <w:rFonts w:cs="Arial"/>
          <w:szCs w:val="20"/>
        </w:rPr>
      </w:pPr>
      <w:bookmarkStart w:id="41" w:name="_Toc295833404"/>
      <w:bookmarkStart w:id="42" w:name="_Toc354313824"/>
      <w:r w:rsidRPr="00B6647E">
        <w:rPr>
          <w:rFonts w:cs="Arial"/>
          <w:szCs w:val="20"/>
        </w:rPr>
        <w:t>Calendrier cultural</w:t>
      </w:r>
      <w:bookmarkEnd w:id="41"/>
      <w:bookmarkEnd w:id="42"/>
    </w:p>
    <w:p w:rsidR="00940AC8" w:rsidRPr="00B6647E" w:rsidRDefault="00940AC8" w:rsidP="008235FD">
      <w:pPr>
        <w:spacing w:line="240" w:lineRule="auto"/>
        <w:jc w:val="both"/>
        <w:rPr>
          <w:rFonts w:ascii="Arial" w:hAnsi="Arial" w:cs="Arial"/>
          <w:bCs/>
          <w:sz w:val="20"/>
          <w:szCs w:val="20"/>
          <w:lang w:val="fr-FR"/>
        </w:rPr>
      </w:pPr>
      <w:r w:rsidRPr="00B6647E">
        <w:rPr>
          <w:rFonts w:ascii="Arial" w:hAnsi="Arial" w:cs="Arial"/>
          <w:bCs/>
          <w:sz w:val="20"/>
          <w:szCs w:val="20"/>
          <w:lang w:val="fr-FR"/>
        </w:rPr>
        <w:t xml:space="preserve">Globalement, le calendrier cultural est le même dans tout le pays pour une culture donnée. Il y a cependant des différences d’une culture à une autre. </w:t>
      </w:r>
    </w:p>
    <w:p w:rsidR="00940AC8" w:rsidRPr="00B6647E" w:rsidRDefault="00940AC8" w:rsidP="008235FD">
      <w:pPr>
        <w:spacing w:line="240" w:lineRule="auto"/>
        <w:jc w:val="both"/>
        <w:rPr>
          <w:rFonts w:ascii="Arial" w:hAnsi="Arial" w:cs="Arial"/>
          <w:bCs/>
          <w:sz w:val="20"/>
          <w:szCs w:val="20"/>
          <w:lang w:val="fr-FR"/>
        </w:rPr>
      </w:pPr>
      <w:r w:rsidRPr="00B6647E">
        <w:rPr>
          <w:rFonts w:ascii="Arial" w:hAnsi="Arial" w:cs="Arial"/>
          <w:bCs/>
          <w:sz w:val="20"/>
          <w:szCs w:val="20"/>
          <w:lang w:val="fr-FR"/>
        </w:rPr>
        <w:t xml:space="preserve">Dans une même parcelle, les espèces associées peuvent avoir des cycles de culture différents. Ainsi, le haricot et le maïs semés en même temps au début de la saison des pluies (octobre par exemple) ne parviennent pas à maturité simultanément. Le haricot est récolté en décembre mais le maïs en février seulement. La culture du sorgho, qui succède souvent à cette association simple maïs-haricot, est implantée en décembre-janvier, soit après la récolte du haricot mais avant celle du maïs, complétant ainsi une "association-rotation" très répandue au Burundi : maïs-haricot en première </w:t>
      </w:r>
      <w:r w:rsidRPr="00B6647E">
        <w:rPr>
          <w:rFonts w:ascii="Arial" w:hAnsi="Arial" w:cs="Arial"/>
          <w:bCs/>
          <w:sz w:val="20"/>
          <w:szCs w:val="20"/>
          <w:lang w:val="fr-FR"/>
        </w:rPr>
        <w:lastRenderedPageBreak/>
        <w:t>saison culturale, sorgho en deuxième saison. De la même façon, les boutures de patate douce, installées en novembre avant la récolte des haricots, peuvent donner une récolte en avril-mai, avant celle du sorgho (juillet). Quant aux boutures de manioc, elles perdureront sur la parcelle jusqu'à l'année suivante, donnant lieu à plusieurs phases de récolte échelonnées. La succession continue des cultures (double ou triple culture par an) et la plantation d'espèces dont la longueur du cycle varie de quelques mois à plusieurs années, conduisent donc à des associations de plus en plus complexes, au chevauchement et à l'imbrication des cycles de culture des différents éléments de l'association. Des espèces sont semées ou plantées faisant ainsi leur entrée dans l'association avant que certaines des espèces déjà en place ne soient récoltées et disparaissent alors de la combinaison.</w:t>
      </w:r>
    </w:p>
    <w:p w:rsidR="00940AC8" w:rsidRPr="00B6647E" w:rsidRDefault="00940AC8" w:rsidP="00DF6FB0">
      <w:pPr>
        <w:jc w:val="both"/>
        <w:rPr>
          <w:rFonts w:ascii="Arial" w:hAnsi="Arial" w:cs="Arial"/>
          <w:bCs/>
          <w:sz w:val="20"/>
          <w:szCs w:val="20"/>
          <w:lang w:val="fr-FR"/>
        </w:rPr>
      </w:pPr>
      <w:r w:rsidRPr="00B6647E">
        <w:rPr>
          <w:rFonts w:ascii="Arial" w:hAnsi="Arial" w:cs="Arial"/>
          <w:bCs/>
          <w:sz w:val="20"/>
          <w:szCs w:val="20"/>
          <w:lang w:val="fr-FR"/>
        </w:rPr>
        <w:t>Il faut bien tenir compte de cette réalité dans l’organisation de la collecte</w:t>
      </w:r>
      <w:r w:rsidR="00DF6FB0" w:rsidRPr="00B6647E">
        <w:rPr>
          <w:rFonts w:ascii="Arial" w:hAnsi="Arial" w:cs="Arial"/>
          <w:bCs/>
          <w:sz w:val="20"/>
          <w:szCs w:val="20"/>
          <w:lang w:val="fr-FR"/>
        </w:rPr>
        <w:t xml:space="preserve"> même si ces systèmes culturaux sont  d’une telle complexité qu’il est très difficile d’en tenir compte de manière tout à fait exhaustive sur le terrain au cours </w:t>
      </w:r>
      <w:r w:rsidR="006024C0" w:rsidRPr="00B6647E">
        <w:rPr>
          <w:rFonts w:ascii="Arial" w:hAnsi="Arial" w:cs="Arial"/>
          <w:bCs/>
          <w:sz w:val="20"/>
          <w:szCs w:val="20"/>
          <w:lang w:val="fr-FR"/>
        </w:rPr>
        <w:t>des enquêtes</w:t>
      </w:r>
      <w:r w:rsidR="00DF6FB0" w:rsidRPr="00B6647E">
        <w:rPr>
          <w:rFonts w:ascii="Arial" w:hAnsi="Arial" w:cs="Arial"/>
          <w:bCs/>
          <w:sz w:val="20"/>
          <w:szCs w:val="20"/>
          <w:lang w:val="fr-FR"/>
        </w:rPr>
        <w:t xml:space="preserve"> sur les productions.</w:t>
      </w:r>
    </w:p>
    <w:p w:rsidR="009A0AE1" w:rsidRPr="00B6647E" w:rsidRDefault="009A0AE1">
      <w:pPr>
        <w:rPr>
          <w:rFonts w:ascii="Arial" w:eastAsia="Times New Roman" w:hAnsi="Arial" w:cs="Arial"/>
          <w:b/>
          <w:color w:val="365F91"/>
          <w:sz w:val="24"/>
          <w:szCs w:val="24"/>
          <w:lang w:eastAsia="fr-FR"/>
        </w:rPr>
      </w:pPr>
      <w:r w:rsidRPr="00B6647E">
        <w:rPr>
          <w:rFonts w:cs="Arial"/>
          <w:color w:val="365F91"/>
        </w:rPr>
        <w:br w:type="page"/>
      </w:r>
    </w:p>
    <w:p w:rsidR="00940AC8" w:rsidRPr="00B6647E" w:rsidRDefault="00940AC8" w:rsidP="005C7824">
      <w:pPr>
        <w:pStyle w:val="Titre1"/>
        <w:keepNext w:val="0"/>
        <w:numPr>
          <w:ilvl w:val="0"/>
          <w:numId w:val="1"/>
        </w:numPr>
        <w:tabs>
          <w:tab w:val="num" w:pos="432"/>
        </w:tabs>
        <w:ind w:left="432" w:hanging="432"/>
        <w:rPr>
          <w:rFonts w:cs="Arial"/>
          <w:color w:val="365F91"/>
        </w:rPr>
      </w:pPr>
      <w:bookmarkStart w:id="43" w:name="_Toc354313825"/>
      <w:r w:rsidRPr="00B6647E">
        <w:rPr>
          <w:rFonts w:cs="Arial"/>
          <w:color w:val="365F91"/>
        </w:rPr>
        <w:lastRenderedPageBreak/>
        <w:t>Bref historique de la collecte des données agricole au Burundi</w:t>
      </w:r>
      <w:bookmarkEnd w:id="43"/>
    </w:p>
    <w:p w:rsidR="001508A2" w:rsidRPr="00B6647E" w:rsidRDefault="00DF50D8" w:rsidP="001508A2">
      <w:pPr>
        <w:spacing w:after="0" w:line="240" w:lineRule="auto"/>
        <w:rPr>
          <w:rFonts w:ascii="Arial" w:hAnsi="Arial" w:cs="Arial"/>
          <w:sz w:val="20"/>
          <w:szCs w:val="20"/>
        </w:rPr>
      </w:pPr>
      <w:r w:rsidRPr="00DF50D8">
        <w:rPr>
          <w:rFonts w:ascii="Arial" w:hAnsi="Arial" w:cs="Arial"/>
          <w:noProof/>
        </w:rPr>
        <w:pict>
          <v:shape id="_x0000_s1061" type="#_x0000_t32" style="position:absolute;margin-left:1.15pt;margin-top:4.8pt;width:453.55pt;height:0;z-index:25171968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4ufrAIAAJcFAAAOAAAAZHJzL2Uyb0RvYy54bWysVE2PmzAQvVfqf7B8Z4FACEFLVlkCvWzb&#10;lXarnh1sglWwke18rKr+945NQjfbS1UtB+SPmTdvZt749u7Ud+jAlOZS5Di8CTBiopaUi12Ovz1X&#10;XoqRNkRQ0knBcvzCNL5bffxwexwyNpOt7ChTCECEzo5Djltjhsz3dd2ynugbOTABl41UPTGwVTuf&#10;KnIE9L7zZ0GQ+Eep6KBkzbSG0814iVcOv2lYbb42jWYGdTkGbsb9lftv7d9f3ZJsp8jQ8vpMg/wH&#10;i55wAUEnqA0xBO0V/wuq57WSWjbmppa9L5uG18zlANmEwZtsnloyMJcLFEcPU5n0+8HWXw6PCnGa&#10;42WCkSA99Gi9N9KFRjNbn+OgMzArxKOyGdYn8TQ8yPqHRkIWLRE75oyfXwbwDa2Hf+ViN3qAKNvj&#10;Z0nBhgC+K9apUb2FhDKgk+vJy9QTdjKohsP5IgmCdI5RfbnzSXZxHJQ2n5jskV3kWBtF+K41hRQC&#10;Oi9V6MKQw4M2lhbJLg42qpAV7zongE6gY46jNAwC56Flx6m9tXZa7bZFp9CBgIaiZF4txyTh5rWZ&#10;kntBHVrLCC3Pa0N4N64heicsHnOyHCnB7mRg6c4hYyeZn8tgWaZlGnvxLCm9ONhsvHVVxF5ShYv5&#10;JtoUxSb8ZYmGcdZySpmwXC/yDeN/k8d5kEbhTQKequJfo7vyAdlrputqHiziKPUWi3nkxVEZePdp&#10;VXjrIkySRXlf3JdvmJYue/0+ZKdSWlZyb5h6aukRUW7VMEujJbw+lMO4R2mQBMsFRqTbwTtVG4WR&#10;kuY7N60Tr5Wdxbjq9SyOqmQ8J93QklEB8wA+p/LJ3NVmCj9W6tJku5vadE7+Ty1BFBcBuKGxczJO&#10;3FbSl0d1GSaYfud0fqns8/J6D+vX7+nqNwAAAP//AwBQSwMEFAAGAAgAAAAhABLqZCjcAAAABQEA&#10;AA8AAABkcnMvZG93bnJldi54bWxMjlFLwzAUhd+F/YdwB76ISzdLWWvTMRRxDBGs/oC0uTbF5qY0&#10;Wdv564170cfDOXzny3ez6diIg2stCVivImBItVUtNQI+3p9ut8Ccl6RkZwkFnNHBrlhc5TJTdqI3&#10;HEvfsAAhl0kB2vs+49zVGo10K9sjhe7TDkb6EIeGq0FOAW46vomihBvZUnjQsscHjfVXeTICpjE5&#10;vtxs+fx9fC3PTRUfHvVzLMT1ct7fA/M4+78x/OoHdSiCU2VPpBzrBGzuwlBAmgALbRqlMbDqknmR&#10;8//2xQ8AAAD//wMAUEsBAi0AFAAGAAgAAAAhALaDOJL+AAAA4QEAABMAAAAAAAAAAAAAAAAAAAAA&#10;AFtDb250ZW50X1R5cGVzXS54bWxQSwECLQAUAAYACAAAACEAOP0h/9YAAACUAQAACwAAAAAAAAAA&#10;AAAAAAAvAQAAX3JlbHMvLnJlbHNQSwECLQAUAAYACAAAACEAJvOLn6wCAACXBQAADgAAAAAAAAAA&#10;AAAAAAAuAgAAZHJzL2Uyb0RvYy54bWxQSwECLQAUAAYACAAAACEAEupkKNwAAAAFAQAADwAAAAAA&#10;AAAAAAAAAAAGBQAAZHJzL2Rvd25yZXYueG1sUEsFBgAAAAAEAAQA8wAAAA8GAAAAAA==&#10;" strokecolor="#365f91" strokeweight="3pt">
            <v:shadow color="#243f60" opacity=".5" offset="1pt"/>
          </v:shape>
        </w:pict>
      </w:r>
    </w:p>
    <w:p w:rsidR="001508A2" w:rsidRPr="00B6647E" w:rsidRDefault="001508A2" w:rsidP="008235FD">
      <w:pPr>
        <w:spacing w:line="240" w:lineRule="auto"/>
        <w:rPr>
          <w:rFonts w:ascii="Arial" w:hAnsi="Arial" w:cs="Arial"/>
          <w:sz w:val="20"/>
          <w:szCs w:val="20"/>
          <w:lang w:val="fr-FR"/>
        </w:rPr>
      </w:pPr>
    </w:p>
    <w:p w:rsidR="00940AC8" w:rsidRPr="00B6647E" w:rsidRDefault="00940AC8" w:rsidP="008235FD">
      <w:pPr>
        <w:spacing w:line="240" w:lineRule="auto"/>
        <w:rPr>
          <w:rFonts w:ascii="Arial" w:hAnsi="Arial" w:cs="Arial"/>
          <w:sz w:val="20"/>
          <w:szCs w:val="20"/>
          <w:lang w:val="fr-FR"/>
        </w:rPr>
      </w:pPr>
      <w:r w:rsidRPr="00B6647E">
        <w:rPr>
          <w:rFonts w:ascii="Arial" w:hAnsi="Arial" w:cs="Arial"/>
          <w:sz w:val="20"/>
          <w:szCs w:val="20"/>
          <w:lang w:val="fr-FR"/>
        </w:rPr>
        <w:t xml:space="preserve">Nous reprenons ci-après </w:t>
      </w:r>
      <w:r w:rsidR="00E40069">
        <w:rPr>
          <w:rFonts w:ascii="Arial" w:hAnsi="Arial" w:cs="Arial"/>
          <w:sz w:val="20"/>
          <w:szCs w:val="20"/>
          <w:lang w:val="fr-FR"/>
        </w:rPr>
        <w:t>un</w:t>
      </w:r>
      <w:r w:rsidRPr="00B6647E">
        <w:rPr>
          <w:rFonts w:ascii="Arial" w:hAnsi="Arial" w:cs="Arial"/>
          <w:sz w:val="20"/>
          <w:szCs w:val="20"/>
          <w:lang w:val="fr-FR"/>
        </w:rPr>
        <w:t xml:space="preserve"> bref historique </w:t>
      </w:r>
      <w:r w:rsidR="00E40069">
        <w:rPr>
          <w:rFonts w:ascii="Arial" w:hAnsi="Arial" w:cs="Arial"/>
          <w:sz w:val="20"/>
          <w:szCs w:val="20"/>
          <w:lang w:val="fr-FR"/>
        </w:rPr>
        <w:t>de la collecte des données agricoles au Burundi tiré du</w:t>
      </w:r>
      <w:r w:rsidRPr="00B6647E">
        <w:rPr>
          <w:rFonts w:ascii="Arial" w:hAnsi="Arial" w:cs="Arial"/>
          <w:sz w:val="20"/>
          <w:szCs w:val="20"/>
          <w:lang w:val="fr-FR"/>
        </w:rPr>
        <w:t xml:space="preserve"> document sur le « Système d'Information sur la sécurité alimentaire et des Prix des produits agricoles (SIP) » :</w:t>
      </w:r>
    </w:p>
    <w:p w:rsidR="00940AC8" w:rsidRPr="00B6647E" w:rsidRDefault="00940AC8" w:rsidP="008235FD">
      <w:pPr>
        <w:tabs>
          <w:tab w:val="left" w:pos="0"/>
        </w:tabs>
        <w:spacing w:line="240" w:lineRule="auto"/>
        <w:jc w:val="both"/>
        <w:rPr>
          <w:rFonts w:ascii="Arial" w:hAnsi="Arial" w:cs="Arial"/>
          <w:i/>
          <w:sz w:val="20"/>
          <w:szCs w:val="20"/>
        </w:rPr>
      </w:pPr>
      <w:r w:rsidRPr="00B6647E">
        <w:rPr>
          <w:rFonts w:ascii="Arial" w:hAnsi="Arial" w:cs="Arial"/>
          <w:i/>
          <w:sz w:val="20"/>
          <w:szCs w:val="20"/>
          <w:lang w:val="fr-FR"/>
        </w:rPr>
        <w:t xml:space="preserve">« La problématique de la collecte de données agricoles au Burundi existe depuis longtemps. Elle ne s’effectuait pas uniquement au sein du Ministère de l’Agriculture et de l’Elevage mais depuis longtemps d’autres institutions ont mené </w:t>
      </w:r>
      <w:r w:rsidR="00E40069">
        <w:rPr>
          <w:rFonts w:ascii="Arial" w:hAnsi="Arial" w:cs="Arial"/>
          <w:i/>
          <w:sz w:val="20"/>
          <w:szCs w:val="20"/>
          <w:lang w:val="fr-FR"/>
        </w:rPr>
        <w:t xml:space="preserve">des </w:t>
      </w:r>
      <w:r w:rsidRPr="00B6647E">
        <w:rPr>
          <w:rFonts w:ascii="Arial" w:hAnsi="Arial" w:cs="Arial"/>
          <w:i/>
          <w:sz w:val="20"/>
          <w:szCs w:val="20"/>
          <w:lang w:val="fr-FR"/>
        </w:rPr>
        <w:t>études qui ont abouti à des publications régulière</w:t>
      </w:r>
      <w:r w:rsidR="00E40069">
        <w:rPr>
          <w:rFonts w:ascii="Arial" w:hAnsi="Arial" w:cs="Arial"/>
          <w:i/>
          <w:sz w:val="20"/>
          <w:szCs w:val="20"/>
          <w:lang w:val="fr-FR"/>
        </w:rPr>
        <w:t>s</w:t>
      </w:r>
      <w:r w:rsidRPr="00B6647E">
        <w:rPr>
          <w:rFonts w:ascii="Arial" w:hAnsi="Arial" w:cs="Arial"/>
          <w:i/>
          <w:sz w:val="20"/>
          <w:szCs w:val="20"/>
          <w:lang w:val="fr-FR"/>
        </w:rPr>
        <w:t xml:space="preserve"> des productions vivrières pour de longues périodes. </w:t>
      </w:r>
      <w:r w:rsidRPr="00B6647E">
        <w:rPr>
          <w:rFonts w:ascii="Arial" w:hAnsi="Arial" w:cs="Arial"/>
          <w:i/>
          <w:sz w:val="20"/>
          <w:szCs w:val="20"/>
        </w:rPr>
        <w:t>Il s’agit notamment :</w:t>
      </w:r>
    </w:p>
    <w:p w:rsidR="00940AC8" w:rsidRPr="00B6647E" w:rsidRDefault="00940AC8" w:rsidP="008D536E">
      <w:pPr>
        <w:numPr>
          <w:ilvl w:val="0"/>
          <w:numId w:val="9"/>
        </w:numPr>
        <w:tabs>
          <w:tab w:val="left" w:pos="4140"/>
        </w:tabs>
        <w:spacing w:after="0" w:line="240" w:lineRule="auto"/>
        <w:jc w:val="both"/>
        <w:rPr>
          <w:rFonts w:ascii="Arial" w:hAnsi="Arial" w:cs="Arial"/>
          <w:i/>
          <w:sz w:val="20"/>
          <w:szCs w:val="20"/>
          <w:lang w:val="fr-FR"/>
        </w:rPr>
      </w:pPr>
      <w:r w:rsidRPr="00B6647E">
        <w:rPr>
          <w:rFonts w:ascii="Arial" w:hAnsi="Arial" w:cs="Arial"/>
          <w:i/>
          <w:sz w:val="20"/>
          <w:szCs w:val="20"/>
          <w:lang w:val="fr-FR"/>
        </w:rPr>
        <w:t>IRUSTAT (Institut Rundi des Statistiques) qui avait mené quelques études entre 1967 et 1970 couvrant les anciennes provinces de NGOZI, MUYINGA, GITEGA et BURURI. Les résultats de ces travaux ont permis d’estimer les productions</w:t>
      </w:r>
      <w:r w:rsidR="00742D2F" w:rsidRPr="00B6647E">
        <w:rPr>
          <w:rFonts w:ascii="Arial" w:hAnsi="Arial" w:cs="Arial"/>
          <w:i/>
          <w:sz w:val="20"/>
          <w:szCs w:val="20"/>
          <w:lang w:val="fr-FR"/>
        </w:rPr>
        <w:t xml:space="preserve"> agricoles pour la période 1960-</w:t>
      </w:r>
      <w:r w:rsidRPr="00B6647E">
        <w:rPr>
          <w:rFonts w:ascii="Arial" w:hAnsi="Arial" w:cs="Arial"/>
          <w:i/>
          <w:sz w:val="20"/>
          <w:szCs w:val="20"/>
          <w:lang w:val="fr-FR"/>
        </w:rPr>
        <w:t xml:space="preserve">1970, ce qui a été à la base de la mise en place de plusieurs projets de développement agricole. </w:t>
      </w:r>
    </w:p>
    <w:p w:rsidR="00940AC8" w:rsidRPr="00B6647E" w:rsidRDefault="00940AC8" w:rsidP="008D536E">
      <w:pPr>
        <w:numPr>
          <w:ilvl w:val="0"/>
          <w:numId w:val="9"/>
        </w:numPr>
        <w:tabs>
          <w:tab w:val="left" w:pos="4140"/>
        </w:tabs>
        <w:spacing w:after="0" w:line="240" w:lineRule="auto"/>
        <w:jc w:val="both"/>
        <w:rPr>
          <w:rFonts w:ascii="Arial" w:hAnsi="Arial" w:cs="Arial"/>
          <w:i/>
          <w:sz w:val="20"/>
          <w:szCs w:val="20"/>
        </w:rPr>
      </w:pPr>
      <w:r w:rsidRPr="00B6647E">
        <w:rPr>
          <w:rFonts w:ascii="Arial" w:hAnsi="Arial" w:cs="Arial"/>
          <w:i/>
          <w:sz w:val="20"/>
          <w:szCs w:val="20"/>
          <w:lang w:val="fr-FR"/>
        </w:rPr>
        <w:t xml:space="preserve">SNES (Service National des Etudes et Statistiques) qui a mené une série d’enquêtes agricoles qui étaient échelonnées dans le temps (de 1980 à 1986) et qui ont couvert tout le territoire national.  </w:t>
      </w:r>
      <w:r w:rsidRPr="00B6647E">
        <w:rPr>
          <w:rFonts w:ascii="Arial" w:hAnsi="Arial" w:cs="Arial"/>
          <w:i/>
          <w:sz w:val="20"/>
          <w:szCs w:val="20"/>
        </w:rPr>
        <w:t>Ces études ont facilité la préparation du Plan Quinquennal 1988 – 1992.</w:t>
      </w:r>
    </w:p>
    <w:p w:rsidR="00940AC8" w:rsidRPr="00B6647E" w:rsidRDefault="00940AC8" w:rsidP="00004F4F">
      <w:pPr>
        <w:tabs>
          <w:tab w:val="left" w:pos="4140"/>
        </w:tabs>
        <w:spacing w:before="200" w:line="240" w:lineRule="auto"/>
        <w:jc w:val="both"/>
        <w:rPr>
          <w:rFonts w:ascii="Arial" w:hAnsi="Arial" w:cs="Arial"/>
          <w:i/>
          <w:sz w:val="20"/>
          <w:szCs w:val="20"/>
          <w:lang w:val="fr-FR"/>
        </w:rPr>
      </w:pPr>
      <w:r w:rsidRPr="00B6647E">
        <w:rPr>
          <w:rFonts w:ascii="Arial" w:hAnsi="Arial" w:cs="Arial"/>
          <w:i/>
          <w:sz w:val="20"/>
          <w:szCs w:val="20"/>
          <w:lang w:val="fr-FR"/>
        </w:rPr>
        <w:t>L’objectif principal de ces études était de rendre disponible des données indispensables pour la confection des Comptes Economiques du Burundi.</w:t>
      </w:r>
    </w:p>
    <w:p w:rsidR="00940AC8" w:rsidRPr="00B6647E" w:rsidRDefault="00940AC8" w:rsidP="008235FD">
      <w:pPr>
        <w:spacing w:line="240" w:lineRule="auto"/>
        <w:jc w:val="both"/>
        <w:rPr>
          <w:rFonts w:ascii="Arial" w:hAnsi="Arial" w:cs="Arial"/>
          <w:i/>
          <w:sz w:val="20"/>
          <w:szCs w:val="20"/>
          <w:lang w:val="fr-FR"/>
        </w:rPr>
      </w:pPr>
      <w:r w:rsidRPr="00B6647E">
        <w:rPr>
          <w:rFonts w:ascii="Arial" w:hAnsi="Arial" w:cs="Arial"/>
          <w:i/>
          <w:sz w:val="20"/>
          <w:szCs w:val="20"/>
          <w:lang w:val="fr-FR"/>
        </w:rPr>
        <w:t xml:space="preserve">C’est vers la fin des années 1980 que l’information agricole a pris une autre tournure surtout avec l’élaboration du projet BDI/89/018 appelé « Système d’Alerte Rapide et Gestion de l’Information Alimentaire », en abrégé SARGIA,  et signé en octobre 1990 entre la FAO, le PNUD et le Gouvernement du Burundi représenté par le Ministre des Relations Extérieures et de la Coopération d’alors. Le système ainsi mis en place en 1991 avait pour objectif de rassembler et d’analyser les informations produites par un ensemble hétérogène de services nationaux. Le manque de financements ajouté aux restructurations ministérielles successives mirent prématurément fin en 1993 aux mécanismes qui avaient été mis en place. </w:t>
      </w:r>
    </w:p>
    <w:p w:rsidR="00940AC8" w:rsidRPr="00B6647E" w:rsidRDefault="00940AC8" w:rsidP="008235FD">
      <w:pPr>
        <w:spacing w:line="240" w:lineRule="auto"/>
        <w:jc w:val="both"/>
        <w:rPr>
          <w:rFonts w:ascii="Arial" w:hAnsi="Arial" w:cs="Arial"/>
          <w:i/>
          <w:sz w:val="20"/>
          <w:szCs w:val="20"/>
          <w:lang w:val="fr-FR"/>
        </w:rPr>
      </w:pPr>
      <w:r w:rsidRPr="00B6647E">
        <w:rPr>
          <w:rFonts w:ascii="Arial" w:hAnsi="Arial" w:cs="Arial"/>
          <w:i/>
          <w:sz w:val="20"/>
          <w:szCs w:val="20"/>
          <w:lang w:val="fr-FR"/>
        </w:rPr>
        <w:t>De mars 1999 à juin 2000, un autre projet dénommé ARSSA (Appui à la Réhabilitation du Système des Statistiques Agricoles) est lancé pour améliorer les activités de la Direction des Statistiques et Informations Agricoles. Bien qu’ayant bénéficié du soutien de la FAO, le projet ne fonctionnera que deux  ans, c’est-à-dire de 1999 à 2000. Toutefois, malgré sa courte durée, le projet a néanmoins permis au Département des Statistiques et Informations Agricoles de tester la méthodologie d’enquête agricole sur cinq provinces pilotes à savoir Bururi, Cibitoke, Gitega, Kayanza et Ruyigi en utilisant un questionnaire.</w:t>
      </w:r>
    </w:p>
    <w:p w:rsidR="00940AC8" w:rsidRPr="00B6647E" w:rsidRDefault="00940AC8" w:rsidP="008235FD">
      <w:pPr>
        <w:spacing w:line="240" w:lineRule="auto"/>
        <w:jc w:val="both"/>
        <w:rPr>
          <w:rFonts w:ascii="Arial" w:hAnsi="Arial" w:cs="Arial"/>
          <w:i/>
          <w:sz w:val="20"/>
          <w:szCs w:val="20"/>
          <w:lang w:val="fr-FR"/>
        </w:rPr>
      </w:pPr>
      <w:r w:rsidRPr="00B6647E">
        <w:rPr>
          <w:rFonts w:ascii="Arial" w:hAnsi="Arial" w:cs="Arial"/>
          <w:i/>
          <w:sz w:val="20"/>
          <w:szCs w:val="20"/>
          <w:lang w:val="fr-FR"/>
        </w:rPr>
        <w:t xml:space="preserve">Des enquêtes agricoles ont été menées par le SISABU (Système d’Information sur la Sécurité Alimentaire)  durant la période 2003 - 2005. Malheureusement, l’appui financier de la Coopération Française a été suspendu à cause de la situation sécuritaire précaire. Pendant cette période, le projet a étendu ses activités sur quatre provinces. </w:t>
      </w:r>
    </w:p>
    <w:p w:rsidR="00940AC8" w:rsidRPr="00B6647E" w:rsidRDefault="00940AC8" w:rsidP="008235FD">
      <w:pPr>
        <w:spacing w:line="240" w:lineRule="auto"/>
        <w:jc w:val="both"/>
        <w:rPr>
          <w:rFonts w:ascii="Arial" w:hAnsi="Arial" w:cs="Arial"/>
          <w:i/>
          <w:sz w:val="20"/>
          <w:szCs w:val="20"/>
          <w:lang w:val="fr-FR"/>
        </w:rPr>
      </w:pPr>
      <w:r w:rsidRPr="00B6647E">
        <w:rPr>
          <w:rFonts w:ascii="Arial" w:hAnsi="Arial" w:cs="Arial"/>
          <w:i/>
          <w:sz w:val="20"/>
          <w:szCs w:val="20"/>
          <w:lang w:val="fr-FR"/>
        </w:rPr>
        <w:t xml:space="preserve"> A sa création, le SISABU avait comme objectif : </w:t>
      </w:r>
    </w:p>
    <w:p w:rsidR="00940AC8" w:rsidRPr="00B6647E" w:rsidRDefault="00940AC8" w:rsidP="008D536E">
      <w:pPr>
        <w:numPr>
          <w:ilvl w:val="0"/>
          <w:numId w:val="10"/>
        </w:numPr>
        <w:spacing w:after="0" w:line="240" w:lineRule="auto"/>
        <w:jc w:val="both"/>
        <w:rPr>
          <w:rFonts w:ascii="Arial" w:hAnsi="Arial" w:cs="Arial"/>
          <w:i/>
          <w:sz w:val="20"/>
          <w:szCs w:val="20"/>
          <w:lang w:val="fr-FR"/>
        </w:rPr>
      </w:pPr>
      <w:r w:rsidRPr="00B6647E">
        <w:rPr>
          <w:rFonts w:ascii="Arial" w:hAnsi="Arial" w:cs="Arial"/>
          <w:i/>
          <w:sz w:val="20"/>
          <w:szCs w:val="20"/>
          <w:lang w:val="fr-FR"/>
        </w:rPr>
        <w:t>Construire une méthode d’analyse de la vulnérabilité ;</w:t>
      </w:r>
    </w:p>
    <w:p w:rsidR="00940AC8" w:rsidRPr="00B6647E" w:rsidRDefault="00940AC8" w:rsidP="008D536E">
      <w:pPr>
        <w:numPr>
          <w:ilvl w:val="0"/>
          <w:numId w:val="10"/>
        </w:numPr>
        <w:spacing w:after="0" w:line="240" w:lineRule="auto"/>
        <w:jc w:val="both"/>
        <w:rPr>
          <w:rFonts w:ascii="Arial" w:hAnsi="Arial" w:cs="Arial"/>
          <w:i/>
          <w:sz w:val="20"/>
          <w:szCs w:val="20"/>
          <w:lang w:val="fr-FR"/>
        </w:rPr>
      </w:pPr>
      <w:r w:rsidRPr="00B6647E">
        <w:rPr>
          <w:rFonts w:ascii="Arial" w:hAnsi="Arial" w:cs="Arial"/>
          <w:i/>
          <w:sz w:val="20"/>
          <w:szCs w:val="20"/>
          <w:lang w:val="fr-FR"/>
        </w:rPr>
        <w:t>Organiser les services pourvoyeurs d’information ;</w:t>
      </w:r>
    </w:p>
    <w:p w:rsidR="00940AC8" w:rsidRPr="00B6647E" w:rsidRDefault="00940AC8" w:rsidP="008D536E">
      <w:pPr>
        <w:numPr>
          <w:ilvl w:val="0"/>
          <w:numId w:val="10"/>
        </w:numPr>
        <w:spacing w:after="0" w:line="240" w:lineRule="auto"/>
        <w:jc w:val="both"/>
        <w:rPr>
          <w:rFonts w:ascii="Arial" w:hAnsi="Arial" w:cs="Arial"/>
          <w:i/>
          <w:sz w:val="20"/>
          <w:szCs w:val="20"/>
        </w:rPr>
      </w:pPr>
      <w:r w:rsidRPr="00B6647E">
        <w:rPr>
          <w:rFonts w:ascii="Arial" w:hAnsi="Arial" w:cs="Arial"/>
          <w:i/>
          <w:sz w:val="20"/>
          <w:szCs w:val="20"/>
        </w:rPr>
        <w:t>Diffuser l’information ;</w:t>
      </w:r>
    </w:p>
    <w:p w:rsidR="00940AC8" w:rsidRPr="00B6647E" w:rsidRDefault="00940AC8" w:rsidP="008D536E">
      <w:pPr>
        <w:numPr>
          <w:ilvl w:val="0"/>
          <w:numId w:val="10"/>
        </w:numPr>
        <w:spacing w:after="0" w:line="240" w:lineRule="auto"/>
        <w:jc w:val="both"/>
        <w:rPr>
          <w:rFonts w:ascii="Arial" w:hAnsi="Arial" w:cs="Arial"/>
          <w:i/>
          <w:sz w:val="20"/>
          <w:szCs w:val="20"/>
          <w:lang w:val="fr-FR"/>
        </w:rPr>
      </w:pPr>
      <w:r w:rsidRPr="00B6647E">
        <w:rPr>
          <w:rFonts w:ascii="Arial" w:hAnsi="Arial" w:cs="Arial"/>
          <w:i/>
          <w:sz w:val="20"/>
          <w:szCs w:val="20"/>
          <w:lang w:val="fr-FR"/>
        </w:rPr>
        <w:t xml:space="preserve">Assurer la pérennité institutionnelle du système c’est-à-dire couvrir l’ensemble du territoire national à l’horizon janvier 2006. </w:t>
      </w:r>
    </w:p>
    <w:p w:rsidR="00940AC8" w:rsidRPr="00B6647E" w:rsidRDefault="00940AC8" w:rsidP="00742D2F">
      <w:pPr>
        <w:tabs>
          <w:tab w:val="left" w:pos="0"/>
        </w:tabs>
        <w:spacing w:before="200" w:line="240" w:lineRule="auto"/>
        <w:jc w:val="both"/>
        <w:rPr>
          <w:rFonts w:ascii="Arial" w:hAnsi="Arial" w:cs="Arial"/>
          <w:i/>
          <w:sz w:val="20"/>
          <w:szCs w:val="20"/>
          <w:lang w:val="fr-FR"/>
        </w:rPr>
      </w:pPr>
      <w:r w:rsidRPr="00B6647E">
        <w:rPr>
          <w:rFonts w:ascii="Arial" w:hAnsi="Arial" w:cs="Arial"/>
          <w:i/>
          <w:sz w:val="20"/>
          <w:szCs w:val="20"/>
          <w:lang w:val="fr-FR"/>
        </w:rPr>
        <w:t xml:space="preserve">Tous ces projets susmentionnés ont tenté de mettre à la disposition du Ministère de l’Agriculture et de l’Elevage, des outils de collecte et de traitement des données agricoles en vue d’aider à la prise de décisions en matière de politique agricole et de sécurité alimentaire au Burundi. » </w:t>
      </w:r>
    </w:p>
    <w:p w:rsidR="00940AC8" w:rsidRPr="00B6647E" w:rsidRDefault="00940AC8" w:rsidP="008235FD">
      <w:pPr>
        <w:pStyle w:val="Paragraphedeliste"/>
        <w:spacing w:after="0" w:line="240" w:lineRule="auto"/>
        <w:ind w:left="0"/>
        <w:rPr>
          <w:rFonts w:ascii="Arial" w:hAnsi="Arial" w:cs="Arial"/>
          <w:sz w:val="20"/>
          <w:szCs w:val="20"/>
          <w:lang w:val="fr-FR"/>
        </w:rPr>
      </w:pPr>
    </w:p>
    <w:p w:rsidR="00742D2F" w:rsidRPr="00B6647E" w:rsidRDefault="00742D2F" w:rsidP="008235FD">
      <w:pPr>
        <w:pStyle w:val="Paragraphedeliste"/>
        <w:spacing w:after="0" w:line="240" w:lineRule="auto"/>
        <w:ind w:left="0"/>
        <w:rPr>
          <w:rFonts w:ascii="Arial" w:hAnsi="Arial" w:cs="Arial"/>
          <w:sz w:val="20"/>
          <w:szCs w:val="20"/>
          <w:lang w:val="fr-FR"/>
        </w:rPr>
      </w:pPr>
    </w:p>
    <w:p w:rsidR="00742D2F" w:rsidRPr="00B6647E" w:rsidRDefault="00742D2F" w:rsidP="008235FD">
      <w:pPr>
        <w:pStyle w:val="Paragraphedeliste"/>
        <w:spacing w:after="0" w:line="240" w:lineRule="auto"/>
        <w:ind w:left="0"/>
        <w:rPr>
          <w:rFonts w:ascii="Arial" w:hAnsi="Arial" w:cs="Arial"/>
          <w:sz w:val="20"/>
          <w:szCs w:val="20"/>
          <w:lang w:val="fr-FR"/>
        </w:rPr>
      </w:pPr>
    </w:p>
    <w:p w:rsidR="00742D2F" w:rsidRPr="00B6647E" w:rsidRDefault="00742D2F" w:rsidP="008235FD">
      <w:pPr>
        <w:pStyle w:val="Paragraphedeliste"/>
        <w:spacing w:after="0" w:line="240" w:lineRule="auto"/>
        <w:ind w:left="0"/>
        <w:rPr>
          <w:rFonts w:ascii="Arial" w:hAnsi="Arial" w:cs="Arial"/>
          <w:sz w:val="20"/>
          <w:szCs w:val="20"/>
          <w:lang w:val="fr-FR"/>
        </w:rPr>
      </w:pPr>
    </w:p>
    <w:p w:rsidR="000552AE" w:rsidRPr="00B6647E" w:rsidRDefault="000552AE" w:rsidP="008235FD">
      <w:pPr>
        <w:pStyle w:val="Titre1"/>
        <w:keepNext w:val="0"/>
        <w:numPr>
          <w:ilvl w:val="0"/>
          <w:numId w:val="1"/>
        </w:numPr>
        <w:tabs>
          <w:tab w:val="num" w:pos="432"/>
        </w:tabs>
        <w:ind w:left="432" w:hanging="432"/>
        <w:rPr>
          <w:rFonts w:cs="Arial"/>
          <w:color w:val="365F91"/>
        </w:rPr>
      </w:pPr>
      <w:bookmarkStart w:id="44" w:name="_Toc354313826"/>
      <w:r w:rsidRPr="00B6647E">
        <w:rPr>
          <w:rFonts w:cs="Arial"/>
          <w:color w:val="365F91"/>
        </w:rPr>
        <w:t>Aperçu méthodologique</w:t>
      </w:r>
      <w:bookmarkEnd w:id="44"/>
    </w:p>
    <w:p w:rsidR="000552AE" w:rsidRPr="00B6647E" w:rsidRDefault="00DF50D8" w:rsidP="008235FD">
      <w:pPr>
        <w:spacing w:after="0" w:line="240" w:lineRule="auto"/>
        <w:rPr>
          <w:rFonts w:ascii="Arial" w:hAnsi="Arial" w:cs="Arial"/>
          <w:sz w:val="20"/>
          <w:szCs w:val="20"/>
        </w:rPr>
      </w:pPr>
      <w:r w:rsidRPr="00DF50D8">
        <w:rPr>
          <w:rFonts w:ascii="Arial" w:hAnsi="Arial" w:cs="Arial"/>
          <w:noProof/>
        </w:rPr>
        <w:pict>
          <v:shape id="_x0000_s1026" type="#_x0000_t32" style="position:absolute;margin-left:1.15pt;margin-top:4.8pt;width:453.55pt;height:0;z-index:25166028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4ufrAIAAJcFAAAOAAAAZHJzL2Uyb0RvYy54bWysVE2PmzAQvVfqf7B8Z4FACEFLVlkCvWzb&#10;lXarnh1sglWwke18rKr+945NQjfbS1UtB+SPmTdvZt749u7Ud+jAlOZS5Di8CTBiopaUi12Ovz1X&#10;XoqRNkRQ0knBcvzCNL5bffxwexwyNpOt7ChTCECEzo5Djltjhsz3dd2ynugbOTABl41UPTGwVTuf&#10;KnIE9L7zZ0GQ+Eep6KBkzbSG0814iVcOv2lYbb42jWYGdTkGbsb9lftv7d9f3ZJsp8jQ8vpMg/wH&#10;i55wAUEnqA0xBO0V/wuq57WSWjbmppa9L5uG18zlANmEwZtsnloyMJcLFEcPU5n0+8HWXw6PCnGa&#10;42WCkSA99Gi9N9KFRjNbn+OgMzArxKOyGdYn8TQ8yPqHRkIWLRE75oyfXwbwDa2Hf+ViN3qAKNvj&#10;Z0nBhgC+K9apUb2FhDKgk+vJy9QTdjKohsP5IgmCdI5RfbnzSXZxHJQ2n5jskV3kWBtF+K41hRQC&#10;Oi9V6MKQw4M2lhbJLg42qpAV7zongE6gY46jNAwC56Flx6m9tXZa7bZFp9CBgIaiZF4txyTh5rWZ&#10;kntBHVrLCC3Pa0N4N64heicsHnOyHCnB7mRg6c4hYyeZn8tgWaZlGnvxLCm9ONhsvHVVxF5ShYv5&#10;JtoUxSb8ZYmGcdZySpmwXC/yDeN/k8d5kEbhTQKequJfo7vyAdlrputqHiziKPUWi3nkxVEZePdp&#10;VXjrIkySRXlf3JdvmJYue/0+ZKdSWlZyb5h6aukRUW7VMEujJbw+lMO4R2mQBMsFRqTbwTtVG4WR&#10;kuY7N60Tr5Wdxbjq9SyOqmQ8J93QklEB8wA+p/LJ3NVmCj9W6tJku5vadE7+Ty1BFBcBuKGxczJO&#10;3FbSl0d1GSaYfud0fqns8/J6D+vX7+nqNwAAAP//AwBQSwMEFAAGAAgAAAAhABLqZCjcAAAABQEA&#10;AA8AAABkcnMvZG93bnJldi54bWxMjlFLwzAUhd+F/YdwB76ISzdLWWvTMRRxDBGs/oC0uTbF5qY0&#10;Wdv564170cfDOXzny3ez6diIg2stCVivImBItVUtNQI+3p9ut8Ccl6RkZwkFnNHBrlhc5TJTdqI3&#10;HEvfsAAhl0kB2vs+49zVGo10K9sjhe7TDkb6EIeGq0FOAW46vomihBvZUnjQsscHjfVXeTICpjE5&#10;vtxs+fx9fC3PTRUfHvVzLMT1ct7fA/M4+78x/OoHdSiCU2VPpBzrBGzuwlBAmgALbRqlMbDqknmR&#10;8//2xQ8AAAD//wMAUEsBAi0AFAAGAAgAAAAhALaDOJL+AAAA4QEAABMAAAAAAAAAAAAAAAAAAAAA&#10;AFtDb250ZW50X1R5cGVzXS54bWxQSwECLQAUAAYACAAAACEAOP0h/9YAAACUAQAACwAAAAAAAAAA&#10;AAAAAAAvAQAAX3JlbHMvLnJlbHNQSwECLQAUAAYACAAAACEAJvOLn6wCAACXBQAADgAAAAAAAAAA&#10;AAAAAAAuAgAAZHJzL2Uyb0RvYy54bWxQSwECLQAUAAYACAAAACEAEupkKNwAAAAFAQAADwAAAAAA&#10;AAAAAAAAAAAGBQAAZHJzL2Rvd25yZXYueG1sUEsFBgAAAAAEAAQA8wAAAA8GAAAAAA==&#10;" strokecolor="#365f91" strokeweight="3pt">
            <v:shadow color="#243f60" opacity=".5" offset="1pt"/>
          </v:shape>
        </w:pict>
      </w:r>
    </w:p>
    <w:p w:rsidR="00940AC8" w:rsidRPr="00B6647E" w:rsidRDefault="00940AC8" w:rsidP="00473A6F">
      <w:pPr>
        <w:pStyle w:val="Titre2"/>
        <w:keepNext w:val="0"/>
        <w:numPr>
          <w:ilvl w:val="1"/>
          <w:numId w:val="1"/>
        </w:numPr>
        <w:spacing w:before="240" w:after="200"/>
        <w:ind w:left="0" w:firstLine="0"/>
        <w:rPr>
          <w:rFonts w:cs="Arial"/>
          <w:u w:val="dotDash"/>
        </w:rPr>
      </w:pPr>
      <w:bookmarkStart w:id="45" w:name="_Toc336692110"/>
      <w:bookmarkStart w:id="46" w:name="_Toc354313827"/>
      <w:r w:rsidRPr="00B6647E">
        <w:rPr>
          <w:rFonts w:cs="Arial"/>
          <w:u w:val="dotDash"/>
        </w:rPr>
        <w:t>Objectifs de l’enquête</w:t>
      </w:r>
      <w:bookmarkEnd w:id="45"/>
      <w:bookmarkEnd w:id="46"/>
    </w:p>
    <w:p w:rsidR="00940AC8" w:rsidRPr="00B6647E" w:rsidRDefault="00940AC8" w:rsidP="008235FD">
      <w:pPr>
        <w:spacing w:line="240" w:lineRule="auto"/>
        <w:jc w:val="both"/>
        <w:rPr>
          <w:rFonts w:ascii="Arial" w:hAnsi="Arial" w:cs="Arial"/>
          <w:sz w:val="20"/>
          <w:szCs w:val="20"/>
        </w:rPr>
      </w:pPr>
      <w:r w:rsidRPr="00B6647E">
        <w:rPr>
          <w:rFonts w:ascii="Arial" w:hAnsi="Arial" w:cs="Arial"/>
          <w:sz w:val="20"/>
          <w:szCs w:val="20"/>
        </w:rPr>
        <w:t xml:space="preserve">Malgré la place prépondérante du secteur agricole dans l'économie du Burundi, l'information statistique de base sur ce secteur est particulièrement déficiente. Le Burundi n’a jamais réalisé un Recensement Général de l’Agriculture et de ce fait ne dispose </w:t>
      </w:r>
      <w:r w:rsidRPr="00B6647E">
        <w:rPr>
          <w:rFonts w:ascii="Arial" w:hAnsi="Arial" w:cs="Arial"/>
          <w:spacing w:val="-2"/>
          <w:sz w:val="20"/>
          <w:szCs w:val="20"/>
        </w:rPr>
        <w:t xml:space="preserve">pas d'une véritable base de sondage actualisée. Cette carence est un obstacle majeur à la réalisation d'enquêtes annuelles sur le secteur </w:t>
      </w:r>
      <w:r w:rsidRPr="00B6647E">
        <w:rPr>
          <w:rFonts w:ascii="Arial" w:hAnsi="Arial" w:cs="Arial"/>
          <w:spacing w:val="-3"/>
          <w:sz w:val="20"/>
          <w:szCs w:val="20"/>
        </w:rPr>
        <w:t>agricole</w:t>
      </w:r>
      <w:r w:rsidRPr="00B6647E">
        <w:rPr>
          <w:rFonts w:ascii="Arial" w:hAnsi="Arial" w:cs="Arial"/>
          <w:spacing w:val="-2"/>
          <w:sz w:val="20"/>
          <w:szCs w:val="20"/>
        </w:rPr>
        <w:t>. L</w:t>
      </w:r>
      <w:r w:rsidRPr="00B6647E">
        <w:rPr>
          <w:rFonts w:ascii="Arial" w:hAnsi="Arial" w:cs="Arial"/>
          <w:sz w:val="20"/>
          <w:szCs w:val="20"/>
        </w:rPr>
        <w:t xml:space="preserve">es statistiques disponibles, ne sont pas toujours actualisées, sont souvent incomplètes et de fiabilité insuffisante. Il est évident que cette situation est préjudiciable à toute prise de décision dans l’ensemble du secteur agricole et de l’élevage. C’est pourquoi, il s’est avéré indispensable au stade actuel de procéder à la réalisation </w:t>
      </w:r>
      <w:r w:rsidRPr="00B6647E">
        <w:rPr>
          <w:rFonts w:ascii="Arial" w:hAnsi="Arial" w:cs="Arial"/>
          <w:bCs/>
          <w:sz w:val="20"/>
          <w:szCs w:val="20"/>
        </w:rPr>
        <w:t>de l’Enquête Nationale Agricole du Burundi (ENAB) afin de permettre au</w:t>
      </w:r>
      <w:r w:rsidRPr="00B6647E">
        <w:rPr>
          <w:rFonts w:ascii="Arial" w:hAnsi="Arial" w:cs="Arial"/>
          <w:spacing w:val="-2"/>
          <w:sz w:val="20"/>
          <w:szCs w:val="20"/>
        </w:rPr>
        <w:t xml:space="preserve"> Gouvernement et aux autres utilisateurs</w:t>
      </w:r>
      <w:r w:rsidRPr="00B6647E">
        <w:rPr>
          <w:rFonts w:ascii="Arial" w:hAnsi="Arial" w:cs="Arial"/>
          <w:bCs/>
          <w:sz w:val="20"/>
          <w:szCs w:val="20"/>
        </w:rPr>
        <w:t xml:space="preserve"> de disposer des</w:t>
      </w:r>
      <w:r w:rsidRPr="00B6647E">
        <w:rPr>
          <w:rFonts w:ascii="Arial" w:hAnsi="Arial" w:cs="Arial"/>
          <w:spacing w:val="-2"/>
          <w:sz w:val="20"/>
          <w:szCs w:val="20"/>
        </w:rPr>
        <w:t xml:space="preserve"> données statistiques fiables et à jour </w:t>
      </w:r>
      <w:r w:rsidRPr="00B6647E">
        <w:rPr>
          <w:rFonts w:ascii="Arial" w:hAnsi="Arial" w:cs="Arial"/>
          <w:sz w:val="20"/>
          <w:szCs w:val="20"/>
        </w:rPr>
        <w:t xml:space="preserve">sur l’agriculture du pays. </w:t>
      </w:r>
    </w:p>
    <w:p w:rsidR="00940AC8" w:rsidRPr="00B6647E" w:rsidRDefault="00940AC8" w:rsidP="008235FD">
      <w:pPr>
        <w:spacing w:line="240" w:lineRule="auto"/>
        <w:jc w:val="both"/>
        <w:rPr>
          <w:rFonts w:ascii="Arial" w:hAnsi="Arial" w:cs="Arial"/>
          <w:spacing w:val="-2"/>
          <w:sz w:val="20"/>
          <w:szCs w:val="20"/>
        </w:rPr>
      </w:pPr>
      <w:r w:rsidRPr="00B6647E">
        <w:rPr>
          <w:rFonts w:ascii="Arial" w:hAnsi="Arial" w:cs="Arial"/>
          <w:sz w:val="20"/>
          <w:szCs w:val="20"/>
        </w:rPr>
        <w:t xml:space="preserve">Les principales attentes de cette enquête sont </w:t>
      </w:r>
      <w:r w:rsidRPr="00B6647E">
        <w:rPr>
          <w:rFonts w:ascii="Arial" w:hAnsi="Arial" w:cs="Arial"/>
          <w:spacing w:val="-2"/>
          <w:sz w:val="20"/>
          <w:szCs w:val="20"/>
        </w:rPr>
        <w:t>l’obtention: i) des données permettant de réaliser des typologies (taille, composition ménages, spéculations avec surface par exploitation, etc.) et de lancer des exercices de prospective agricole qui serviront d’input pour la planification des politiques et programmes agricoles;  ii) des données sur les rendements et la production.</w:t>
      </w:r>
    </w:p>
    <w:p w:rsidR="0001775F" w:rsidRPr="00B6647E" w:rsidRDefault="0001775F" w:rsidP="008235FD">
      <w:pPr>
        <w:spacing w:line="240" w:lineRule="auto"/>
        <w:jc w:val="both"/>
        <w:rPr>
          <w:rFonts w:ascii="Arial" w:hAnsi="Arial" w:cs="Arial"/>
          <w:spacing w:val="-2"/>
          <w:sz w:val="20"/>
          <w:szCs w:val="20"/>
        </w:rPr>
      </w:pPr>
      <w:r w:rsidRPr="00B6647E">
        <w:rPr>
          <w:rFonts w:ascii="Arial" w:hAnsi="Arial" w:cs="Arial"/>
          <w:spacing w:val="-2"/>
          <w:sz w:val="20"/>
          <w:szCs w:val="20"/>
        </w:rPr>
        <w:t>Il faut bien noter que l’ENAB ne prend pas en compte les grosses exploitations de type agrobusiness,  les filières exports (café, thé,..)</w:t>
      </w:r>
      <w:r w:rsidR="006A13A7" w:rsidRPr="00B6647E">
        <w:rPr>
          <w:rFonts w:ascii="Arial" w:hAnsi="Arial" w:cs="Arial"/>
          <w:spacing w:val="-2"/>
          <w:sz w:val="20"/>
          <w:szCs w:val="20"/>
        </w:rPr>
        <w:t xml:space="preserve"> et les fermes d’élevage</w:t>
      </w:r>
      <w:r w:rsidRPr="00B6647E">
        <w:rPr>
          <w:rFonts w:ascii="Arial" w:hAnsi="Arial" w:cs="Arial"/>
          <w:spacing w:val="-2"/>
          <w:sz w:val="20"/>
          <w:szCs w:val="20"/>
        </w:rPr>
        <w:t>. L</w:t>
      </w:r>
      <w:r w:rsidR="006A13A7" w:rsidRPr="00B6647E">
        <w:rPr>
          <w:rFonts w:ascii="Arial" w:hAnsi="Arial" w:cs="Arial"/>
          <w:spacing w:val="-2"/>
          <w:sz w:val="20"/>
          <w:szCs w:val="20"/>
        </w:rPr>
        <w:t xml:space="preserve">’obtention de ces informations </w:t>
      </w:r>
      <w:r w:rsidRPr="00B6647E">
        <w:rPr>
          <w:rFonts w:ascii="Arial" w:hAnsi="Arial" w:cs="Arial"/>
          <w:spacing w:val="-2"/>
          <w:sz w:val="20"/>
          <w:szCs w:val="20"/>
        </w:rPr>
        <w:t xml:space="preserve"> n’exige pas une enquête particulière, il suffira à l’ISTEEBU</w:t>
      </w:r>
      <w:r w:rsidR="006A13A7" w:rsidRPr="00B6647E">
        <w:rPr>
          <w:rFonts w:ascii="Arial" w:hAnsi="Arial" w:cs="Arial"/>
          <w:spacing w:val="-2"/>
          <w:sz w:val="20"/>
          <w:szCs w:val="20"/>
        </w:rPr>
        <w:t xml:space="preserve"> et/ou au MINAGRIE de compiler l</w:t>
      </w:r>
      <w:r w:rsidRPr="00B6647E">
        <w:rPr>
          <w:rFonts w:ascii="Arial" w:hAnsi="Arial" w:cs="Arial"/>
          <w:spacing w:val="-2"/>
          <w:sz w:val="20"/>
          <w:szCs w:val="20"/>
        </w:rPr>
        <w:t>es données</w:t>
      </w:r>
      <w:r w:rsidR="006A13A7" w:rsidRPr="00B6647E">
        <w:rPr>
          <w:rFonts w:ascii="Arial" w:hAnsi="Arial" w:cs="Arial"/>
          <w:spacing w:val="-2"/>
          <w:sz w:val="20"/>
          <w:szCs w:val="20"/>
        </w:rPr>
        <w:t xml:space="preserve"> auprès des structures chargées de ces filières.</w:t>
      </w:r>
      <w:r w:rsidR="0088117D" w:rsidRPr="00B6647E">
        <w:rPr>
          <w:rFonts w:ascii="Arial" w:hAnsi="Arial" w:cs="Arial"/>
          <w:spacing w:val="-2"/>
          <w:sz w:val="20"/>
          <w:szCs w:val="20"/>
        </w:rPr>
        <w:t xml:space="preserve"> </w:t>
      </w:r>
      <w:r w:rsidR="00482C72" w:rsidRPr="00B6647E">
        <w:rPr>
          <w:rFonts w:ascii="Arial" w:hAnsi="Arial" w:cs="Arial"/>
          <w:spacing w:val="-2"/>
          <w:sz w:val="20"/>
          <w:szCs w:val="20"/>
        </w:rPr>
        <w:t>Il en est de même du</w:t>
      </w:r>
      <w:r w:rsidR="0088117D" w:rsidRPr="00B6647E">
        <w:rPr>
          <w:rFonts w:ascii="Arial" w:hAnsi="Arial" w:cs="Arial"/>
          <w:spacing w:val="-2"/>
          <w:sz w:val="20"/>
          <w:szCs w:val="20"/>
        </w:rPr>
        <w:t xml:space="preserve"> volet maraich</w:t>
      </w:r>
      <w:r w:rsidR="00482C72" w:rsidRPr="00B6647E">
        <w:rPr>
          <w:rFonts w:ascii="Arial" w:hAnsi="Arial" w:cs="Arial"/>
          <w:spacing w:val="-2"/>
          <w:sz w:val="20"/>
          <w:szCs w:val="20"/>
        </w:rPr>
        <w:t>age</w:t>
      </w:r>
      <w:r w:rsidR="0088117D" w:rsidRPr="00B6647E">
        <w:rPr>
          <w:rFonts w:ascii="Arial" w:hAnsi="Arial" w:cs="Arial"/>
          <w:spacing w:val="-2"/>
          <w:sz w:val="20"/>
          <w:szCs w:val="20"/>
        </w:rPr>
        <w:t xml:space="preserve"> </w:t>
      </w:r>
      <w:r w:rsidR="00307A05" w:rsidRPr="00B6647E">
        <w:rPr>
          <w:rFonts w:ascii="Arial" w:hAnsi="Arial" w:cs="Arial"/>
          <w:spacing w:val="-2"/>
          <w:sz w:val="20"/>
          <w:szCs w:val="20"/>
        </w:rPr>
        <w:t>qui</w:t>
      </w:r>
      <w:r w:rsidR="0088117D" w:rsidRPr="00B6647E">
        <w:rPr>
          <w:rFonts w:ascii="Arial" w:hAnsi="Arial" w:cs="Arial"/>
          <w:spacing w:val="-2"/>
          <w:sz w:val="20"/>
          <w:szCs w:val="20"/>
        </w:rPr>
        <w:t xml:space="preserve"> demand</w:t>
      </w:r>
      <w:r w:rsidR="00307A05" w:rsidRPr="00B6647E">
        <w:rPr>
          <w:rFonts w:ascii="Arial" w:hAnsi="Arial" w:cs="Arial"/>
          <w:spacing w:val="-2"/>
          <w:sz w:val="20"/>
          <w:szCs w:val="20"/>
        </w:rPr>
        <w:t>e</w:t>
      </w:r>
      <w:r w:rsidR="0088117D" w:rsidRPr="00B6647E">
        <w:rPr>
          <w:rFonts w:ascii="Arial" w:hAnsi="Arial" w:cs="Arial"/>
          <w:spacing w:val="-2"/>
          <w:sz w:val="20"/>
          <w:szCs w:val="20"/>
        </w:rPr>
        <w:t xml:space="preserve"> une méthodologie de collecte différente de celle des cultures </w:t>
      </w:r>
      <w:r w:rsidR="00482C72" w:rsidRPr="00B6647E">
        <w:rPr>
          <w:rFonts w:ascii="Arial" w:hAnsi="Arial" w:cs="Arial"/>
          <w:spacing w:val="-2"/>
          <w:sz w:val="20"/>
          <w:szCs w:val="20"/>
        </w:rPr>
        <w:t>vivrières</w:t>
      </w:r>
      <w:r w:rsidR="00307A05" w:rsidRPr="00B6647E">
        <w:rPr>
          <w:rFonts w:ascii="Arial" w:hAnsi="Arial" w:cs="Arial"/>
          <w:spacing w:val="-2"/>
          <w:sz w:val="20"/>
          <w:szCs w:val="20"/>
        </w:rPr>
        <w:t xml:space="preserve"> adoptée dans</w:t>
      </w:r>
      <w:r w:rsidR="0088117D" w:rsidRPr="00B6647E">
        <w:rPr>
          <w:rFonts w:ascii="Arial" w:hAnsi="Arial" w:cs="Arial"/>
          <w:spacing w:val="-2"/>
          <w:sz w:val="20"/>
          <w:szCs w:val="20"/>
        </w:rPr>
        <w:t xml:space="preserve"> l’</w:t>
      </w:r>
      <w:r w:rsidR="00307A05" w:rsidRPr="00B6647E">
        <w:rPr>
          <w:rFonts w:ascii="Arial" w:hAnsi="Arial" w:cs="Arial"/>
          <w:spacing w:val="-2"/>
          <w:sz w:val="20"/>
          <w:szCs w:val="20"/>
        </w:rPr>
        <w:t>ENAB.</w:t>
      </w:r>
      <w:r w:rsidR="006A13A7" w:rsidRPr="00B6647E">
        <w:rPr>
          <w:rFonts w:ascii="Arial" w:hAnsi="Arial" w:cs="Arial"/>
          <w:spacing w:val="-2"/>
          <w:sz w:val="20"/>
          <w:szCs w:val="20"/>
        </w:rPr>
        <w:t xml:space="preserve"> </w:t>
      </w:r>
    </w:p>
    <w:p w:rsidR="00940AC8" w:rsidRPr="00B6647E" w:rsidRDefault="00DB0762" w:rsidP="008235FD">
      <w:pPr>
        <w:pStyle w:val="retrait1"/>
        <w:numPr>
          <w:ilvl w:val="0"/>
          <w:numId w:val="0"/>
        </w:numPr>
        <w:spacing w:before="0" w:after="0" w:line="240" w:lineRule="auto"/>
      </w:pPr>
      <w:r w:rsidRPr="00B6647E">
        <w:t>L</w:t>
      </w:r>
      <w:r w:rsidR="00940AC8" w:rsidRPr="00B6647E">
        <w:t xml:space="preserve">es données de ce document concernent </w:t>
      </w:r>
      <w:r w:rsidRPr="00B6647E">
        <w:t>toute la campagne agricole 2011-2012 (les trois saisons)</w:t>
      </w:r>
      <w:r w:rsidR="00940AC8" w:rsidRPr="00B6647E">
        <w:t>. Le</w:t>
      </w:r>
      <w:r w:rsidRPr="00B6647E">
        <w:t>s r</w:t>
      </w:r>
      <w:r w:rsidR="00940AC8" w:rsidRPr="00B6647E">
        <w:t>apport</w:t>
      </w:r>
      <w:r w:rsidRPr="00B6647E">
        <w:t>s des trois saisons sont</w:t>
      </w:r>
      <w:r w:rsidR="00940AC8" w:rsidRPr="00B6647E">
        <w:t xml:space="preserve"> déjà disponible</w:t>
      </w:r>
      <w:r w:rsidRPr="00B6647E">
        <w:t>s</w:t>
      </w:r>
      <w:r w:rsidR="00940AC8" w:rsidRPr="00B6647E">
        <w:t xml:space="preserve"> auprès de l’ISTEEBU et de la DSIA/MINAGRIE </w:t>
      </w:r>
    </w:p>
    <w:p w:rsidR="00940AC8" w:rsidRPr="00B6647E" w:rsidRDefault="00940AC8" w:rsidP="00473A6F">
      <w:pPr>
        <w:pStyle w:val="Titre2"/>
        <w:keepNext w:val="0"/>
        <w:numPr>
          <w:ilvl w:val="1"/>
          <w:numId w:val="1"/>
        </w:numPr>
        <w:spacing w:before="240" w:after="200"/>
        <w:ind w:left="0" w:firstLine="0"/>
        <w:rPr>
          <w:rFonts w:cs="Arial"/>
          <w:u w:val="dotDash"/>
        </w:rPr>
      </w:pPr>
      <w:r w:rsidRPr="00B6647E">
        <w:rPr>
          <w:rFonts w:cs="Arial"/>
          <w:u w:val="dotDash"/>
        </w:rPr>
        <w:t xml:space="preserve"> </w:t>
      </w:r>
      <w:bookmarkStart w:id="47" w:name="_Toc336692111"/>
      <w:bookmarkStart w:id="48" w:name="_Toc354313828"/>
      <w:r w:rsidRPr="00B6647E">
        <w:rPr>
          <w:rFonts w:cs="Arial"/>
          <w:u w:val="dotDash"/>
        </w:rPr>
        <w:t>Plan de sondage</w:t>
      </w:r>
      <w:bookmarkEnd w:id="47"/>
      <w:bookmarkEnd w:id="48"/>
    </w:p>
    <w:p w:rsidR="00940AC8" w:rsidRPr="00B6647E" w:rsidRDefault="00940AC8" w:rsidP="008235FD">
      <w:pPr>
        <w:spacing w:line="240" w:lineRule="auto"/>
        <w:jc w:val="both"/>
        <w:rPr>
          <w:rFonts w:ascii="Arial" w:hAnsi="Arial" w:cs="Arial"/>
          <w:sz w:val="20"/>
          <w:szCs w:val="20"/>
        </w:rPr>
      </w:pPr>
      <w:r w:rsidRPr="00B6647E">
        <w:rPr>
          <w:rFonts w:ascii="Arial" w:hAnsi="Arial" w:cs="Arial"/>
          <w:sz w:val="20"/>
          <w:szCs w:val="20"/>
        </w:rPr>
        <w:t>L</w:t>
      </w:r>
      <w:r w:rsidR="007C1B09" w:rsidRPr="00B6647E">
        <w:rPr>
          <w:rFonts w:ascii="Arial" w:hAnsi="Arial" w:cs="Arial"/>
          <w:sz w:val="20"/>
          <w:szCs w:val="20"/>
        </w:rPr>
        <w:t xml:space="preserve">e plan de sondage est </w:t>
      </w:r>
      <w:r w:rsidRPr="00B6647E">
        <w:rPr>
          <w:rFonts w:ascii="Arial" w:hAnsi="Arial" w:cs="Arial"/>
          <w:sz w:val="20"/>
          <w:szCs w:val="20"/>
        </w:rPr>
        <w:t xml:space="preserve">exactement le même </w:t>
      </w:r>
      <w:r w:rsidR="007C1B09" w:rsidRPr="00B6647E">
        <w:rPr>
          <w:rFonts w:ascii="Arial" w:hAnsi="Arial" w:cs="Arial"/>
          <w:sz w:val="20"/>
          <w:szCs w:val="20"/>
        </w:rPr>
        <w:t>pour les trois saisons</w:t>
      </w:r>
      <w:r w:rsidR="006024C0" w:rsidRPr="00B6647E">
        <w:rPr>
          <w:rFonts w:ascii="Arial" w:hAnsi="Arial" w:cs="Arial"/>
          <w:sz w:val="20"/>
          <w:szCs w:val="20"/>
        </w:rPr>
        <w:t xml:space="preserve"> avec toutefois des </w:t>
      </w:r>
      <w:r w:rsidR="002E122C" w:rsidRPr="00B6647E">
        <w:rPr>
          <w:rFonts w:ascii="Arial" w:hAnsi="Arial" w:cs="Arial"/>
          <w:sz w:val="20"/>
          <w:szCs w:val="20"/>
        </w:rPr>
        <w:t>remplacements</w:t>
      </w:r>
      <w:r w:rsidR="006024C0" w:rsidRPr="00B6647E">
        <w:rPr>
          <w:rFonts w:ascii="Arial" w:hAnsi="Arial" w:cs="Arial"/>
          <w:sz w:val="20"/>
          <w:szCs w:val="20"/>
        </w:rPr>
        <w:t xml:space="preserve"> de ménages non joignables ou défaillants</w:t>
      </w:r>
      <w:r w:rsidR="002E122C" w:rsidRPr="00B6647E">
        <w:rPr>
          <w:rFonts w:ascii="Arial" w:hAnsi="Arial" w:cs="Arial"/>
          <w:sz w:val="20"/>
          <w:szCs w:val="20"/>
        </w:rPr>
        <w:t> : Saison A (2,3%), saison B (2,6%), saison C (2,8%). Un taux de non réponse très faible a été enregistré uniquement pendant la saison C (seulement 3 ménages, soit 0,1%)</w:t>
      </w:r>
      <w:r w:rsidRPr="00B6647E">
        <w:rPr>
          <w:rFonts w:ascii="Arial" w:hAnsi="Arial" w:cs="Arial"/>
          <w:sz w:val="20"/>
          <w:szCs w:val="20"/>
        </w:rPr>
        <w:t xml:space="preserve">. </w:t>
      </w:r>
      <w:r w:rsidR="002E122C" w:rsidRPr="00B6647E">
        <w:rPr>
          <w:rFonts w:ascii="Arial" w:hAnsi="Arial" w:cs="Arial"/>
          <w:sz w:val="20"/>
          <w:szCs w:val="20"/>
        </w:rPr>
        <w:t>Le plan de sondage</w:t>
      </w:r>
      <w:r w:rsidRPr="00B6647E">
        <w:rPr>
          <w:rFonts w:ascii="Arial" w:hAnsi="Arial" w:cs="Arial"/>
          <w:sz w:val="20"/>
          <w:szCs w:val="20"/>
        </w:rPr>
        <w:t xml:space="preserve"> est décrit dans les paragraphes suivants.</w:t>
      </w:r>
    </w:p>
    <w:p w:rsidR="00940AC8" w:rsidRPr="00B6647E" w:rsidRDefault="00940AC8" w:rsidP="00A65E41">
      <w:pPr>
        <w:pStyle w:val="Titre3"/>
        <w:keepNext w:val="0"/>
        <w:numPr>
          <w:ilvl w:val="2"/>
          <w:numId w:val="1"/>
        </w:numPr>
        <w:spacing w:before="200" w:after="120"/>
        <w:ind w:left="0" w:firstLine="0"/>
        <w:rPr>
          <w:rFonts w:cs="Arial"/>
          <w:szCs w:val="20"/>
        </w:rPr>
      </w:pPr>
      <w:bookmarkStart w:id="49" w:name="_Toc336692112"/>
      <w:bookmarkStart w:id="50" w:name="_Toc354313829"/>
      <w:r w:rsidRPr="00B6647E">
        <w:rPr>
          <w:rFonts w:cs="Arial"/>
          <w:szCs w:val="20"/>
        </w:rPr>
        <w:t>Structure de l’échantillon et bases de sondage</w:t>
      </w:r>
      <w:bookmarkEnd w:id="49"/>
      <w:bookmarkEnd w:id="50"/>
    </w:p>
    <w:p w:rsidR="00940AC8" w:rsidRPr="00B6647E" w:rsidRDefault="00940AC8" w:rsidP="008235FD">
      <w:pPr>
        <w:spacing w:line="240" w:lineRule="auto"/>
        <w:jc w:val="both"/>
        <w:rPr>
          <w:rFonts w:ascii="Arial" w:hAnsi="Arial" w:cs="Arial"/>
          <w:sz w:val="20"/>
          <w:szCs w:val="20"/>
        </w:rPr>
      </w:pPr>
      <w:r w:rsidRPr="00B6647E">
        <w:rPr>
          <w:rFonts w:ascii="Arial" w:hAnsi="Arial" w:cs="Arial"/>
          <w:sz w:val="20"/>
          <w:szCs w:val="20"/>
        </w:rPr>
        <w:t>C’est une enquête par sondage à deux degrés :</w:t>
      </w:r>
    </w:p>
    <w:p w:rsidR="00940AC8" w:rsidRPr="00B6647E" w:rsidRDefault="00940AC8" w:rsidP="008235FD">
      <w:pPr>
        <w:spacing w:line="240" w:lineRule="auto"/>
        <w:jc w:val="both"/>
        <w:rPr>
          <w:rFonts w:ascii="Arial" w:hAnsi="Arial" w:cs="Arial"/>
          <w:bCs/>
          <w:i/>
          <w:sz w:val="20"/>
          <w:szCs w:val="20"/>
        </w:rPr>
      </w:pPr>
      <w:r w:rsidRPr="00B6647E">
        <w:rPr>
          <w:rFonts w:ascii="Arial" w:hAnsi="Arial" w:cs="Arial"/>
          <w:bCs/>
          <w:i/>
          <w:sz w:val="20"/>
          <w:szCs w:val="20"/>
        </w:rPr>
        <w:t>Premier degré </w:t>
      </w:r>
    </w:p>
    <w:p w:rsidR="00940AC8" w:rsidRPr="00B6647E" w:rsidRDefault="00940AC8" w:rsidP="008D536E">
      <w:pPr>
        <w:pStyle w:val="Paragraphedeliste"/>
        <w:numPr>
          <w:ilvl w:val="0"/>
          <w:numId w:val="7"/>
        </w:numPr>
        <w:spacing w:after="0" w:line="240" w:lineRule="auto"/>
        <w:jc w:val="both"/>
        <w:rPr>
          <w:rFonts w:ascii="Arial" w:hAnsi="Arial" w:cs="Arial"/>
          <w:sz w:val="20"/>
          <w:szCs w:val="20"/>
        </w:rPr>
      </w:pPr>
      <w:r w:rsidRPr="00B6647E">
        <w:rPr>
          <w:rFonts w:ascii="Arial" w:hAnsi="Arial" w:cs="Arial"/>
          <w:bCs/>
          <w:iCs/>
          <w:sz w:val="20"/>
          <w:szCs w:val="20"/>
        </w:rPr>
        <w:t>Base de sondage :</w:t>
      </w:r>
      <w:r w:rsidRPr="00B6647E">
        <w:rPr>
          <w:rFonts w:ascii="Arial" w:hAnsi="Arial" w:cs="Arial"/>
          <w:sz w:val="20"/>
          <w:szCs w:val="20"/>
        </w:rPr>
        <w:t xml:space="preserve"> ensemble des zones de dénombrement (ZD) du RGPH 2008.</w:t>
      </w:r>
    </w:p>
    <w:p w:rsidR="00940AC8" w:rsidRPr="00B6647E" w:rsidRDefault="00940AC8" w:rsidP="008D536E">
      <w:pPr>
        <w:pStyle w:val="Paragraphedeliste"/>
        <w:numPr>
          <w:ilvl w:val="0"/>
          <w:numId w:val="7"/>
        </w:numPr>
        <w:spacing w:after="0" w:line="240" w:lineRule="auto"/>
        <w:jc w:val="both"/>
        <w:rPr>
          <w:rFonts w:ascii="Arial" w:hAnsi="Arial" w:cs="Arial"/>
          <w:sz w:val="20"/>
          <w:szCs w:val="20"/>
        </w:rPr>
      </w:pPr>
      <w:r w:rsidRPr="00B6647E">
        <w:rPr>
          <w:rFonts w:ascii="Arial" w:hAnsi="Arial" w:cs="Arial"/>
          <w:bCs/>
          <w:iCs/>
          <w:sz w:val="20"/>
          <w:szCs w:val="20"/>
        </w:rPr>
        <w:t>Unité de sondage :</w:t>
      </w:r>
      <w:r w:rsidRPr="00B6647E">
        <w:rPr>
          <w:rFonts w:ascii="Arial" w:hAnsi="Arial" w:cs="Arial"/>
          <w:sz w:val="20"/>
          <w:szCs w:val="20"/>
        </w:rPr>
        <w:t xml:space="preserve"> l’unité primaire (UP) de sondage est la ZD du RGPH 2008.</w:t>
      </w:r>
    </w:p>
    <w:p w:rsidR="00940AC8" w:rsidRPr="00B6647E" w:rsidRDefault="00940AC8" w:rsidP="008D536E">
      <w:pPr>
        <w:pStyle w:val="Corpsdetexte"/>
        <w:numPr>
          <w:ilvl w:val="0"/>
          <w:numId w:val="7"/>
        </w:numPr>
        <w:tabs>
          <w:tab w:val="left" w:pos="1068"/>
        </w:tabs>
        <w:rPr>
          <w:rFonts w:cs="Arial"/>
          <w:sz w:val="20"/>
          <w:lang w:val="fr-FR"/>
        </w:rPr>
      </w:pPr>
      <w:r w:rsidRPr="00B6647E">
        <w:rPr>
          <w:rFonts w:cs="Arial"/>
          <w:bCs/>
          <w:iCs/>
          <w:sz w:val="20"/>
          <w:lang w:val="fr-BE"/>
        </w:rPr>
        <w:t xml:space="preserve">Tirage : dans </w:t>
      </w:r>
      <w:r w:rsidRPr="00B6647E">
        <w:rPr>
          <w:rFonts w:cs="Arial"/>
          <w:sz w:val="20"/>
          <w:lang w:val="fr-FR"/>
        </w:rPr>
        <w:t xml:space="preserve">chaque province, on a procédé aléatoirement au tirage des UP à probabilités inégales sans remise selon leur taille égale au nombre de ménages du RGPH 2008. Le tirage des 320 UP s’est donc effectué indépendamment dans chacune des 16 provinces (Bujumbura mairie non comprise) à raison de 20 ZD par province. </w:t>
      </w:r>
    </w:p>
    <w:p w:rsidR="00940AC8" w:rsidRPr="00B6647E" w:rsidRDefault="00940AC8" w:rsidP="008235FD">
      <w:pPr>
        <w:spacing w:line="240" w:lineRule="auto"/>
        <w:jc w:val="both"/>
        <w:rPr>
          <w:rFonts w:ascii="Arial" w:hAnsi="Arial" w:cs="Arial"/>
          <w:bCs/>
          <w:i/>
          <w:sz w:val="20"/>
          <w:szCs w:val="20"/>
        </w:rPr>
      </w:pPr>
      <w:r w:rsidRPr="00B6647E">
        <w:rPr>
          <w:rFonts w:ascii="Arial" w:hAnsi="Arial" w:cs="Arial"/>
          <w:bCs/>
          <w:i/>
          <w:sz w:val="20"/>
          <w:szCs w:val="20"/>
        </w:rPr>
        <w:t>Deuxième degré :</w:t>
      </w:r>
    </w:p>
    <w:p w:rsidR="00940AC8" w:rsidRPr="00B6647E" w:rsidRDefault="00940AC8" w:rsidP="008D536E">
      <w:pPr>
        <w:pStyle w:val="Paragraphedeliste"/>
        <w:numPr>
          <w:ilvl w:val="0"/>
          <w:numId w:val="7"/>
        </w:numPr>
        <w:spacing w:after="0" w:line="240" w:lineRule="auto"/>
        <w:jc w:val="both"/>
        <w:rPr>
          <w:rFonts w:ascii="Arial" w:hAnsi="Arial" w:cs="Arial"/>
          <w:sz w:val="20"/>
          <w:szCs w:val="20"/>
        </w:rPr>
      </w:pPr>
      <w:r w:rsidRPr="00B6647E">
        <w:rPr>
          <w:rFonts w:ascii="Arial" w:hAnsi="Arial" w:cs="Arial"/>
          <w:sz w:val="20"/>
          <w:szCs w:val="20"/>
        </w:rPr>
        <w:t>Base de sondage : constituée de la liste des ménages établie lors de l’opération de dénombrement dans chaque UP échantillon, juste avant l’enquête.</w:t>
      </w:r>
    </w:p>
    <w:p w:rsidR="00940AC8" w:rsidRPr="00B6647E" w:rsidRDefault="00940AC8" w:rsidP="008D536E">
      <w:pPr>
        <w:pStyle w:val="Paragraphedeliste"/>
        <w:numPr>
          <w:ilvl w:val="0"/>
          <w:numId w:val="7"/>
        </w:numPr>
        <w:spacing w:after="0" w:line="240" w:lineRule="auto"/>
        <w:jc w:val="both"/>
        <w:rPr>
          <w:rFonts w:ascii="Arial" w:hAnsi="Arial" w:cs="Arial"/>
          <w:sz w:val="20"/>
          <w:szCs w:val="20"/>
        </w:rPr>
      </w:pPr>
      <w:r w:rsidRPr="00B6647E">
        <w:rPr>
          <w:rFonts w:ascii="Arial" w:hAnsi="Arial" w:cs="Arial"/>
          <w:bCs/>
          <w:iCs/>
          <w:sz w:val="20"/>
          <w:szCs w:val="20"/>
        </w:rPr>
        <w:t>Unité de sondage </w:t>
      </w:r>
      <w:r w:rsidRPr="00B6647E">
        <w:rPr>
          <w:rFonts w:ascii="Arial" w:hAnsi="Arial" w:cs="Arial"/>
          <w:bCs/>
          <w:sz w:val="20"/>
          <w:szCs w:val="20"/>
        </w:rPr>
        <w:t>:</w:t>
      </w:r>
      <w:r w:rsidRPr="00B6647E">
        <w:rPr>
          <w:rFonts w:ascii="Arial" w:hAnsi="Arial" w:cs="Arial"/>
          <w:sz w:val="20"/>
          <w:szCs w:val="20"/>
        </w:rPr>
        <w:t xml:space="preserve"> l’unité secondaire (US) est le ménage.</w:t>
      </w:r>
    </w:p>
    <w:p w:rsidR="00940AC8" w:rsidRPr="00B6647E" w:rsidRDefault="00940AC8" w:rsidP="008D536E">
      <w:pPr>
        <w:pStyle w:val="Paragraphedeliste"/>
        <w:numPr>
          <w:ilvl w:val="0"/>
          <w:numId w:val="7"/>
        </w:numPr>
        <w:tabs>
          <w:tab w:val="left" w:pos="1068"/>
        </w:tabs>
        <w:spacing w:after="0" w:line="240" w:lineRule="auto"/>
        <w:jc w:val="both"/>
        <w:rPr>
          <w:rFonts w:ascii="Arial" w:hAnsi="Arial" w:cs="Arial"/>
          <w:sz w:val="20"/>
          <w:szCs w:val="20"/>
        </w:rPr>
      </w:pPr>
      <w:r w:rsidRPr="00B6647E">
        <w:rPr>
          <w:rFonts w:ascii="Arial" w:hAnsi="Arial" w:cs="Arial"/>
          <w:bCs/>
          <w:iCs/>
          <w:sz w:val="20"/>
          <w:szCs w:val="20"/>
        </w:rPr>
        <w:t xml:space="preserve">Tirage : </w:t>
      </w:r>
      <w:r w:rsidRPr="00B6647E">
        <w:rPr>
          <w:rFonts w:ascii="Arial" w:hAnsi="Arial" w:cs="Arial"/>
          <w:sz w:val="20"/>
          <w:szCs w:val="20"/>
        </w:rPr>
        <w:t>réalisé sur le terrain après énumération des ménages dans chaque ZD. Le contrôleur a procédé au tirage aléatoire de 10 ménages dans chaque ZD suivant la méthode de tirage systématique à probabilité égale; le questionnaire est administré à 8 ménages, tandis que les 2 autres sont réservés comme ménages de remplacement.</w:t>
      </w:r>
    </w:p>
    <w:p w:rsidR="00FB15C5" w:rsidRPr="00B6647E" w:rsidRDefault="00FB15C5" w:rsidP="00FB15C5">
      <w:pPr>
        <w:tabs>
          <w:tab w:val="left" w:pos="1068"/>
        </w:tabs>
        <w:spacing w:after="0" w:line="240" w:lineRule="auto"/>
        <w:jc w:val="both"/>
        <w:rPr>
          <w:rFonts w:ascii="Arial" w:hAnsi="Arial" w:cs="Arial"/>
          <w:sz w:val="20"/>
          <w:szCs w:val="20"/>
        </w:rPr>
      </w:pPr>
    </w:p>
    <w:p w:rsidR="00FB15C5" w:rsidRPr="00B6647E" w:rsidRDefault="00FB15C5" w:rsidP="00FB15C5">
      <w:pPr>
        <w:tabs>
          <w:tab w:val="left" w:pos="1068"/>
        </w:tabs>
        <w:spacing w:after="0" w:line="240" w:lineRule="auto"/>
        <w:jc w:val="both"/>
        <w:rPr>
          <w:rFonts w:ascii="Arial" w:hAnsi="Arial" w:cs="Arial"/>
          <w:sz w:val="20"/>
          <w:szCs w:val="20"/>
        </w:rPr>
      </w:pPr>
    </w:p>
    <w:p w:rsidR="00940AC8" w:rsidRPr="00B6647E" w:rsidRDefault="00940AC8" w:rsidP="00A65E41">
      <w:pPr>
        <w:pStyle w:val="Titre3"/>
        <w:keepNext w:val="0"/>
        <w:numPr>
          <w:ilvl w:val="2"/>
          <w:numId w:val="1"/>
        </w:numPr>
        <w:spacing w:before="200" w:after="120"/>
        <w:ind w:left="0" w:firstLine="0"/>
        <w:rPr>
          <w:rFonts w:cs="Arial"/>
          <w:szCs w:val="20"/>
        </w:rPr>
      </w:pPr>
      <w:bookmarkStart w:id="51" w:name="_Toc336692113"/>
      <w:bookmarkStart w:id="52" w:name="_Toc354313830"/>
      <w:r w:rsidRPr="00B6647E">
        <w:rPr>
          <w:rFonts w:cs="Arial"/>
          <w:szCs w:val="20"/>
        </w:rPr>
        <w:lastRenderedPageBreak/>
        <w:t>Taille de l’échantillon</w:t>
      </w:r>
      <w:bookmarkEnd w:id="51"/>
      <w:bookmarkEnd w:id="52"/>
    </w:p>
    <w:p w:rsidR="00940AC8" w:rsidRPr="00B6647E" w:rsidRDefault="00940AC8" w:rsidP="008235FD">
      <w:pPr>
        <w:tabs>
          <w:tab w:val="left" w:pos="1068"/>
        </w:tabs>
        <w:spacing w:line="240" w:lineRule="auto"/>
        <w:jc w:val="both"/>
        <w:rPr>
          <w:rFonts w:ascii="Arial" w:hAnsi="Arial" w:cs="Arial"/>
          <w:spacing w:val="-3"/>
          <w:sz w:val="20"/>
          <w:szCs w:val="20"/>
        </w:rPr>
      </w:pPr>
      <w:r w:rsidRPr="00B6647E">
        <w:rPr>
          <w:rFonts w:ascii="Arial" w:hAnsi="Arial" w:cs="Arial"/>
          <w:sz w:val="20"/>
          <w:szCs w:val="20"/>
        </w:rPr>
        <w:t xml:space="preserve">La taille totale de l’échantillon est de 2560 ménages </w:t>
      </w:r>
      <w:r w:rsidRPr="00B6647E">
        <w:rPr>
          <w:rFonts w:ascii="Arial" w:hAnsi="Arial" w:cs="Arial"/>
          <w:spacing w:val="-3"/>
          <w:sz w:val="20"/>
          <w:szCs w:val="20"/>
        </w:rPr>
        <w:t>répartis dans 320 ZD à raison de 20 ZD par province et 8 ménages par ZD.</w:t>
      </w:r>
    </w:p>
    <w:p w:rsidR="00940AC8" w:rsidRPr="00B6647E" w:rsidRDefault="00940AC8" w:rsidP="008235FD">
      <w:pPr>
        <w:tabs>
          <w:tab w:val="left" w:pos="-720"/>
        </w:tabs>
        <w:suppressAutoHyphens/>
        <w:spacing w:line="240" w:lineRule="auto"/>
        <w:jc w:val="both"/>
        <w:rPr>
          <w:rFonts w:ascii="Arial" w:hAnsi="Arial" w:cs="Arial"/>
          <w:spacing w:val="-3"/>
          <w:sz w:val="20"/>
          <w:szCs w:val="20"/>
        </w:rPr>
      </w:pPr>
      <w:r w:rsidRPr="00B6647E">
        <w:rPr>
          <w:rFonts w:ascii="Arial" w:hAnsi="Arial" w:cs="Arial"/>
          <w:spacing w:val="-3"/>
          <w:sz w:val="20"/>
          <w:szCs w:val="20"/>
        </w:rPr>
        <w:t>On observe bien sur la carte que l’ensemble du pays est couvert (hormis Bujumbura la capitale). En effet, il y a au moins une ZD échantillon dans chaque commune.</w:t>
      </w:r>
    </w:p>
    <w:p w:rsidR="00DB0762" w:rsidRPr="00B6647E" w:rsidRDefault="00DB0762" w:rsidP="008235FD">
      <w:pPr>
        <w:pStyle w:val="Lgende"/>
        <w:rPr>
          <w:rFonts w:ascii="Arial" w:hAnsi="Arial" w:cs="Arial"/>
        </w:rPr>
      </w:pPr>
      <w:bookmarkStart w:id="53" w:name="_Toc330193465"/>
    </w:p>
    <w:p w:rsidR="00940AC8" w:rsidRPr="00B6647E" w:rsidRDefault="00940AC8" w:rsidP="008235FD">
      <w:pPr>
        <w:pStyle w:val="Lgende"/>
        <w:rPr>
          <w:rFonts w:ascii="Arial" w:hAnsi="Arial" w:cs="Arial"/>
        </w:rPr>
      </w:pPr>
      <w:r w:rsidRPr="00B6647E">
        <w:rPr>
          <w:rFonts w:ascii="Arial" w:hAnsi="Arial" w:cs="Arial"/>
        </w:rPr>
        <w:t xml:space="preserve">Carte </w:t>
      </w:r>
      <w:r w:rsidR="00613D0F" w:rsidRPr="00B6647E">
        <w:rPr>
          <w:rFonts w:ascii="Arial" w:hAnsi="Arial" w:cs="Arial"/>
        </w:rPr>
        <w:t>02</w:t>
      </w:r>
      <w:r w:rsidR="00004F4F" w:rsidRPr="00B6647E">
        <w:rPr>
          <w:rFonts w:ascii="Arial" w:hAnsi="Arial" w:cs="Arial"/>
        </w:rPr>
        <w:t> : Répartition des zones de dénombrements (Z</w:t>
      </w:r>
      <w:r w:rsidRPr="00B6647E">
        <w:rPr>
          <w:rFonts w:ascii="Arial" w:hAnsi="Arial" w:cs="Arial"/>
        </w:rPr>
        <w:t>D</w:t>
      </w:r>
      <w:r w:rsidR="00004F4F" w:rsidRPr="00B6647E">
        <w:rPr>
          <w:rFonts w:ascii="Arial" w:hAnsi="Arial" w:cs="Arial"/>
        </w:rPr>
        <w:t>)</w:t>
      </w:r>
      <w:r w:rsidRPr="00B6647E">
        <w:rPr>
          <w:rFonts w:ascii="Arial" w:hAnsi="Arial" w:cs="Arial"/>
        </w:rPr>
        <w:t xml:space="preserve"> échantillons par commune</w:t>
      </w:r>
      <w:bookmarkEnd w:id="53"/>
    </w:p>
    <w:p w:rsidR="00940AC8" w:rsidRPr="00B6647E" w:rsidRDefault="00940AC8" w:rsidP="008235FD">
      <w:pPr>
        <w:tabs>
          <w:tab w:val="left" w:pos="-720"/>
        </w:tabs>
        <w:suppressAutoHyphens/>
        <w:spacing w:line="240" w:lineRule="auto"/>
        <w:jc w:val="both"/>
        <w:rPr>
          <w:rFonts w:ascii="Arial" w:hAnsi="Arial" w:cs="Arial"/>
          <w:spacing w:val="-3"/>
          <w:sz w:val="20"/>
          <w:szCs w:val="20"/>
        </w:rPr>
      </w:pPr>
    </w:p>
    <w:p w:rsidR="00940AC8" w:rsidRPr="00B6647E" w:rsidRDefault="00940AC8" w:rsidP="008235FD">
      <w:pPr>
        <w:tabs>
          <w:tab w:val="left" w:pos="-720"/>
        </w:tabs>
        <w:suppressAutoHyphens/>
        <w:spacing w:line="240" w:lineRule="auto"/>
        <w:jc w:val="both"/>
        <w:rPr>
          <w:rFonts w:ascii="Arial" w:hAnsi="Arial" w:cs="Arial"/>
          <w:spacing w:val="-3"/>
          <w:sz w:val="20"/>
          <w:szCs w:val="20"/>
        </w:rPr>
      </w:pPr>
      <w:r w:rsidRPr="00B6647E">
        <w:rPr>
          <w:rFonts w:ascii="Arial" w:hAnsi="Arial" w:cs="Arial"/>
          <w:noProof/>
          <w:spacing w:val="-3"/>
          <w:sz w:val="20"/>
          <w:szCs w:val="20"/>
          <w:lang w:val="fr-FR" w:eastAsia="fr-FR"/>
        </w:rPr>
        <w:drawing>
          <wp:inline distT="0" distB="0" distL="0" distR="0">
            <wp:extent cx="5160396" cy="3657600"/>
            <wp:effectExtent l="19050" t="0" r="2154" b="0"/>
            <wp:docPr id="4"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4" cstate="print"/>
                    <a:srcRect l="5328" t="5458" r="5106" b="4873"/>
                    <a:stretch>
                      <a:fillRect/>
                    </a:stretch>
                  </pic:blipFill>
                  <pic:spPr bwMode="auto">
                    <a:xfrm>
                      <a:off x="0" y="0"/>
                      <a:ext cx="5160396" cy="3657600"/>
                    </a:xfrm>
                    <a:prstGeom prst="rect">
                      <a:avLst/>
                    </a:prstGeom>
                    <a:noFill/>
                    <a:ln w="9525">
                      <a:noFill/>
                      <a:miter lim="800000"/>
                      <a:headEnd/>
                      <a:tailEnd/>
                    </a:ln>
                  </pic:spPr>
                </pic:pic>
              </a:graphicData>
            </a:graphic>
          </wp:inline>
        </w:drawing>
      </w:r>
    </w:p>
    <w:p w:rsidR="00940AC8" w:rsidRPr="00B6647E" w:rsidRDefault="00940AC8" w:rsidP="006F1778">
      <w:pPr>
        <w:pStyle w:val="Titre2"/>
        <w:keepNext w:val="0"/>
        <w:numPr>
          <w:ilvl w:val="1"/>
          <w:numId w:val="1"/>
        </w:numPr>
        <w:spacing w:before="240" w:after="200"/>
        <w:ind w:left="0" w:firstLine="0"/>
        <w:rPr>
          <w:rFonts w:cs="Arial"/>
          <w:u w:val="dotDash"/>
        </w:rPr>
      </w:pPr>
      <w:bookmarkStart w:id="54" w:name="_Toc336692114"/>
      <w:bookmarkStart w:id="55" w:name="_Toc354313831"/>
      <w:r w:rsidRPr="00B6647E">
        <w:rPr>
          <w:rFonts w:cs="Arial"/>
          <w:u w:val="dotDash"/>
        </w:rPr>
        <w:t>Organisation de la collecte</w:t>
      </w:r>
      <w:bookmarkEnd w:id="54"/>
      <w:bookmarkEnd w:id="55"/>
    </w:p>
    <w:p w:rsidR="00940AC8" w:rsidRPr="00B6647E" w:rsidRDefault="00940AC8" w:rsidP="00A65E41">
      <w:pPr>
        <w:pStyle w:val="Titre3"/>
        <w:keepNext w:val="0"/>
        <w:numPr>
          <w:ilvl w:val="2"/>
          <w:numId w:val="1"/>
        </w:numPr>
        <w:spacing w:before="200" w:after="120"/>
        <w:ind w:left="0" w:firstLine="0"/>
        <w:rPr>
          <w:rFonts w:cs="Arial"/>
          <w:szCs w:val="20"/>
        </w:rPr>
      </w:pPr>
      <w:bookmarkStart w:id="56" w:name="_Toc336692115"/>
      <w:bookmarkStart w:id="57" w:name="_Toc354313832"/>
      <w:r w:rsidRPr="00B6647E">
        <w:rPr>
          <w:rFonts w:cs="Arial"/>
          <w:szCs w:val="20"/>
        </w:rPr>
        <w:t>Cadre organisationnel de l’enquête</w:t>
      </w:r>
      <w:bookmarkEnd w:id="56"/>
      <w:bookmarkEnd w:id="57"/>
    </w:p>
    <w:p w:rsidR="00940AC8" w:rsidRPr="00B6647E" w:rsidRDefault="00940AC8" w:rsidP="008235FD">
      <w:pPr>
        <w:tabs>
          <w:tab w:val="left" w:pos="-720"/>
        </w:tabs>
        <w:suppressAutoHyphens/>
        <w:spacing w:line="240" w:lineRule="auto"/>
        <w:jc w:val="both"/>
        <w:rPr>
          <w:rFonts w:ascii="Arial" w:hAnsi="Arial" w:cs="Arial"/>
          <w:spacing w:val="-3"/>
          <w:sz w:val="20"/>
          <w:szCs w:val="20"/>
        </w:rPr>
      </w:pPr>
      <w:r w:rsidRPr="00B6647E">
        <w:rPr>
          <w:rFonts w:ascii="Arial" w:hAnsi="Arial" w:cs="Arial"/>
          <w:spacing w:val="-3"/>
          <w:sz w:val="20"/>
          <w:szCs w:val="20"/>
        </w:rPr>
        <w:t>Pour la réalisation de l’enquête, un dispositif a été mis en place. Il est composé de :</w:t>
      </w:r>
    </w:p>
    <w:p w:rsidR="00940AC8" w:rsidRPr="00B6647E" w:rsidRDefault="00940AC8" w:rsidP="008D536E">
      <w:pPr>
        <w:numPr>
          <w:ilvl w:val="0"/>
          <w:numId w:val="8"/>
        </w:numPr>
        <w:tabs>
          <w:tab w:val="left" w:pos="-720"/>
        </w:tabs>
        <w:suppressAutoHyphens/>
        <w:spacing w:after="0" w:line="240" w:lineRule="auto"/>
        <w:jc w:val="both"/>
        <w:rPr>
          <w:rFonts w:ascii="Arial" w:hAnsi="Arial" w:cs="Arial"/>
          <w:spacing w:val="-3"/>
          <w:sz w:val="20"/>
          <w:szCs w:val="20"/>
        </w:rPr>
      </w:pPr>
      <w:r w:rsidRPr="00B6647E">
        <w:rPr>
          <w:rFonts w:ascii="Arial" w:hAnsi="Arial" w:cs="Arial"/>
          <w:spacing w:val="-3"/>
          <w:sz w:val="20"/>
          <w:szCs w:val="20"/>
        </w:rPr>
        <w:t>Un comité de pilotage;</w:t>
      </w:r>
    </w:p>
    <w:p w:rsidR="00940AC8" w:rsidRPr="00B6647E" w:rsidRDefault="00940AC8" w:rsidP="008D536E">
      <w:pPr>
        <w:numPr>
          <w:ilvl w:val="0"/>
          <w:numId w:val="8"/>
        </w:numPr>
        <w:tabs>
          <w:tab w:val="left" w:pos="-720"/>
        </w:tabs>
        <w:suppressAutoHyphens/>
        <w:spacing w:after="0" w:line="240" w:lineRule="auto"/>
        <w:jc w:val="both"/>
        <w:rPr>
          <w:rFonts w:ascii="Arial" w:hAnsi="Arial" w:cs="Arial"/>
          <w:spacing w:val="-3"/>
          <w:sz w:val="20"/>
          <w:szCs w:val="20"/>
        </w:rPr>
      </w:pPr>
      <w:r w:rsidRPr="00B6647E">
        <w:rPr>
          <w:rFonts w:ascii="Arial" w:hAnsi="Arial" w:cs="Arial"/>
          <w:spacing w:val="-3"/>
          <w:sz w:val="20"/>
          <w:szCs w:val="20"/>
        </w:rPr>
        <w:t>Un comité technique;</w:t>
      </w:r>
    </w:p>
    <w:p w:rsidR="00940AC8" w:rsidRPr="00B6647E" w:rsidRDefault="00940AC8" w:rsidP="008D536E">
      <w:pPr>
        <w:numPr>
          <w:ilvl w:val="0"/>
          <w:numId w:val="8"/>
        </w:numPr>
        <w:tabs>
          <w:tab w:val="left" w:pos="-720"/>
        </w:tabs>
        <w:suppressAutoHyphens/>
        <w:spacing w:after="0" w:line="240" w:lineRule="auto"/>
        <w:jc w:val="both"/>
        <w:rPr>
          <w:rFonts w:ascii="Arial" w:hAnsi="Arial" w:cs="Arial"/>
          <w:spacing w:val="-3"/>
          <w:sz w:val="20"/>
          <w:szCs w:val="20"/>
        </w:rPr>
      </w:pPr>
      <w:r w:rsidRPr="00B6647E">
        <w:rPr>
          <w:rFonts w:ascii="Arial" w:hAnsi="Arial" w:cs="Arial"/>
          <w:spacing w:val="-3"/>
          <w:sz w:val="20"/>
          <w:szCs w:val="20"/>
        </w:rPr>
        <w:t>Des superviseurs;</w:t>
      </w:r>
    </w:p>
    <w:p w:rsidR="00940AC8" w:rsidRPr="00B6647E" w:rsidRDefault="00940AC8" w:rsidP="008D536E">
      <w:pPr>
        <w:numPr>
          <w:ilvl w:val="0"/>
          <w:numId w:val="8"/>
        </w:numPr>
        <w:tabs>
          <w:tab w:val="left" w:pos="-720"/>
        </w:tabs>
        <w:suppressAutoHyphens/>
        <w:spacing w:after="0" w:line="240" w:lineRule="auto"/>
        <w:jc w:val="both"/>
        <w:rPr>
          <w:rFonts w:ascii="Arial" w:hAnsi="Arial" w:cs="Arial"/>
          <w:spacing w:val="-3"/>
          <w:sz w:val="20"/>
          <w:szCs w:val="20"/>
        </w:rPr>
      </w:pPr>
      <w:r w:rsidRPr="00B6647E">
        <w:rPr>
          <w:rFonts w:ascii="Arial" w:hAnsi="Arial" w:cs="Arial"/>
          <w:spacing w:val="-3"/>
          <w:sz w:val="20"/>
          <w:szCs w:val="20"/>
        </w:rPr>
        <w:t>Des contrôleurs;</w:t>
      </w:r>
    </w:p>
    <w:p w:rsidR="00940AC8" w:rsidRPr="00B6647E" w:rsidRDefault="00940AC8" w:rsidP="008D536E">
      <w:pPr>
        <w:numPr>
          <w:ilvl w:val="0"/>
          <w:numId w:val="8"/>
        </w:numPr>
        <w:tabs>
          <w:tab w:val="left" w:pos="-720"/>
        </w:tabs>
        <w:suppressAutoHyphens/>
        <w:spacing w:after="0" w:line="240" w:lineRule="auto"/>
        <w:jc w:val="both"/>
        <w:rPr>
          <w:rFonts w:ascii="Arial" w:hAnsi="Arial" w:cs="Arial"/>
          <w:spacing w:val="-3"/>
          <w:sz w:val="20"/>
          <w:szCs w:val="20"/>
        </w:rPr>
      </w:pPr>
      <w:r w:rsidRPr="00B6647E">
        <w:rPr>
          <w:rFonts w:ascii="Arial" w:hAnsi="Arial" w:cs="Arial"/>
          <w:spacing w:val="-3"/>
          <w:sz w:val="20"/>
          <w:szCs w:val="20"/>
        </w:rPr>
        <w:t>Des enquêteurs.</w:t>
      </w:r>
    </w:p>
    <w:p w:rsidR="00940AC8" w:rsidRPr="00B6647E" w:rsidRDefault="00940AC8" w:rsidP="00742D2F">
      <w:pPr>
        <w:tabs>
          <w:tab w:val="left" w:pos="-720"/>
        </w:tabs>
        <w:suppressAutoHyphens/>
        <w:spacing w:before="120" w:after="120" w:line="240" w:lineRule="auto"/>
        <w:jc w:val="both"/>
        <w:rPr>
          <w:rFonts w:ascii="Arial" w:hAnsi="Arial" w:cs="Arial"/>
          <w:spacing w:val="-3"/>
          <w:sz w:val="20"/>
          <w:szCs w:val="20"/>
        </w:rPr>
      </w:pPr>
      <w:r w:rsidRPr="00B6647E">
        <w:rPr>
          <w:rFonts w:ascii="Arial" w:hAnsi="Arial" w:cs="Arial"/>
          <w:spacing w:val="-3"/>
          <w:sz w:val="20"/>
          <w:szCs w:val="20"/>
        </w:rPr>
        <w:t>L’enquête bénéficie d’une assistance technique internationale composée de deux experts :</w:t>
      </w:r>
    </w:p>
    <w:p w:rsidR="00940AC8" w:rsidRPr="00B6647E" w:rsidRDefault="00940AC8" w:rsidP="008D536E">
      <w:pPr>
        <w:numPr>
          <w:ilvl w:val="0"/>
          <w:numId w:val="8"/>
        </w:numPr>
        <w:tabs>
          <w:tab w:val="left" w:pos="-720"/>
        </w:tabs>
        <w:suppressAutoHyphens/>
        <w:spacing w:after="0" w:line="240" w:lineRule="auto"/>
        <w:jc w:val="both"/>
        <w:rPr>
          <w:rFonts w:ascii="Arial" w:hAnsi="Arial" w:cs="Arial"/>
          <w:spacing w:val="-3"/>
          <w:sz w:val="20"/>
          <w:szCs w:val="20"/>
        </w:rPr>
      </w:pPr>
      <w:r w:rsidRPr="00B6647E">
        <w:rPr>
          <w:rFonts w:ascii="Arial" w:hAnsi="Arial" w:cs="Arial"/>
          <w:spacing w:val="-3"/>
          <w:sz w:val="20"/>
          <w:szCs w:val="20"/>
        </w:rPr>
        <w:t>Un expert en statistique agricole;</w:t>
      </w:r>
    </w:p>
    <w:p w:rsidR="00940AC8" w:rsidRPr="00B6647E" w:rsidRDefault="00940AC8" w:rsidP="008D536E">
      <w:pPr>
        <w:numPr>
          <w:ilvl w:val="0"/>
          <w:numId w:val="8"/>
        </w:numPr>
        <w:tabs>
          <w:tab w:val="left" w:pos="-720"/>
        </w:tabs>
        <w:suppressAutoHyphens/>
        <w:spacing w:after="0" w:line="240" w:lineRule="auto"/>
        <w:jc w:val="both"/>
        <w:rPr>
          <w:rFonts w:ascii="Arial" w:hAnsi="Arial" w:cs="Arial"/>
          <w:spacing w:val="-3"/>
          <w:sz w:val="20"/>
          <w:szCs w:val="20"/>
        </w:rPr>
      </w:pPr>
      <w:r w:rsidRPr="00B6647E">
        <w:rPr>
          <w:rFonts w:ascii="Arial" w:hAnsi="Arial" w:cs="Arial"/>
          <w:spacing w:val="-3"/>
          <w:sz w:val="20"/>
          <w:szCs w:val="20"/>
        </w:rPr>
        <w:t>Un expert en traitement des données.</w:t>
      </w:r>
    </w:p>
    <w:p w:rsidR="00940AC8" w:rsidRPr="00B6647E" w:rsidRDefault="00940AC8" w:rsidP="00742D2F">
      <w:pPr>
        <w:tabs>
          <w:tab w:val="left" w:pos="-720"/>
        </w:tabs>
        <w:suppressAutoHyphens/>
        <w:spacing w:before="120" w:after="120" w:line="240" w:lineRule="auto"/>
        <w:jc w:val="both"/>
        <w:rPr>
          <w:rFonts w:ascii="Arial" w:hAnsi="Arial" w:cs="Arial"/>
          <w:spacing w:val="-3"/>
          <w:sz w:val="20"/>
          <w:szCs w:val="20"/>
        </w:rPr>
      </w:pPr>
      <w:r w:rsidRPr="00B6647E">
        <w:rPr>
          <w:rFonts w:ascii="Arial" w:hAnsi="Arial" w:cs="Arial"/>
          <w:spacing w:val="-3"/>
          <w:sz w:val="20"/>
          <w:szCs w:val="20"/>
        </w:rPr>
        <w:t>Après la formation, huit équipes ont été constituées et envoyées sur le terrain. Chacune de ces équipes couvre deux provinces et est composée de :</w:t>
      </w:r>
    </w:p>
    <w:p w:rsidR="00940AC8" w:rsidRPr="00B6647E" w:rsidRDefault="00940AC8" w:rsidP="008D536E">
      <w:pPr>
        <w:numPr>
          <w:ilvl w:val="0"/>
          <w:numId w:val="8"/>
        </w:numPr>
        <w:tabs>
          <w:tab w:val="left" w:pos="-720"/>
        </w:tabs>
        <w:suppressAutoHyphens/>
        <w:spacing w:after="0" w:line="240" w:lineRule="auto"/>
        <w:jc w:val="both"/>
        <w:rPr>
          <w:rFonts w:ascii="Arial" w:hAnsi="Arial" w:cs="Arial"/>
          <w:spacing w:val="-3"/>
          <w:sz w:val="20"/>
          <w:szCs w:val="20"/>
        </w:rPr>
      </w:pPr>
      <w:r w:rsidRPr="00B6647E">
        <w:rPr>
          <w:rFonts w:ascii="Arial" w:hAnsi="Arial" w:cs="Arial"/>
          <w:spacing w:val="-3"/>
          <w:sz w:val="20"/>
          <w:szCs w:val="20"/>
        </w:rPr>
        <w:t>1 superviseur;</w:t>
      </w:r>
    </w:p>
    <w:p w:rsidR="00940AC8" w:rsidRPr="00B6647E" w:rsidRDefault="00940AC8" w:rsidP="008D536E">
      <w:pPr>
        <w:numPr>
          <w:ilvl w:val="0"/>
          <w:numId w:val="8"/>
        </w:numPr>
        <w:tabs>
          <w:tab w:val="left" w:pos="-720"/>
        </w:tabs>
        <w:suppressAutoHyphens/>
        <w:spacing w:after="0" w:line="240" w:lineRule="auto"/>
        <w:jc w:val="both"/>
        <w:rPr>
          <w:rFonts w:ascii="Arial" w:hAnsi="Arial" w:cs="Arial"/>
          <w:spacing w:val="-3"/>
          <w:sz w:val="20"/>
          <w:szCs w:val="20"/>
        </w:rPr>
      </w:pPr>
      <w:r w:rsidRPr="00B6647E">
        <w:rPr>
          <w:rFonts w:ascii="Arial" w:hAnsi="Arial" w:cs="Arial"/>
          <w:spacing w:val="-3"/>
          <w:sz w:val="20"/>
          <w:szCs w:val="20"/>
        </w:rPr>
        <w:t>4 contrôleurs;</w:t>
      </w:r>
    </w:p>
    <w:p w:rsidR="00940AC8" w:rsidRPr="00B6647E" w:rsidRDefault="00940AC8" w:rsidP="008D536E">
      <w:pPr>
        <w:numPr>
          <w:ilvl w:val="0"/>
          <w:numId w:val="8"/>
        </w:numPr>
        <w:tabs>
          <w:tab w:val="left" w:pos="-720"/>
        </w:tabs>
        <w:suppressAutoHyphens/>
        <w:spacing w:after="0" w:line="240" w:lineRule="auto"/>
        <w:jc w:val="both"/>
        <w:rPr>
          <w:rFonts w:ascii="Arial" w:hAnsi="Arial" w:cs="Arial"/>
          <w:spacing w:val="-3"/>
          <w:sz w:val="20"/>
          <w:szCs w:val="20"/>
        </w:rPr>
      </w:pPr>
      <w:r w:rsidRPr="00B6647E">
        <w:rPr>
          <w:rFonts w:ascii="Arial" w:hAnsi="Arial" w:cs="Arial"/>
          <w:spacing w:val="-3"/>
          <w:sz w:val="20"/>
          <w:szCs w:val="20"/>
        </w:rPr>
        <w:t>20 enquêteurs</w:t>
      </w:r>
      <w:r w:rsidR="0077706C">
        <w:rPr>
          <w:rFonts w:ascii="Arial" w:hAnsi="Arial" w:cs="Arial"/>
          <w:spacing w:val="-3"/>
          <w:sz w:val="20"/>
          <w:szCs w:val="20"/>
        </w:rPr>
        <w:t>.</w:t>
      </w:r>
    </w:p>
    <w:p w:rsidR="00940AC8" w:rsidRPr="00B6647E" w:rsidRDefault="00940AC8" w:rsidP="00742D2F">
      <w:pPr>
        <w:tabs>
          <w:tab w:val="left" w:pos="-720"/>
        </w:tabs>
        <w:suppressAutoHyphens/>
        <w:spacing w:before="120" w:after="120" w:line="240" w:lineRule="auto"/>
        <w:jc w:val="both"/>
        <w:rPr>
          <w:rFonts w:ascii="Arial" w:hAnsi="Arial" w:cs="Arial"/>
          <w:spacing w:val="-3"/>
          <w:sz w:val="20"/>
          <w:szCs w:val="20"/>
        </w:rPr>
      </w:pPr>
      <w:r w:rsidRPr="00B6647E">
        <w:rPr>
          <w:rFonts w:ascii="Arial" w:hAnsi="Arial" w:cs="Arial"/>
          <w:spacing w:val="-3"/>
          <w:sz w:val="20"/>
          <w:szCs w:val="20"/>
        </w:rPr>
        <w:lastRenderedPageBreak/>
        <w:t>Les équipes maintiennent un contact régulier avec le président du comité technique, coordonnateur national de l'enquête pour tout problème d'ordre matériel, financier et technique.</w:t>
      </w:r>
    </w:p>
    <w:p w:rsidR="00940AC8" w:rsidRPr="00B6647E" w:rsidRDefault="00940AC8" w:rsidP="00A65E41">
      <w:pPr>
        <w:pStyle w:val="Titre3"/>
        <w:keepNext w:val="0"/>
        <w:numPr>
          <w:ilvl w:val="2"/>
          <w:numId w:val="1"/>
        </w:numPr>
        <w:spacing w:before="200" w:after="120"/>
        <w:ind w:left="0" w:firstLine="0"/>
        <w:rPr>
          <w:rFonts w:cs="Arial"/>
          <w:szCs w:val="20"/>
        </w:rPr>
      </w:pPr>
      <w:bookmarkStart w:id="58" w:name="_Toc336692116"/>
      <w:bookmarkStart w:id="59" w:name="_Toc354313833"/>
      <w:r w:rsidRPr="00B6647E">
        <w:rPr>
          <w:rFonts w:cs="Arial"/>
          <w:szCs w:val="20"/>
        </w:rPr>
        <w:t>Supports de collecte</w:t>
      </w:r>
      <w:bookmarkEnd w:id="58"/>
      <w:bookmarkEnd w:id="59"/>
    </w:p>
    <w:p w:rsidR="00940AC8" w:rsidRPr="00B6647E" w:rsidRDefault="00940AC8" w:rsidP="008235FD">
      <w:pPr>
        <w:tabs>
          <w:tab w:val="left" w:pos="1428"/>
        </w:tabs>
        <w:spacing w:line="240" w:lineRule="auto"/>
        <w:jc w:val="both"/>
        <w:rPr>
          <w:rFonts w:ascii="Arial" w:hAnsi="Arial" w:cs="Arial"/>
          <w:sz w:val="20"/>
          <w:szCs w:val="20"/>
        </w:rPr>
      </w:pPr>
      <w:r w:rsidRPr="00B6647E">
        <w:rPr>
          <w:rFonts w:ascii="Arial" w:hAnsi="Arial" w:cs="Arial"/>
          <w:sz w:val="20"/>
          <w:szCs w:val="20"/>
        </w:rPr>
        <w:t>L'ENAB a utilisé deux types de questionnaires :</w:t>
      </w:r>
    </w:p>
    <w:p w:rsidR="00940AC8" w:rsidRPr="00B6647E" w:rsidRDefault="00940AC8" w:rsidP="008D536E">
      <w:pPr>
        <w:numPr>
          <w:ilvl w:val="0"/>
          <w:numId w:val="8"/>
        </w:numPr>
        <w:tabs>
          <w:tab w:val="left" w:pos="-720"/>
        </w:tabs>
        <w:suppressAutoHyphens/>
        <w:spacing w:after="0" w:line="240" w:lineRule="auto"/>
        <w:jc w:val="both"/>
        <w:rPr>
          <w:rFonts w:ascii="Arial" w:hAnsi="Arial" w:cs="Arial"/>
          <w:spacing w:val="-3"/>
          <w:sz w:val="20"/>
          <w:szCs w:val="20"/>
        </w:rPr>
      </w:pPr>
      <w:r w:rsidRPr="00B6647E">
        <w:rPr>
          <w:rFonts w:ascii="Arial" w:hAnsi="Arial" w:cs="Arial"/>
          <w:spacing w:val="-3"/>
          <w:sz w:val="20"/>
          <w:szCs w:val="20"/>
        </w:rPr>
        <w:t>la fiche d'énumération servant à identifier les ménages ;</w:t>
      </w:r>
    </w:p>
    <w:p w:rsidR="00940AC8" w:rsidRPr="00B6647E" w:rsidRDefault="00940AC8" w:rsidP="008D536E">
      <w:pPr>
        <w:numPr>
          <w:ilvl w:val="0"/>
          <w:numId w:val="8"/>
        </w:numPr>
        <w:tabs>
          <w:tab w:val="left" w:pos="-720"/>
        </w:tabs>
        <w:suppressAutoHyphens/>
        <w:spacing w:after="0" w:line="240" w:lineRule="auto"/>
        <w:jc w:val="both"/>
        <w:rPr>
          <w:rFonts w:ascii="Arial" w:hAnsi="Arial" w:cs="Arial"/>
          <w:spacing w:val="-3"/>
          <w:sz w:val="20"/>
          <w:szCs w:val="20"/>
        </w:rPr>
      </w:pPr>
      <w:r w:rsidRPr="00B6647E">
        <w:rPr>
          <w:rFonts w:ascii="Arial" w:hAnsi="Arial" w:cs="Arial"/>
          <w:spacing w:val="-3"/>
          <w:sz w:val="20"/>
          <w:szCs w:val="20"/>
        </w:rPr>
        <w:t>les fiches d’enquête.</w:t>
      </w:r>
    </w:p>
    <w:p w:rsidR="00940AC8" w:rsidRPr="00B6647E" w:rsidRDefault="00940AC8" w:rsidP="003B0F80">
      <w:pPr>
        <w:tabs>
          <w:tab w:val="left" w:pos="1428"/>
        </w:tabs>
        <w:spacing w:before="120" w:line="240" w:lineRule="auto"/>
        <w:jc w:val="both"/>
        <w:rPr>
          <w:rFonts w:ascii="Arial" w:hAnsi="Arial" w:cs="Arial"/>
          <w:sz w:val="20"/>
          <w:szCs w:val="20"/>
        </w:rPr>
      </w:pPr>
      <w:r w:rsidRPr="00B6647E">
        <w:rPr>
          <w:rFonts w:ascii="Arial" w:hAnsi="Arial" w:cs="Arial"/>
          <w:sz w:val="20"/>
          <w:szCs w:val="20"/>
        </w:rPr>
        <w:t>Les fiches d’enquête constituent le support principal de l'enquête dans lequel sont consignées les informations. Les différentes fiches sont énumérées ci-après :</w:t>
      </w:r>
    </w:p>
    <w:p w:rsidR="00940AC8" w:rsidRPr="00B6647E" w:rsidRDefault="00940AC8" w:rsidP="008D536E">
      <w:pPr>
        <w:pStyle w:val="Paragraphedeliste"/>
        <w:numPr>
          <w:ilvl w:val="0"/>
          <w:numId w:val="6"/>
        </w:numPr>
        <w:spacing w:after="0" w:line="240" w:lineRule="auto"/>
        <w:jc w:val="both"/>
        <w:rPr>
          <w:rFonts w:ascii="Arial" w:hAnsi="Arial" w:cs="Arial"/>
          <w:color w:val="000000"/>
          <w:sz w:val="20"/>
          <w:szCs w:val="20"/>
        </w:rPr>
      </w:pPr>
      <w:r w:rsidRPr="00B6647E">
        <w:rPr>
          <w:rFonts w:ascii="Arial" w:hAnsi="Arial" w:cs="Arial"/>
          <w:color w:val="000000"/>
          <w:sz w:val="20"/>
          <w:szCs w:val="20"/>
        </w:rPr>
        <w:t xml:space="preserve">F0 : Dénombrement des membres du ménage (administrée seulement pendant la saison A) </w:t>
      </w:r>
    </w:p>
    <w:p w:rsidR="00940AC8" w:rsidRPr="00B6647E" w:rsidRDefault="00940AC8" w:rsidP="008D536E">
      <w:pPr>
        <w:pStyle w:val="Paragraphedeliste"/>
        <w:numPr>
          <w:ilvl w:val="0"/>
          <w:numId w:val="6"/>
        </w:numPr>
        <w:spacing w:after="0" w:line="240" w:lineRule="auto"/>
        <w:jc w:val="both"/>
        <w:rPr>
          <w:rFonts w:ascii="Arial" w:hAnsi="Arial" w:cs="Arial"/>
          <w:color w:val="000000"/>
          <w:sz w:val="20"/>
          <w:szCs w:val="20"/>
        </w:rPr>
      </w:pPr>
      <w:r w:rsidRPr="00B6647E">
        <w:rPr>
          <w:rFonts w:ascii="Arial" w:hAnsi="Arial" w:cs="Arial"/>
          <w:color w:val="000000"/>
          <w:sz w:val="20"/>
          <w:szCs w:val="20"/>
        </w:rPr>
        <w:t>F1 : Recensement des membres des ménages échantillons</w:t>
      </w:r>
    </w:p>
    <w:p w:rsidR="00940AC8" w:rsidRPr="00B6647E" w:rsidRDefault="00940AC8" w:rsidP="008D536E">
      <w:pPr>
        <w:pStyle w:val="Paragraphedeliste"/>
        <w:numPr>
          <w:ilvl w:val="0"/>
          <w:numId w:val="6"/>
        </w:numPr>
        <w:spacing w:after="0" w:line="240" w:lineRule="auto"/>
        <w:jc w:val="both"/>
        <w:rPr>
          <w:rFonts w:ascii="Arial" w:hAnsi="Arial" w:cs="Arial"/>
          <w:color w:val="000000"/>
          <w:sz w:val="20"/>
          <w:szCs w:val="20"/>
        </w:rPr>
      </w:pPr>
      <w:r w:rsidRPr="00B6647E">
        <w:rPr>
          <w:rFonts w:ascii="Arial" w:hAnsi="Arial" w:cs="Arial"/>
          <w:color w:val="000000"/>
          <w:sz w:val="20"/>
          <w:szCs w:val="20"/>
        </w:rPr>
        <w:t>F2 : Recensement des champs des ménages échantillons</w:t>
      </w:r>
    </w:p>
    <w:p w:rsidR="00940AC8" w:rsidRPr="00B6647E" w:rsidRDefault="00940AC8" w:rsidP="008D536E">
      <w:pPr>
        <w:pStyle w:val="Paragraphedeliste"/>
        <w:numPr>
          <w:ilvl w:val="0"/>
          <w:numId w:val="6"/>
        </w:numPr>
        <w:spacing w:after="0" w:line="240" w:lineRule="auto"/>
        <w:jc w:val="both"/>
        <w:rPr>
          <w:rFonts w:ascii="Arial" w:hAnsi="Arial" w:cs="Arial"/>
          <w:color w:val="000000"/>
          <w:sz w:val="20"/>
          <w:szCs w:val="20"/>
        </w:rPr>
      </w:pPr>
      <w:r w:rsidRPr="00B6647E">
        <w:rPr>
          <w:rFonts w:ascii="Arial" w:hAnsi="Arial" w:cs="Arial"/>
          <w:color w:val="000000"/>
          <w:sz w:val="20"/>
          <w:szCs w:val="20"/>
        </w:rPr>
        <w:t>F3 : Recensement des parcelles des ménages échantillons</w:t>
      </w:r>
    </w:p>
    <w:p w:rsidR="00940AC8" w:rsidRPr="00B6647E" w:rsidRDefault="00940AC8" w:rsidP="008D536E">
      <w:pPr>
        <w:pStyle w:val="Paragraphedeliste"/>
        <w:numPr>
          <w:ilvl w:val="0"/>
          <w:numId w:val="6"/>
        </w:numPr>
        <w:spacing w:after="0" w:line="240" w:lineRule="auto"/>
        <w:jc w:val="both"/>
        <w:rPr>
          <w:rFonts w:ascii="Arial" w:hAnsi="Arial" w:cs="Arial"/>
          <w:color w:val="000000"/>
          <w:sz w:val="20"/>
          <w:szCs w:val="20"/>
        </w:rPr>
      </w:pPr>
      <w:r w:rsidRPr="00B6647E">
        <w:rPr>
          <w:rFonts w:ascii="Arial" w:hAnsi="Arial" w:cs="Arial"/>
          <w:color w:val="000000"/>
          <w:sz w:val="20"/>
          <w:szCs w:val="20"/>
        </w:rPr>
        <w:t>F4 : Liste des cultures</w:t>
      </w:r>
    </w:p>
    <w:p w:rsidR="00940AC8" w:rsidRPr="00B6647E" w:rsidRDefault="00940AC8" w:rsidP="008D536E">
      <w:pPr>
        <w:pStyle w:val="Paragraphedeliste"/>
        <w:numPr>
          <w:ilvl w:val="0"/>
          <w:numId w:val="6"/>
        </w:numPr>
        <w:spacing w:after="0" w:line="240" w:lineRule="auto"/>
        <w:jc w:val="both"/>
        <w:rPr>
          <w:rFonts w:ascii="Arial" w:hAnsi="Arial" w:cs="Arial"/>
          <w:color w:val="000000"/>
          <w:sz w:val="20"/>
          <w:szCs w:val="20"/>
        </w:rPr>
      </w:pPr>
      <w:r w:rsidRPr="00B6647E">
        <w:rPr>
          <w:rFonts w:ascii="Arial" w:hAnsi="Arial" w:cs="Arial"/>
          <w:color w:val="000000"/>
          <w:sz w:val="20"/>
          <w:szCs w:val="20"/>
        </w:rPr>
        <w:t>F5 : Mesure de superficie; pose et pesée des carrés de rendement</w:t>
      </w:r>
    </w:p>
    <w:p w:rsidR="00940AC8" w:rsidRPr="00B6647E" w:rsidRDefault="00940AC8" w:rsidP="008D536E">
      <w:pPr>
        <w:pStyle w:val="Paragraphedeliste"/>
        <w:numPr>
          <w:ilvl w:val="0"/>
          <w:numId w:val="6"/>
        </w:numPr>
        <w:spacing w:after="0" w:line="240" w:lineRule="auto"/>
        <w:jc w:val="both"/>
        <w:rPr>
          <w:rFonts w:ascii="Arial" w:hAnsi="Arial" w:cs="Arial"/>
          <w:color w:val="000000"/>
          <w:sz w:val="20"/>
          <w:szCs w:val="20"/>
        </w:rPr>
      </w:pPr>
      <w:r w:rsidRPr="00B6647E">
        <w:rPr>
          <w:rFonts w:ascii="Arial" w:hAnsi="Arial" w:cs="Arial"/>
          <w:color w:val="000000"/>
          <w:sz w:val="20"/>
          <w:szCs w:val="20"/>
        </w:rPr>
        <w:t>F6 : Equipements</w:t>
      </w:r>
    </w:p>
    <w:p w:rsidR="00940AC8" w:rsidRPr="00B6647E" w:rsidRDefault="00940AC8" w:rsidP="008D536E">
      <w:pPr>
        <w:pStyle w:val="Paragraphedeliste"/>
        <w:numPr>
          <w:ilvl w:val="0"/>
          <w:numId w:val="6"/>
        </w:numPr>
        <w:spacing w:after="0" w:line="240" w:lineRule="auto"/>
        <w:jc w:val="both"/>
        <w:rPr>
          <w:rFonts w:ascii="Arial" w:hAnsi="Arial" w:cs="Arial"/>
          <w:color w:val="000000"/>
          <w:sz w:val="20"/>
          <w:szCs w:val="20"/>
        </w:rPr>
      </w:pPr>
      <w:r w:rsidRPr="00B6647E">
        <w:rPr>
          <w:rFonts w:ascii="Arial" w:hAnsi="Arial" w:cs="Arial"/>
          <w:color w:val="000000"/>
          <w:sz w:val="20"/>
          <w:szCs w:val="20"/>
        </w:rPr>
        <w:t>F7 : Intrants</w:t>
      </w:r>
    </w:p>
    <w:p w:rsidR="00940AC8" w:rsidRPr="00B6647E" w:rsidRDefault="00940AC8" w:rsidP="008D536E">
      <w:pPr>
        <w:pStyle w:val="Paragraphedeliste"/>
        <w:numPr>
          <w:ilvl w:val="0"/>
          <w:numId w:val="6"/>
        </w:numPr>
        <w:spacing w:after="0" w:line="240" w:lineRule="auto"/>
        <w:jc w:val="both"/>
        <w:rPr>
          <w:rFonts w:ascii="Arial" w:hAnsi="Arial" w:cs="Arial"/>
          <w:color w:val="000000"/>
          <w:sz w:val="20"/>
          <w:szCs w:val="20"/>
        </w:rPr>
      </w:pPr>
      <w:r w:rsidRPr="00B6647E">
        <w:rPr>
          <w:rFonts w:ascii="Arial" w:hAnsi="Arial" w:cs="Arial"/>
          <w:color w:val="000000"/>
          <w:sz w:val="20"/>
          <w:szCs w:val="20"/>
        </w:rPr>
        <w:t>F8 : Registre des récoltes</w:t>
      </w:r>
    </w:p>
    <w:p w:rsidR="00940AC8" w:rsidRPr="00B6647E" w:rsidRDefault="00940AC8" w:rsidP="008D536E">
      <w:pPr>
        <w:pStyle w:val="Paragraphedeliste"/>
        <w:numPr>
          <w:ilvl w:val="0"/>
          <w:numId w:val="6"/>
        </w:numPr>
        <w:spacing w:after="0" w:line="240" w:lineRule="auto"/>
        <w:jc w:val="both"/>
        <w:rPr>
          <w:rFonts w:ascii="Arial" w:hAnsi="Arial" w:cs="Arial"/>
          <w:color w:val="000000"/>
          <w:sz w:val="20"/>
          <w:szCs w:val="20"/>
        </w:rPr>
      </w:pPr>
      <w:r w:rsidRPr="00B6647E">
        <w:rPr>
          <w:rFonts w:ascii="Arial" w:hAnsi="Arial" w:cs="Arial"/>
          <w:color w:val="000000"/>
          <w:sz w:val="20"/>
          <w:szCs w:val="20"/>
        </w:rPr>
        <w:t>F9 : Emploi et main d’œuvre</w:t>
      </w:r>
    </w:p>
    <w:p w:rsidR="00940AC8" w:rsidRPr="00B6647E" w:rsidRDefault="00940AC8" w:rsidP="008D536E">
      <w:pPr>
        <w:pStyle w:val="Paragraphedeliste"/>
        <w:numPr>
          <w:ilvl w:val="0"/>
          <w:numId w:val="6"/>
        </w:numPr>
        <w:spacing w:after="0" w:line="240" w:lineRule="auto"/>
        <w:jc w:val="both"/>
        <w:rPr>
          <w:rFonts w:ascii="Arial" w:hAnsi="Arial" w:cs="Arial"/>
          <w:color w:val="000000"/>
          <w:sz w:val="20"/>
          <w:szCs w:val="20"/>
        </w:rPr>
      </w:pPr>
      <w:r w:rsidRPr="00B6647E">
        <w:rPr>
          <w:rFonts w:ascii="Arial" w:hAnsi="Arial" w:cs="Arial"/>
          <w:color w:val="000000"/>
          <w:sz w:val="20"/>
          <w:szCs w:val="20"/>
        </w:rPr>
        <w:t xml:space="preserve">F10 : Prévisions des récoltes </w:t>
      </w:r>
    </w:p>
    <w:p w:rsidR="00940AC8" w:rsidRPr="00B6647E" w:rsidRDefault="00940AC8" w:rsidP="008D536E">
      <w:pPr>
        <w:pStyle w:val="Paragraphedeliste"/>
        <w:numPr>
          <w:ilvl w:val="0"/>
          <w:numId w:val="6"/>
        </w:numPr>
        <w:spacing w:after="0" w:line="240" w:lineRule="auto"/>
        <w:jc w:val="both"/>
        <w:rPr>
          <w:rFonts w:ascii="Arial" w:hAnsi="Arial" w:cs="Arial"/>
          <w:color w:val="000000"/>
          <w:sz w:val="20"/>
          <w:szCs w:val="20"/>
        </w:rPr>
      </w:pPr>
      <w:r w:rsidRPr="00B6647E">
        <w:rPr>
          <w:rFonts w:ascii="Arial" w:hAnsi="Arial" w:cs="Arial"/>
          <w:color w:val="000000"/>
          <w:sz w:val="20"/>
          <w:szCs w:val="20"/>
        </w:rPr>
        <w:t xml:space="preserve">F11 : Cheptel du ménage agricole </w:t>
      </w:r>
      <w:r w:rsidR="00DB0762" w:rsidRPr="00B6647E">
        <w:rPr>
          <w:rFonts w:ascii="Arial" w:hAnsi="Arial" w:cs="Arial"/>
          <w:color w:val="000000"/>
          <w:sz w:val="20"/>
          <w:szCs w:val="20"/>
        </w:rPr>
        <w:t>(administré seulement en saison B)</w:t>
      </w:r>
    </w:p>
    <w:p w:rsidR="00940AC8" w:rsidRPr="00B6647E" w:rsidRDefault="00940AC8" w:rsidP="008D536E">
      <w:pPr>
        <w:pStyle w:val="Paragraphedeliste"/>
        <w:numPr>
          <w:ilvl w:val="0"/>
          <w:numId w:val="6"/>
        </w:numPr>
        <w:spacing w:after="0" w:line="240" w:lineRule="auto"/>
        <w:jc w:val="both"/>
        <w:rPr>
          <w:rFonts w:ascii="Arial" w:hAnsi="Arial" w:cs="Arial"/>
          <w:color w:val="000000"/>
          <w:sz w:val="20"/>
          <w:szCs w:val="20"/>
        </w:rPr>
      </w:pPr>
      <w:r w:rsidRPr="00B6647E">
        <w:rPr>
          <w:rFonts w:ascii="Arial" w:hAnsi="Arial" w:cs="Arial"/>
          <w:color w:val="000000"/>
          <w:sz w:val="20"/>
          <w:szCs w:val="20"/>
        </w:rPr>
        <w:t>F12 : Pêche</w:t>
      </w:r>
    </w:p>
    <w:p w:rsidR="00940AC8" w:rsidRPr="00B6647E" w:rsidRDefault="00940AC8" w:rsidP="008D536E">
      <w:pPr>
        <w:pStyle w:val="Paragraphedeliste"/>
        <w:numPr>
          <w:ilvl w:val="0"/>
          <w:numId w:val="6"/>
        </w:numPr>
        <w:spacing w:after="0" w:line="240" w:lineRule="auto"/>
        <w:jc w:val="both"/>
        <w:rPr>
          <w:rFonts w:ascii="Arial" w:hAnsi="Arial" w:cs="Arial"/>
          <w:color w:val="000000"/>
          <w:sz w:val="20"/>
          <w:szCs w:val="20"/>
        </w:rPr>
      </w:pPr>
      <w:r w:rsidRPr="00B6647E">
        <w:rPr>
          <w:rFonts w:ascii="Arial" w:hAnsi="Arial" w:cs="Arial"/>
          <w:color w:val="000000"/>
          <w:sz w:val="20"/>
          <w:szCs w:val="20"/>
        </w:rPr>
        <w:t xml:space="preserve">F13 : Apiculture </w:t>
      </w:r>
    </w:p>
    <w:p w:rsidR="00940AC8" w:rsidRPr="00B6647E" w:rsidRDefault="00940AC8" w:rsidP="008D536E">
      <w:pPr>
        <w:pStyle w:val="Paragraphedeliste"/>
        <w:numPr>
          <w:ilvl w:val="0"/>
          <w:numId w:val="6"/>
        </w:numPr>
        <w:spacing w:after="0" w:line="240" w:lineRule="auto"/>
        <w:jc w:val="both"/>
        <w:rPr>
          <w:rFonts w:ascii="Arial" w:hAnsi="Arial" w:cs="Arial"/>
          <w:color w:val="000000"/>
          <w:sz w:val="20"/>
          <w:szCs w:val="20"/>
        </w:rPr>
      </w:pPr>
      <w:r w:rsidRPr="00B6647E">
        <w:rPr>
          <w:rFonts w:ascii="Arial" w:hAnsi="Arial" w:cs="Arial"/>
          <w:color w:val="000000"/>
          <w:sz w:val="20"/>
          <w:szCs w:val="20"/>
        </w:rPr>
        <w:t>F14 : Sylviculture</w:t>
      </w:r>
    </w:p>
    <w:p w:rsidR="00940AC8" w:rsidRPr="00B6647E" w:rsidRDefault="00940AC8" w:rsidP="008D536E">
      <w:pPr>
        <w:pStyle w:val="Paragraphedeliste"/>
        <w:numPr>
          <w:ilvl w:val="0"/>
          <w:numId w:val="6"/>
        </w:numPr>
        <w:spacing w:line="240" w:lineRule="auto"/>
        <w:jc w:val="both"/>
        <w:rPr>
          <w:rFonts w:ascii="Arial" w:hAnsi="Arial" w:cs="Arial"/>
          <w:sz w:val="20"/>
          <w:szCs w:val="20"/>
        </w:rPr>
      </w:pPr>
      <w:r w:rsidRPr="00B6647E">
        <w:rPr>
          <w:rFonts w:ascii="Arial" w:hAnsi="Arial" w:cs="Arial"/>
          <w:sz w:val="20"/>
          <w:szCs w:val="20"/>
        </w:rPr>
        <w:t>Questionnaire communautaire (administré au cours de la saison C)</w:t>
      </w:r>
    </w:p>
    <w:p w:rsidR="00940AC8" w:rsidRPr="00B6647E" w:rsidRDefault="00940AC8" w:rsidP="008D536E">
      <w:pPr>
        <w:pStyle w:val="Paragraphedeliste"/>
        <w:numPr>
          <w:ilvl w:val="0"/>
          <w:numId w:val="6"/>
        </w:numPr>
        <w:spacing w:line="240" w:lineRule="auto"/>
        <w:jc w:val="both"/>
        <w:rPr>
          <w:rFonts w:ascii="Arial" w:hAnsi="Arial" w:cs="Arial"/>
          <w:sz w:val="20"/>
          <w:szCs w:val="20"/>
        </w:rPr>
      </w:pPr>
      <w:r w:rsidRPr="00B6647E">
        <w:rPr>
          <w:rFonts w:ascii="Arial" w:hAnsi="Arial" w:cs="Arial"/>
          <w:sz w:val="20"/>
          <w:szCs w:val="20"/>
        </w:rPr>
        <w:t>Une fiche « Liste des ménages échantillons  des ZD »</w:t>
      </w:r>
    </w:p>
    <w:p w:rsidR="00940AC8" w:rsidRPr="00B6647E" w:rsidRDefault="00940AC8" w:rsidP="008235FD">
      <w:pPr>
        <w:tabs>
          <w:tab w:val="left" w:pos="-720"/>
        </w:tabs>
        <w:suppressAutoHyphens/>
        <w:spacing w:line="240" w:lineRule="auto"/>
        <w:jc w:val="both"/>
        <w:rPr>
          <w:rFonts w:ascii="Arial" w:hAnsi="Arial" w:cs="Arial"/>
          <w:spacing w:val="-2"/>
          <w:sz w:val="20"/>
          <w:szCs w:val="20"/>
        </w:rPr>
      </w:pPr>
      <w:r w:rsidRPr="00B6647E">
        <w:rPr>
          <w:rFonts w:ascii="Arial" w:hAnsi="Arial" w:cs="Arial"/>
          <w:spacing w:val="-2"/>
          <w:sz w:val="20"/>
          <w:szCs w:val="20"/>
        </w:rPr>
        <w:t>Il y a trois manuels :</w:t>
      </w:r>
    </w:p>
    <w:p w:rsidR="00940AC8" w:rsidRPr="00B6647E" w:rsidRDefault="00940AC8" w:rsidP="008D536E">
      <w:pPr>
        <w:numPr>
          <w:ilvl w:val="0"/>
          <w:numId w:val="8"/>
        </w:numPr>
        <w:tabs>
          <w:tab w:val="left" w:pos="-720"/>
        </w:tabs>
        <w:suppressAutoHyphens/>
        <w:spacing w:after="0" w:line="240" w:lineRule="auto"/>
        <w:jc w:val="both"/>
        <w:rPr>
          <w:rFonts w:ascii="Arial" w:hAnsi="Arial" w:cs="Arial"/>
          <w:spacing w:val="-3"/>
          <w:sz w:val="20"/>
          <w:szCs w:val="20"/>
        </w:rPr>
      </w:pPr>
      <w:r w:rsidRPr="00B6647E">
        <w:rPr>
          <w:rFonts w:ascii="Arial" w:hAnsi="Arial" w:cs="Arial"/>
          <w:spacing w:val="-3"/>
          <w:sz w:val="20"/>
          <w:szCs w:val="20"/>
        </w:rPr>
        <w:t>Le manuel de l'agent enquêteur, mis à la disposition de celui-ci, contient les définitions des concepts et les instructions qui le guident dans l'entretien et le remplissage correct du questionnaire.</w:t>
      </w:r>
    </w:p>
    <w:p w:rsidR="00940AC8" w:rsidRPr="00B6647E" w:rsidRDefault="00940AC8" w:rsidP="008D536E">
      <w:pPr>
        <w:numPr>
          <w:ilvl w:val="0"/>
          <w:numId w:val="8"/>
        </w:numPr>
        <w:tabs>
          <w:tab w:val="left" w:pos="-720"/>
        </w:tabs>
        <w:suppressAutoHyphens/>
        <w:spacing w:after="0" w:line="240" w:lineRule="auto"/>
        <w:jc w:val="both"/>
        <w:rPr>
          <w:rFonts w:ascii="Arial" w:hAnsi="Arial" w:cs="Arial"/>
          <w:spacing w:val="-3"/>
          <w:sz w:val="20"/>
          <w:szCs w:val="20"/>
        </w:rPr>
      </w:pPr>
      <w:r w:rsidRPr="00B6647E">
        <w:rPr>
          <w:rFonts w:ascii="Arial" w:hAnsi="Arial" w:cs="Arial"/>
          <w:spacing w:val="-3"/>
          <w:sz w:val="20"/>
          <w:szCs w:val="20"/>
        </w:rPr>
        <w:t>Le manuel du contrôleur oriente celui-ci dans l’accomplissement correct de sa tâche.</w:t>
      </w:r>
    </w:p>
    <w:p w:rsidR="00940AC8" w:rsidRPr="00B6647E" w:rsidRDefault="00940AC8" w:rsidP="008D536E">
      <w:pPr>
        <w:numPr>
          <w:ilvl w:val="0"/>
          <w:numId w:val="8"/>
        </w:numPr>
        <w:tabs>
          <w:tab w:val="left" w:pos="-720"/>
        </w:tabs>
        <w:suppressAutoHyphens/>
        <w:spacing w:after="0" w:line="240" w:lineRule="auto"/>
        <w:jc w:val="both"/>
        <w:rPr>
          <w:rFonts w:ascii="Arial" w:hAnsi="Arial" w:cs="Arial"/>
          <w:spacing w:val="-3"/>
          <w:sz w:val="20"/>
          <w:szCs w:val="20"/>
        </w:rPr>
      </w:pPr>
      <w:r w:rsidRPr="00B6647E">
        <w:rPr>
          <w:rFonts w:ascii="Arial" w:hAnsi="Arial" w:cs="Arial"/>
          <w:spacing w:val="-3"/>
          <w:sz w:val="20"/>
          <w:szCs w:val="20"/>
        </w:rPr>
        <w:t>Le manuel du superviseur oriente celui-ci dans l’accomplissement correct de sa tâche.</w:t>
      </w:r>
    </w:p>
    <w:p w:rsidR="00940AC8" w:rsidRPr="00B6647E" w:rsidRDefault="00940AC8" w:rsidP="00F4371F">
      <w:pPr>
        <w:pStyle w:val="Titre3"/>
        <w:keepNext w:val="0"/>
        <w:spacing w:before="200" w:after="120"/>
        <w:rPr>
          <w:rFonts w:cs="Arial"/>
          <w:b w:val="0"/>
          <w:szCs w:val="20"/>
        </w:rPr>
      </w:pPr>
      <w:bookmarkStart w:id="60" w:name="_Toc336692117"/>
      <w:bookmarkStart w:id="61" w:name="_Toc354313834"/>
      <w:r w:rsidRPr="00B6647E">
        <w:rPr>
          <w:rFonts w:cs="Arial"/>
          <w:b w:val="0"/>
          <w:szCs w:val="20"/>
        </w:rPr>
        <w:t>Déroulement des opérations</w:t>
      </w:r>
      <w:bookmarkEnd w:id="60"/>
      <w:bookmarkEnd w:id="61"/>
    </w:p>
    <w:p w:rsidR="00940AC8" w:rsidRPr="00B6647E" w:rsidRDefault="00940AC8" w:rsidP="00F4371F">
      <w:pPr>
        <w:spacing w:after="120" w:line="240" w:lineRule="auto"/>
        <w:rPr>
          <w:rFonts w:ascii="Arial" w:hAnsi="Arial" w:cs="Arial"/>
          <w:i/>
          <w:sz w:val="20"/>
          <w:szCs w:val="20"/>
        </w:rPr>
      </w:pPr>
      <w:r w:rsidRPr="00B6647E">
        <w:rPr>
          <w:rFonts w:ascii="Arial" w:hAnsi="Arial" w:cs="Arial"/>
          <w:i/>
          <w:sz w:val="20"/>
          <w:szCs w:val="20"/>
        </w:rPr>
        <w:t>Formation</w:t>
      </w:r>
    </w:p>
    <w:p w:rsidR="00940AC8" w:rsidRPr="00B6647E" w:rsidRDefault="00940AC8" w:rsidP="008235FD">
      <w:pPr>
        <w:spacing w:line="240" w:lineRule="auto"/>
        <w:jc w:val="both"/>
        <w:rPr>
          <w:rFonts w:ascii="Arial" w:hAnsi="Arial" w:cs="Arial"/>
          <w:sz w:val="20"/>
          <w:szCs w:val="20"/>
        </w:rPr>
      </w:pPr>
      <w:r w:rsidRPr="00B6647E">
        <w:rPr>
          <w:rFonts w:ascii="Arial" w:hAnsi="Arial" w:cs="Arial"/>
          <w:sz w:val="20"/>
          <w:szCs w:val="20"/>
        </w:rPr>
        <w:t>Les formations  des différents types de personnel de terrain ont eu lieu :</w:t>
      </w:r>
    </w:p>
    <w:p w:rsidR="00940AC8" w:rsidRPr="00B6647E" w:rsidRDefault="00940AC8" w:rsidP="008D536E">
      <w:pPr>
        <w:numPr>
          <w:ilvl w:val="0"/>
          <w:numId w:val="8"/>
        </w:numPr>
        <w:tabs>
          <w:tab w:val="left" w:pos="-720"/>
        </w:tabs>
        <w:suppressAutoHyphens/>
        <w:spacing w:after="0" w:line="240" w:lineRule="auto"/>
        <w:jc w:val="both"/>
        <w:rPr>
          <w:rFonts w:ascii="Arial" w:hAnsi="Arial" w:cs="Arial"/>
          <w:spacing w:val="-3"/>
          <w:sz w:val="20"/>
          <w:szCs w:val="20"/>
        </w:rPr>
      </w:pPr>
      <w:r w:rsidRPr="00B6647E">
        <w:rPr>
          <w:rFonts w:ascii="Arial" w:hAnsi="Arial" w:cs="Arial"/>
          <w:spacing w:val="-3"/>
          <w:sz w:val="20"/>
          <w:szCs w:val="20"/>
        </w:rPr>
        <w:t>du 24 au 28 octobre 2011 pour les 8 superviseurs ;</w:t>
      </w:r>
    </w:p>
    <w:p w:rsidR="00940AC8" w:rsidRPr="00B6647E" w:rsidRDefault="00940AC8" w:rsidP="008D536E">
      <w:pPr>
        <w:numPr>
          <w:ilvl w:val="0"/>
          <w:numId w:val="8"/>
        </w:numPr>
        <w:tabs>
          <w:tab w:val="left" w:pos="-720"/>
        </w:tabs>
        <w:suppressAutoHyphens/>
        <w:spacing w:after="0" w:line="240" w:lineRule="auto"/>
        <w:jc w:val="both"/>
        <w:rPr>
          <w:rFonts w:ascii="Arial" w:hAnsi="Arial" w:cs="Arial"/>
          <w:spacing w:val="-3"/>
          <w:sz w:val="20"/>
          <w:szCs w:val="20"/>
        </w:rPr>
      </w:pPr>
      <w:r w:rsidRPr="00B6647E">
        <w:rPr>
          <w:rFonts w:ascii="Arial" w:hAnsi="Arial" w:cs="Arial"/>
          <w:spacing w:val="-3"/>
          <w:sz w:val="20"/>
          <w:szCs w:val="20"/>
        </w:rPr>
        <w:t>du 31 octobre 2011 au 4 novembre 2011 pour les 32 contrôleurs ;</w:t>
      </w:r>
    </w:p>
    <w:p w:rsidR="00940AC8" w:rsidRPr="00B6647E" w:rsidRDefault="00940AC8" w:rsidP="008D536E">
      <w:pPr>
        <w:numPr>
          <w:ilvl w:val="0"/>
          <w:numId w:val="8"/>
        </w:numPr>
        <w:tabs>
          <w:tab w:val="left" w:pos="-720"/>
        </w:tabs>
        <w:suppressAutoHyphens/>
        <w:spacing w:after="0" w:line="240" w:lineRule="auto"/>
        <w:jc w:val="both"/>
        <w:rPr>
          <w:rFonts w:ascii="Arial" w:hAnsi="Arial" w:cs="Arial"/>
          <w:spacing w:val="-3"/>
          <w:sz w:val="20"/>
          <w:szCs w:val="20"/>
        </w:rPr>
      </w:pPr>
      <w:r w:rsidRPr="00B6647E">
        <w:rPr>
          <w:rFonts w:ascii="Arial" w:hAnsi="Arial" w:cs="Arial"/>
          <w:spacing w:val="-3"/>
          <w:sz w:val="20"/>
          <w:szCs w:val="20"/>
        </w:rPr>
        <w:t>du 7 novembre au 11 novembre 2011 pour les 240 enquêteurs dont 160 ont été retenus à la fin du dénombrement ; les 80 autres sont des enquêteurs de réserve à raison de 5 par province.</w:t>
      </w:r>
    </w:p>
    <w:p w:rsidR="00940AC8" w:rsidRPr="00B6647E" w:rsidRDefault="00940AC8" w:rsidP="00F4371F">
      <w:pPr>
        <w:spacing w:before="120" w:after="120" w:line="240" w:lineRule="auto"/>
        <w:rPr>
          <w:rFonts w:ascii="Arial" w:hAnsi="Arial" w:cs="Arial"/>
          <w:i/>
          <w:sz w:val="20"/>
          <w:szCs w:val="20"/>
        </w:rPr>
      </w:pPr>
      <w:r w:rsidRPr="00B6647E">
        <w:rPr>
          <w:rFonts w:ascii="Arial" w:hAnsi="Arial" w:cs="Arial"/>
          <w:i/>
          <w:sz w:val="20"/>
          <w:szCs w:val="20"/>
        </w:rPr>
        <w:t>Collecte des données</w:t>
      </w:r>
    </w:p>
    <w:p w:rsidR="00940AC8" w:rsidRPr="00B6647E" w:rsidRDefault="00526C0E" w:rsidP="008235FD">
      <w:pPr>
        <w:spacing w:line="240" w:lineRule="auto"/>
        <w:jc w:val="both"/>
        <w:rPr>
          <w:rFonts w:ascii="Arial" w:hAnsi="Arial" w:cs="Arial"/>
          <w:sz w:val="20"/>
          <w:szCs w:val="20"/>
        </w:rPr>
      </w:pPr>
      <w:r w:rsidRPr="00B6647E">
        <w:rPr>
          <w:rFonts w:ascii="Arial" w:hAnsi="Arial" w:cs="Arial"/>
          <w:sz w:val="20"/>
          <w:szCs w:val="20"/>
        </w:rPr>
        <w:t xml:space="preserve">La phase de collecte de la saison A de l’ENAB a commencé le 13 novembre 2011 pour s’achever le 15 mars 2012, celle de la saison B </w:t>
      </w:r>
      <w:r w:rsidR="00940AC8" w:rsidRPr="00B6647E">
        <w:rPr>
          <w:rFonts w:ascii="Arial" w:hAnsi="Arial" w:cs="Arial"/>
          <w:sz w:val="20"/>
          <w:szCs w:val="20"/>
        </w:rPr>
        <w:t xml:space="preserve">a </w:t>
      </w:r>
      <w:r w:rsidRPr="00B6647E">
        <w:rPr>
          <w:rFonts w:ascii="Arial" w:hAnsi="Arial" w:cs="Arial"/>
          <w:sz w:val="20"/>
          <w:szCs w:val="20"/>
        </w:rPr>
        <w:t xml:space="preserve">débuté </w:t>
      </w:r>
      <w:r w:rsidR="00940AC8" w:rsidRPr="00B6647E">
        <w:rPr>
          <w:rFonts w:ascii="Arial" w:hAnsi="Arial" w:cs="Arial"/>
          <w:sz w:val="20"/>
          <w:szCs w:val="20"/>
        </w:rPr>
        <w:t>le 1</w:t>
      </w:r>
      <w:r w:rsidRPr="00B6647E">
        <w:rPr>
          <w:rFonts w:ascii="Arial" w:hAnsi="Arial" w:cs="Arial"/>
          <w:sz w:val="20"/>
          <w:szCs w:val="20"/>
        </w:rPr>
        <w:t>6</w:t>
      </w:r>
      <w:r w:rsidR="00940AC8" w:rsidRPr="00B6647E">
        <w:rPr>
          <w:rFonts w:ascii="Arial" w:hAnsi="Arial" w:cs="Arial"/>
          <w:sz w:val="20"/>
          <w:szCs w:val="20"/>
        </w:rPr>
        <w:t xml:space="preserve"> février 2012 pour s’achever le 1</w:t>
      </w:r>
      <w:r w:rsidRPr="00B6647E">
        <w:rPr>
          <w:rFonts w:ascii="Arial" w:hAnsi="Arial" w:cs="Arial"/>
          <w:sz w:val="20"/>
          <w:szCs w:val="20"/>
        </w:rPr>
        <w:t>5</w:t>
      </w:r>
      <w:r w:rsidR="00940AC8" w:rsidRPr="00B6647E">
        <w:rPr>
          <w:rFonts w:ascii="Arial" w:hAnsi="Arial" w:cs="Arial"/>
          <w:sz w:val="20"/>
          <w:szCs w:val="20"/>
        </w:rPr>
        <w:t xml:space="preserve"> juin 2012</w:t>
      </w:r>
      <w:r w:rsidRPr="00B6647E">
        <w:rPr>
          <w:rFonts w:ascii="Arial" w:hAnsi="Arial" w:cs="Arial"/>
          <w:sz w:val="20"/>
          <w:szCs w:val="20"/>
        </w:rPr>
        <w:t xml:space="preserve"> et en saison C la collecte s’est déroulée du</w:t>
      </w:r>
      <w:r w:rsidR="00940AC8" w:rsidRPr="00B6647E">
        <w:rPr>
          <w:rFonts w:ascii="Arial" w:hAnsi="Arial" w:cs="Arial"/>
          <w:sz w:val="20"/>
          <w:szCs w:val="20"/>
        </w:rPr>
        <w:t xml:space="preserve"> </w:t>
      </w:r>
      <w:r w:rsidRPr="00B6647E">
        <w:rPr>
          <w:rFonts w:ascii="Arial" w:hAnsi="Arial" w:cs="Arial"/>
          <w:sz w:val="20"/>
          <w:szCs w:val="20"/>
        </w:rPr>
        <w:t>16 juin au 15 septembre 2102.</w:t>
      </w:r>
    </w:p>
    <w:p w:rsidR="00940AC8" w:rsidRPr="00B6647E" w:rsidRDefault="00940AC8" w:rsidP="008235FD">
      <w:pPr>
        <w:tabs>
          <w:tab w:val="left" w:pos="-720"/>
        </w:tabs>
        <w:suppressAutoHyphens/>
        <w:spacing w:before="120" w:after="120" w:line="240" w:lineRule="auto"/>
        <w:jc w:val="both"/>
        <w:rPr>
          <w:rFonts w:ascii="Arial" w:hAnsi="Arial" w:cs="Arial"/>
          <w:sz w:val="20"/>
          <w:szCs w:val="20"/>
        </w:rPr>
      </w:pPr>
      <w:r w:rsidRPr="00B6647E">
        <w:rPr>
          <w:rFonts w:ascii="Arial" w:hAnsi="Arial" w:cs="Arial"/>
          <w:sz w:val="20"/>
          <w:szCs w:val="20"/>
        </w:rPr>
        <w:t xml:space="preserve">Le dispositif de collecte est formé de 160 enquêteurs, 32 contrôleurs, de 8 superviseurs. </w:t>
      </w:r>
    </w:p>
    <w:p w:rsidR="00940AC8" w:rsidRPr="00B6647E" w:rsidRDefault="00940AC8" w:rsidP="008235FD">
      <w:pPr>
        <w:spacing w:line="240" w:lineRule="auto"/>
        <w:jc w:val="both"/>
        <w:rPr>
          <w:rFonts w:ascii="Arial" w:hAnsi="Arial" w:cs="Arial"/>
          <w:sz w:val="20"/>
          <w:szCs w:val="20"/>
        </w:rPr>
      </w:pPr>
      <w:r w:rsidRPr="00B6647E">
        <w:rPr>
          <w:rFonts w:ascii="Arial" w:hAnsi="Arial" w:cs="Arial"/>
          <w:sz w:val="20"/>
          <w:szCs w:val="20"/>
        </w:rPr>
        <w:t>La charge de travail par enquêteur était très inégale du fait du nombre de parcelles différentes selon les ménages. C’est pourquoi, dans chaque province, les enquêteurs qui ont terminé la collecte dans leurs ZD ont été redéployés dans d’autres ZD pour appuyer ceux qui n’avaient pas fini.</w:t>
      </w:r>
    </w:p>
    <w:p w:rsidR="00940AC8" w:rsidRPr="00B6647E" w:rsidRDefault="00940AC8" w:rsidP="00DF128C">
      <w:pPr>
        <w:spacing w:after="240" w:line="240" w:lineRule="auto"/>
        <w:jc w:val="both"/>
        <w:rPr>
          <w:rFonts w:ascii="Arial" w:hAnsi="Arial" w:cs="Arial"/>
          <w:sz w:val="20"/>
          <w:szCs w:val="20"/>
        </w:rPr>
      </w:pPr>
      <w:r w:rsidRPr="00B6647E">
        <w:rPr>
          <w:rFonts w:ascii="Arial" w:hAnsi="Arial" w:cs="Arial"/>
          <w:sz w:val="20"/>
          <w:szCs w:val="20"/>
        </w:rPr>
        <w:t xml:space="preserve">Il faut noter que les superficies ont été estimées par le GPS et par la boussole. Les GPS donnent en général de bons résultats pour les grandes superficies avec un gain de temps très important. C’est </w:t>
      </w:r>
      <w:r w:rsidRPr="00B6647E">
        <w:rPr>
          <w:rFonts w:ascii="Arial" w:hAnsi="Arial" w:cs="Arial"/>
          <w:sz w:val="20"/>
          <w:szCs w:val="20"/>
        </w:rPr>
        <w:lastRenderedPageBreak/>
        <w:t>pourquoi, les champs ont été mesurés uniquement par le GPS. Les parcelles ont été mesurées aussi bien par le GPS que la boussole. Les données de la boussole, plus fiables pour les petites superficies ont été utilisées pour estimer les superficies des parcelles.</w:t>
      </w:r>
    </w:p>
    <w:p w:rsidR="00AF0AD3" w:rsidRPr="00B6647E" w:rsidRDefault="00AF0AD3" w:rsidP="00AF0AD3">
      <w:pPr>
        <w:tabs>
          <w:tab w:val="left" w:pos="7417"/>
        </w:tabs>
        <w:spacing w:line="240" w:lineRule="auto"/>
        <w:jc w:val="both"/>
        <w:rPr>
          <w:rFonts w:ascii="Arial" w:hAnsi="Arial" w:cs="Arial"/>
          <w:sz w:val="20"/>
          <w:szCs w:val="20"/>
          <w:lang w:val="fr-FR"/>
        </w:rPr>
      </w:pPr>
      <w:r w:rsidRPr="00B6647E">
        <w:rPr>
          <w:rFonts w:ascii="Arial" w:hAnsi="Arial" w:cs="Arial"/>
          <w:sz w:val="20"/>
          <w:szCs w:val="20"/>
          <w:lang w:val="fr-FR" w:eastAsia="de-DE"/>
        </w:rPr>
        <w:t xml:space="preserve">Au cours de chaque saison, ne </w:t>
      </w:r>
      <w:r w:rsidRPr="00B6647E">
        <w:rPr>
          <w:rFonts w:ascii="Arial" w:hAnsi="Arial" w:cs="Arial"/>
          <w:sz w:val="20"/>
          <w:szCs w:val="20"/>
          <w:lang w:val="fr-FR"/>
        </w:rPr>
        <w:t>seront prise en compte</w:t>
      </w:r>
      <w:r w:rsidRPr="00B6647E">
        <w:rPr>
          <w:rFonts w:ascii="Arial" w:hAnsi="Arial" w:cs="Arial"/>
          <w:sz w:val="20"/>
          <w:szCs w:val="20"/>
          <w:lang w:val="fr-FR" w:eastAsia="de-DE"/>
        </w:rPr>
        <w:t xml:space="preserve"> que les productions d</w:t>
      </w:r>
      <w:r w:rsidRPr="00B6647E">
        <w:rPr>
          <w:rFonts w:ascii="Arial" w:hAnsi="Arial" w:cs="Arial"/>
          <w:sz w:val="20"/>
          <w:szCs w:val="20"/>
          <w:lang w:val="fr-FR"/>
        </w:rPr>
        <w:t>es cultures pérennes (manioc, banane) et celles des cultures semées pendant cette saison.</w:t>
      </w:r>
    </w:p>
    <w:p w:rsidR="00AF0AD3" w:rsidRPr="00B6647E" w:rsidRDefault="00AF0AD3" w:rsidP="00AF0AD3">
      <w:pPr>
        <w:spacing w:line="240" w:lineRule="auto"/>
        <w:jc w:val="both"/>
        <w:rPr>
          <w:rFonts w:ascii="Arial" w:hAnsi="Arial" w:cs="Arial"/>
          <w:sz w:val="20"/>
          <w:szCs w:val="20"/>
          <w:lang w:val="fr-FR" w:eastAsia="de-DE"/>
        </w:rPr>
      </w:pPr>
      <w:r w:rsidRPr="00B6647E">
        <w:rPr>
          <w:rFonts w:ascii="Arial" w:hAnsi="Arial" w:cs="Arial"/>
          <w:sz w:val="20"/>
          <w:szCs w:val="20"/>
          <w:lang w:val="fr-FR" w:eastAsia="de-DE"/>
        </w:rPr>
        <w:t>L’estimation de la récolte totale a tenu compte des quatre situations suivantes :</w:t>
      </w:r>
    </w:p>
    <w:p w:rsidR="00AF0AD3" w:rsidRPr="00B6647E" w:rsidRDefault="00AF0AD3" w:rsidP="00AF0AD3">
      <w:pPr>
        <w:pStyle w:val="Paragraphedeliste"/>
        <w:numPr>
          <w:ilvl w:val="0"/>
          <w:numId w:val="18"/>
        </w:numPr>
        <w:spacing w:line="240" w:lineRule="auto"/>
        <w:jc w:val="both"/>
        <w:rPr>
          <w:rFonts w:ascii="Arial" w:hAnsi="Arial" w:cs="Arial"/>
          <w:sz w:val="20"/>
          <w:szCs w:val="20"/>
          <w:lang w:val="fr-FR" w:eastAsia="de-DE"/>
        </w:rPr>
      </w:pPr>
      <w:r w:rsidRPr="00B6647E">
        <w:rPr>
          <w:rFonts w:ascii="Arial" w:hAnsi="Arial" w:cs="Arial"/>
          <w:sz w:val="20"/>
          <w:szCs w:val="20"/>
          <w:lang w:val="fr-FR" w:eastAsia="de-DE"/>
        </w:rPr>
        <w:t>Cultures (autres que pérennes) récoltées pendant la saison en cours mais semées/plantées au cours de la saison précédente ;</w:t>
      </w:r>
    </w:p>
    <w:p w:rsidR="00AF0AD3" w:rsidRPr="00B6647E" w:rsidRDefault="00AF0AD3" w:rsidP="00AF0AD3">
      <w:pPr>
        <w:pStyle w:val="Paragraphedeliste"/>
        <w:numPr>
          <w:ilvl w:val="0"/>
          <w:numId w:val="18"/>
        </w:numPr>
        <w:spacing w:line="240" w:lineRule="auto"/>
        <w:jc w:val="both"/>
        <w:rPr>
          <w:rFonts w:ascii="Arial" w:hAnsi="Arial" w:cs="Arial"/>
          <w:sz w:val="20"/>
          <w:szCs w:val="20"/>
          <w:lang w:val="fr-FR" w:eastAsia="de-DE"/>
        </w:rPr>
      </w:pPr>
      <w:r w:rsidRPr="00B6647E">
        <w:rPr>
          <w:rFonts w:ascii="Arial" w:hAnsi="Arial" w:cs="Arial"/>
          <w:sz w:val="20"/>
          <w:szCs w:val="20"/>
          <w:lang w:val="fr-FR" w:eastAsia="de-DE"/>
        </w:rPr>
        <w:t>Cultures semées et récolées au cours de la saison en cours ;</w:t>
      </w:r>
    </w:p>
    <w:p w:rsidR="00AF0AD3" w:rsidRPr="00B6647E" w:rsidRDefault="00AF0AD3" w:rsidP="00AF0AD3">
      <w:pPr>
        <w:pStyle w:val="Paragraphedeliste"/>
        <w:numPr>
          <w:ilvl w:val="0"/>
          <w:numId w:val="18"/>
        </w:numPr>
        <w:spacing w:line="240" w:lineRule="auto"/>
        <w:jc w:val="both"/>
        <w:rPr>
          <w:rFonts w:ascii="Arial" w:hAnsi="Arial" w:cs="Arial"/>
          <w:sz w:val="20"/>
          <w:szCs w:val="20"/>
          <w:lang w:val="fr-FR" w:eastAsia="de-DE"/>
        </w:rPr>
      </w:pPr>
      <w:r w:rsidRPr="00B6647E">
        <w:rPr>
          <w:rFonts w:ascii="Arial" w:hAnsi="Arial" w:cs="Arial"/>
          <w:sz w:val="20"/>
          <w:szCs w:val="20"/>
          <w:lang w:val="fr-FR" w:eastAsia="de-DE"/>
        </w:rPr>
        <w:t>Cultures semées pendant la saison en cours mais déjà récoltées au moment de la pose des carrés de rendement ;</w:t>
      </w:r>
    </w:p>
    <w:p w:rsidR="00AF0AD3" w:rsidRPr="00B6647E" w:rsidRDefault="00AF0AD3" w:rsidP="00AF0AD3">
      <w:pPr>
        <w:pStyle w:val="Paragraphedeliste"/>
        <w:numPr>
          <w:ilvl w:val="0"/>
          <w:numId w:val="18"/>
        </w:numPr>
        <w:spacing w:line="240" w:lineRule="auto"/>
        <w:jc w:val="both"/>
        <w:rPr>
          <w:rFonts w:ascii="Arial" w:hAnsi="Arial" w:cs="Arial"/>
          <w:sz w:val="20"/>
          <w:szCs w:val="20"/>
          <w:lang w:val="fr-FR" w:eastAsia="de-DE"/>
        </w:rPr>
      </w:pPr>
      <w:r w:rsidRPr="00B6647E">
        <w:rPr>
          <w:rFonts w:ascii="Arial" w:hAnsi="Arial" w:cs="Arial"/>
          <w:sz w:val="20"/>
          <w:szCs w:val="20"/>
          <w:lang w:val="fr-FR" w:eastAsia="de-DE"/>
        </w:rPr>
        <w:t>Cultures semées dans la saison en cours et récolées au cours de la saison suivante,</w:t>
      </w:r>
    </w:p>
    <w:p w:rsidR="00AF0AD3" w:rsidRPr="00B6647E" w:rsidRDefault="00AF0AD3" w:rsidP="00AF0AD3">
      <w:pPr>
        <w:pStyle w:val="Paragraphedeliste"/>
        <w:numPr>
          <w:ilvl w:val="0"/>
          <w:numId w:val="18"/>
        </w:numPr>
        <w:spacing w:line="240" w:lineRule="auto"/>
        <w:jc w:val="both"/>
        <w:rPr>
          <w:rFonts w:ascii="Arial" w:hAnsi="Arial" w:cs="Arial"/>
          <w:sz w:val="20"/>
          <w:szCs w:val="20"/>
          <w:lang w:val="fr-FR" w:eastAsia="de-DE"/>
        </w:rPr>
      </w:pPr>
      <w:r w:rsidRPr="00B6647E">
        <w:rPr>
          <w:rFonts w:ascii="Arial" w:hAnsi="Arial" w:cs="Arial"/>
          <w:sz w:val="20"/>
          <w:szCs w:val="20"/>
          <w:lang w:val="fr-FR" w:eastAsia="de-DE"/>
        </w:rPr>
        <w:t>Cultures pérennes (manioc, banane) récolées au pendant la saison en cours.</w:t>
      </w:r>
    </w:p>
    <w:p w:rsidR="00AF0AD3" w:rsidRPr="00B6647E" w:rsidRDefault="00AF0AD3" w:rsidP="00AF0AD3">
      <w:pPr>
        <w:spacing w:line="240" w:lineRule="auto"/>
        <w:jc w:val="both"/>
        <w:rPr>
          <w:rFonts w:ascii="Arial" w:hAnsi="Arial" w:cs="Arial"/>
          <w:sz w:val="20"/>
          <w:szCs w:val="20"/>
          <w:lang w:val="fr-FR" w:eastAsia="de-DE"/>
        </w:rPr>
      </w:pPr>
      <w:bookmarkStart w:id="62" w:name="_Toc314416875"/>
      <w:bookmarkStart w:id="63" w:name="_Toc314493757"/>
      <w:bookmarkStart w:id="64" w:name="_Toc314493954"/>
      <w:r w:rsidRPr="00B6647E">
        <w:rPr>
          <w:rFonts w:ascii="Arial" w:hAnsi="Arial" w:cs="Arial"/>
          <w:b/>
          <w:sz w:val="20"/>
          <w:szCs w:val="20"/>
          <w:lang w:val="fr-FR"/>
        </w:rPr>
        <w:t>Cultures récoltées pendant la saison en cours mais semées/plantées au cours de la saison précédente</w:t>
      </w:r>
      <w:bookmarkEnd w:id="62"/>
      <w:bookmarkEnd w:id="63"/>
      <w:bookmarkEnd w:id="64"/>
      <w:r w:rsidRPr="00B6647E">
        <w:rPr>
          <w:rFonts w:ascii="Arial" w:hAnsi="Arial" w:cs="Arial"/>
          <w:b/>
          <w:sz w:val="20"/>
          <w:szCs w:val="20"/>
          <w:lang w:val="fr-FR"/>
        </w:rPr>
        <w:t xml:space="preserve"> : </w:t>
      </w:r>
      <w:r w:rsidRPr="00B6647E">
        <w:rPr>
          <w:rFonts w:ascii="Arial" w:hAnsi="Arial" w:cs="Arial"/>
          <w:sz w:val="20"/>
          <w:szCs w:val="20"/>
          <w:lang w:val="fr-FR" w:eastAsia="de-DE"/>
        </w:rPr>
        <w:t>Cette production sera prise en compte dans la production de la saison en cours.</w:t>
      </w:r>
    </w:p>
    <w:p w:rsidR="00AF0AD3" w:rsidRPr="00B6647E" w:rsidRDefault="00AF0AD3" w:rsidP="00AF0AD3">
      <w:pPr>
        <w:spacing w:line="240" w:lineRule="auto"/>
        <w:jc w:val="both"/>
        <w:rPr>
          <w:rFonts w:ascii="Arial" w:hAnsi="Arial" w:cs="Arial"/>
          <w:sz w:val="20"/>
          <w:szCs w:val="20"/>
          <w:lang w:val="fr-FR" w:eastAsia="de-DE"/>
        </w:rPr>
      </w:pPr>
      <w:bookmarkStart w:id="65" w:name="_Toc314416876"/>
      <w:bookmarkStart w:id="66" w:name="_Toc314493758"/>
      <w:bookmarkStart w:id="67" w:name="_Toc314493955"/>
      <w:r w:rsidRPr="00B6647E">
        <w:rPr>
          <w:rFonts w:ascii="Arial" w:hAnsi="Arial" w:cs="Arial"/>
          <w:b/>
          <w:sz w:val="20"/>
          <w:szCs w:val="20"/>
          <w:lang w:val="fr-FR"/>
        </w:rPr>
        <w:t>Cultures semées/plantées et récolées au cours de la saison en cours</w:t>
      </w:r>
      <w:bookmarkEnd w:id="65"/>
      <w:bookmarkEnd w:id="66"/>
      <w:bookmarkEnd w:id="67"/>
      <w:r w:rsidRPr="00B6647E">
        <w:rPr>
          <w:rFonts w:ascii="Arial" w:hAnsi="Arial" w:cs="Arial"/>
          <w:b/>
          <w:sz w:val="20"/>
          <w:szCs w:val="20"/>
          <w:lang w:val="fr-FR"/>
        </w:rPr>
        <w:t xml:space="preserve"> : </w:t>
      </w:r>
      <w:r w:rsidRPr="00B6647E">
        <w:rPr>
          <w:rFonts w:ascii="Arial" w:hAnsi="Arial" w:cs="Arial"/>
          <w:sz w:val="20"/>
          <w:szCs w:val="20"/>
          <w:lang w:val="fr-FR" w:eastAsia="de-DE"/>
        </w:rPr>
        <w:t xml:space="preserve">Cette production est évidemment prise en compte dans la production de la saison en cours. </w:t>
      </w:r>
      <w:bookmarkStart w:id="68" w:name="_Toc314416877"/>
      <w:bookmarkStart w:id="69" w:name="_Toc314493759"/>
      <w:bookmarkStart w:id="70" w:name="_Toc314493956"/>
    </w:p>
    <w:p w:rsidR="00AF0AD3" w:rsidRPr="00B6647E" w:rsidRDefault="00AF0AD3" w:rsidP="00AF0AD3">
      <w:pPr>
        <w:spacing w:line="240" w:lineRule="auto"/>
        <w:jc w:val="both"/>
        <w:rPr>
          <w:rFonts w:ascii="Arial" w:hAnsi="Arial" w:cs="Arial"/>
          <w:sz w:val="20"/>
          <w:szCs w:val="20"/>
          <w:lang w:val="fr-FR"/>
        </w:rPr>
      </w:pPr>
      <w:r w:rsidRPr="00B6647E">
        <w:rPr>
          <w:rFonts w:ascii="Arial" w:hAnsi="Arial" w:cs="Arial"/>
          <w:b/>
          <w:sz w:val="20"/>
          <w:szCs w:val="20"/>
          <w:lang w:val="fr-FR"/>
        </w:rPr>
        <w:t>Cultures semées/plantées pendant la saison en cours mais déjà récoltées au</w:t>
      </w:r>
      <w:r w:rsidRPr="00B6647E">
        <w:rPr>
          <w:rFonts w:ascii="Arial" w:hAnsi="Arial" w:cs="Arial"/>
          <w:b/>
          <w:sz w:val="20"/>
          <w:szCs w:val="20"/>
          <w:lang w:val="fr-FR" w:eastAsia="de-DE"/>
        </w:rPr>
        <w:t xml:space="preserve"> moment de la pose des carrés de rendement</w:t>
      </w:r>
      <w:bookmarkEnd w:id="68"/>
      <w:bookmarkEnd w:id="69"/>
      <w:bookmarkEnd w:id="70"/>
      <w:r w:rsidRPr="00B6647E">
        <w:rPr>
          <w:rFonts w:ascii="Arial" w:hAnsi="Arial" w:cs="Arial"/>
          <w:b/>
          <w:sz w:val="20"/>
          <w:szCs w:val="20"/>
          <w:lang w:val="fr-FR" w:eastAsia="de-DE"/>
        </w:rPr>
        <w:t xml:space="preserve"> : </w:t>
      </w:r>
      <w:r w:rsidRPr="00B6647E">
        <w:rPr>
          <w:rFonts w:ascii="Arial" w:hAnsi="Arial" w:cs="Arial"/>
          <w:sz w:val="20"/>
          <w:szCs w:val="20"/>
          <w:lang w:eastAsia="de-DE"/>
        </w:rPr>
        <w:t>L</w:t>
      </w:r>
      <w:r w:rsidRPr="00B6647E">
        <w:rPr>
          <w:rFonts w:ascii="Arial" w:hAnsi="Arial" w:cs="Arial"/>
          <w:sz w:val="20"/>
          <w:szCs w:val="20"/>
          <w:lang w:val="fr-FR"/>
        </w:rPr>
        <w:t>a production de ces cultures a été prise en compte dans la production de la saison précédente.</w:t>
      </w:r>
    </w:p>
    <w:p w:rsidR="00AF0AD3" w:rsidRPr="00B6647E" w:rsidRDefault="00AF0AD3" w:rsidP="00AF0AD3">
      <w:pPr>
        <w:spacing w:line="240" w:lineRule="auto"/>
        <w:jc w:val="both"/>
        <w:rPr>
          <w:rFonts w:ascii="Arial" w:hAnsi="Arial" w:cs="Arial"/>
          <w:sz w:val="20"/>
          <w:szCs w:val="20"/>
          <w:lang w:val="fr-FR"/>
        </w:rPr>
      </w:pPr>
      <w:bookmarkStart w:id="71" w:name="_Toc314416878"/>
      <w:bookmarkStart w:id="72" w:name="_Toc314493760"/>
      <w:bookmarkStart w:id="73" w:name="_Toc314493957"/>
      <w:r w:rsidRPr="00B6647E">
        <w:rPr>
          <w:rFonts w:ascii="Arial" w:hAnsi="Arial" w:cs="Arial"/>
          <w:b/>
          <w:sz w:val="20"/>
          <w:szCs w:val="20"/>
          <w:lang w:val="fr-FR"/>
        </w:rPr>
        <w:t>Cultures semées dans la saison en cours et récolées au cours de la saison suivante</w:t>
      </w:r>
      <w:bookmarkEnd w:id="71"/>
      <w:bookmarkEnd w:id="72"/>
      <w:bookmarkEnd w:id="73"/>
      <w:r w:rsidRPr="00B6647E">
        <w:rPr>
          <w:rFonts w:ascii="Arial" w:hAnsi="Arial" w:cs="Arial"/>
          <w:b/>
          <w:sz w:val="20"/>
          <w:szCs w:val="20"/>
          <w:lang w:val="fr-FR"/>
        </w:rPr>
        <w:t> :</w:t>
      </w:r>
      <w:r w:rsidRPr="00B6647E">
        <w:rPr>
          <w:rFonts w:ascii="Arial" w:hAnsi="Arial" w:cs="Arial"/>
          <w:sz w:val="20"/>
          <w:szCs w:val="20"/>
          <w:lang w:val="fr-FR"/>
        </w:rPr>
        <w:t xml:space="preserve"> La production de ces cultures sera estimée dans la saison suivante.</w:t>
      </w:r>
    </w:p>
    <w:p w:rsidR="00AF0AD3" w:rsidRPr="00B6647E" w:rsidRDefault="00AF0AD3" w:rsidP="00AF0AD3">
      <w:pPr>
        <w:spacing w:line="240" w:lineRule="auto"/>
        <w:jc w:val="both"/>
        <w:rPr>
          <w:rFonts w:ascii="Arial" w:hAnsi="Arial" w:cs="Arial"/>
          <w:sz w:val="20"/>
          <w:szCs w:val="20"/>
          <w:lang w:val="fr-FR"/>
        </w:rPr>
      </w:pPr>
      <w:r w:rsidRPr="00B6647E">
        <w:rPr>
          <w:rFonts w:ascii="Arial" w:hAnsi="Arial" w:cs="Arial"/>
          <w:b/>
          <w:sz w:val="20"/>
          <w:szCs w:val="20"/>
          <w:lang w:val="fr-FR"/>
        </w:rPr>
        <w:t xml:space="preserve">Cultures pérennes récolées au cours de la saison en cours : </w:t>
      </w:r>
      <w:r w:rsidRPr="00B6647E">
        <w:rPr>
          <w:rFonts w:ascii="Arial" w:hAnsi="Arial" w:cs="Arial"/>
          <w:sz w:val="20"/>
          <w:szCs w:val="20"/>
          <w:lang w:val="fr-FR"/>
        </w:rPr>
        <w:t>Cultures pérennes : cultures vivant au moins un an (3 saisons). La limite d’un an étant fixée pour séparer les pérennes des autres saisonnières. Les cultures pérennes (patate douce, manioc, banane) peuvent couvrir les trois saisons agricoles. Leur récolte sera considérée comme production de la saison dans laquelle a lieu leur récolte.</w:t>
      </w:r>
    </w:p>
    <w:p w:rsidR="007C1B09" w:rsidRPr="00B6647E" w:rsidRDefault="00AF0AD3" w:rsidP="00DF128C">
      <w:pPr>
        <w:spacing w:after="240" w:line="240" w:lineRule="auto"/>
        <w:jc w:val="both"/>
        <w:rPr>
          <w:rFonts w:ascii="Arial" w:hAnsi="Arial" w:cs="Arial"/>
          <w:sz w:val="20"/>
          <w:szCs w:val="20"/>
          <w:lang w:val="fr-FR"/>
        </w:rPr>
      </w:pPr>
      <w:r w:rsidRPr="00B6647E">
        <w:rPr>
          <w:rFonts w:ascii="Arial" w:hAnsi="Arial" w:cs="Arial"/>
          <w:sz w:val="20"/>
          <w:szCs w:val="20"/>
          <w:lang w:val="fr-FR"/>
        </w:rPr>
        <w:t>En résumé</w:t>
      </w:r>
      <w:r w:rsidR="00636EE5" w:rsidRPr="00B6647E">
        <w:rPr>
          <w:rFonts w:ascii="Arial" w:hAnsi="Arial" w:cs="Arial"/>
          <w:sz w:val="20"/>
          <w:szCs w:val="20"/>
          <w:lang w:val="fr-FR"/>
        </w:rPr>
        <w:t>,</w:t>
      </w:r>
      <w:r w:rsidRPr="00B6647E">
        <w:rPr>
          <w:rFonts w:ascii="Arial" w:hAnsi="Arial" w:cs="Arial"/>
          <w:sz w:val="20"/>
          <w:szCs w:val="20"/>
          <w:lang w:val="fr-FR"/>
        </w:rPr>
        <w:t xml:space="preserve"> la production de chaque culture est affectée à la saison dans laquelle elle a été effectuée.</w:t>
      </w:r>
    </w:p>
    <w:p w:rsidR="00940AC8" w:rsidRPr="00B6647E" w:rsidRDefault="00940AC8" w:rsidP="006F1778">
      <w:pPr>
        <w:pStyle w:val="Titre2"/>
        <w:keepNext w:val="0"/>
        <w:numPr>
          <w:ilvl w:val="1"/>
          <w:numId w:val="1"/>
        </w:numPr>
        <w:spacing w:before="240" w:after="200"/>
        <w:ind w:left="0" w:firstLine="0"/>
        <w:rPr>
          <w:rFonts w:cs="Arial"/>
          <w:u w:val="dotDash"/>
        </w:rPr>
      </w:pPr>
      <w:bookmarkStart w:id="74" w:name="_Toc336692118"/>
      <w:bookmarkStart w:id="75" w:name="_Toc354313835"/>
      <w:r w:rsidRPr="00B6647E">
        <w:rPr>
          <w:rFonts w:cs="Arial"/>
          <w:u w:val="dotDash"/>
        </w:rPr>
        <w:t>Traitement des données</w:t>
      </w:r>
      <w:bookmarkEnd w:id="74"/>
      <w:bookmarkEnd w:id="75"/>
    </w:p>
    <w:p w:rsidR="00940AC8" w:rsidRPr="00B6647E" w:rsidRDefault="00940AC8" w:rsidP="00DF128C">
      <w:pPr>
        <w:spacing w:after="120" w:line="240" w:lineRule="auto"/>
        <w:rPr>
          <w:rFonts w:ascii="Arial" w:hAnsi="Arial" w:cs="Arial"/>
          <w:i/>
          <w:sz w:val="20"/>
          <w:szCs w:val="20"/>
        </w:rPr>
      </w:pPr>
      <w:r w:rsidRPr="00B6647E">
        <w:rPr>
          <w:rFonts w:ascii="Arial" w:hAnsi="Arial" w:cs="Arial"/>
          <w:i/>
          <w:sz w:val="20"/>
          <w:szCs w:val="20"/>
        </w:rPr>
        <w:t>Saisie</w:t>
      </w:r>
    </w:p>
    <w:p w:rsidR="00940AC8" w:rsidRPr="0077706C" w:rsidRDefault="00940AC8" w:rsidP="0077706C">
      <w:pPr>
        <w:spacing w:after="120" w:line="240" w:lineRule="auto"/>
        <w:jc w:val="both"/>
        <w:rPr>
          <w:rFonts w:ascii="Arial" w:hAnsi="Arial" w:cs="Arial"/>
          <w:sz w:val="20"/>
          <w:szCs w:val="20"/>
        </w:rPr>
      </w:pPr>
      <w:r w:rsidRPr="0077706C">
        <w:rPr>
          <w:rFonts w:ascii="Arial" w:hAnsi="Arial" w:cs="Arial"/>
          <w:sz w:val="20"/>
          <w:szCs w:val="20"/>
        </w:rPr>
        <w:t>Le traitement des données de l’ENAB s’est déroulé en plusieurs étapes : élaboration des masques et des procédures de saisie, formation des agents de saisie, saisie des données, apurement des données et production des tableaux.</w:t>
      </w:r>
    </w:p>
    <w:p w:rsidR="00940AC8" w:rsidRPr="0077706C" w:rsidRDefault="00940AC8" w:rsidP="0077706C">
      <w:pPr>
        <w:spacing w:after="120" w:line="240" w:lineRule="auto"/>
        <w:jc w:val="both"/>
        <w:rPr>
          <w:rFonts w:ascii="Arial" w:hAnsi="Arial" w:cs="Arial"/>
          <w:sz w:val="20"/>
          <w:szCs w:val="20"/>
        </w:rPr>
      </w:pPr>
      <w:r w:rsidRPr="0077706C">
        <w:rPr>
          <w:rFonts w:ascii="Arial" w:hAnsi="Arial" w:cs="Arial"/>
          <w:sz w:val="20"/>
          <w:szCs w:val="20"/>
        </w:rPr>
        <w:t>Les masques et les procédures de saisie ont été élaborés dans le logiciel CSPRO 4.1 pour toutes les fiches. A chaque fiche a correspondu un ou plusieurs masques de saisie soutenus par des procédures qui ont eu pour fonction la gestion d’un certain nombre d’incohérences relatives aux données.</w:t>
      </w:r>
    </w:p>
    <w:p w:rsidR="00940AC8" w:rsidRPr="0077706C" w:rsidRDefault="00940AC8" w:rsidP="0077706C">
      <w:pPr>
        <w:spacing w:after="120" w:line="240" w:lineRule="auto"/>
        <w:jc w:val="both"/>
        <w:rPr>
          <w:rFonts w:ascii="Arial" w:hAnsi="Arial" w:cs="Arial"/>
          <w:sz w:val="20"/>
          <w:szCs w:val="20"/>
        </w:rPr>
      </w:pPr>
      <w:r w:rsidRPr="0077706C">
        <w:rPr>
          <w:rFonts w:ascii="Arial" w:hAnsi="Arial" w:cs="Arial"/>
          <w:sz w:val="20"/>
          <w:szCs w:val="20"/>
        </w:rPr>
        <w:t xml:space="preserve">Le personnel du  traitement des données de la saison B de l’ENAB 2011-2012 est le même que celui de la saison A. Il est formé de 40 agents de saisie, 4 contrôleurs, 4 agents de vérification et d’archivage et un superviseur. </w:t>
      </w:r>
    </w:p>
    <w:p w:rsidR="00940AC8" w:rsidRPr="0077706C" w:rsidRDefault="00940AC8" w:rsidP="0077706C">
      <w:pPr>
        <w:spacing w:after="120" w:line="240" w:lineRule="auto"/>
        <w:jc w:val="both"/>
        <w:rPr>
          <w:rFonts w:ascii="Arial" w:hAnsi="Arial" w:cs="Arial"/>
          <w:sz w:val="20"/>
          <w:szCs w:val="20"/>
        </w:rPr>
      </w:pPr>
      <w:r w:rsidRPr="0077706C">
        <w:rPr>
          <w:rFonts w:ascii="Arial" w:hAnsi="Arial" w:cs="Arial"/>
          <w:sz w:val="20"/>
          <w:szCs w:val="20"/>
        </w:rPr>
        <w:t>La saisie a utilisé un système de réseau local de 20 postes de saisie et un serveur central. Une double saisie à  100% a été réalisée pour les principales fiches (F1 à F5, F11). A la fin de la saisie, les fichiers ont été convertis en SPSS et en STATA pour l’apurement et la production des tableaux.</w:t>
      </w:r>
    </w:p>
    <w:p w:rsidR="00940AC8" w:rsidRPr="00B6647E" w:rsidRDefault="00940AC8" w:rsidP="00DF128C">
      <w:pPr>
        <w:spacing w:after="120" w:line="240" w:lineRule="auto"/>
        <w:jc w:val="both"/>
        <w:rPr>
          <w:rFonts w:ascii="Arial" w:hAnsi="Arial" w:cs="Arial"/>
          <w:i/>
          <w:sz w:val="20"/>
          <w:szCs w:val="20"/>
        </w:rPr>
      </w:pPr>
      <w:r w:rsidRPr="00B6647E">
        <w:rPr>
          <w:rFonts w:ascii="Arial" w:hAnsi="Arial" w:cs="Arial"/>
          <w:i/>
          <w:sz w:val="20"/>
          <w:szCs w:val="20"/>
        </w:rPr>
        <w:t>Apurement et tabulation</w:t>
      </w:r>
    </w:p>
    <w:p w:rsidR="00940AC8" w:rsidRPr="00B6647E" w:rsidRDefault="00940AC8" w:rsidP="00DF128C">
      <w:pPr>
        <w:spacing w:after="120" w:line="240" w:lineRule="auto"/>
        <w:jc w:val="both"/>
        <w:rPr>
          <w:rFonts w:ascii="Arial" w:hAnsi="Arial" w:cs="Arial"/>
          <w:sz w:val="20"/>
          <w:szCs w:val="20"/>
        </w:rPr>
      </w:pPr>
      <w:r w:rsidRPr="00B6647E">
        <w:rPr>
          <w:rFonts w:ascii="Arial" w:hAnsi="Arial" w:cs="Arial"/>
          <w:sz w:val="20"/>
          <w:szCs w:val="20"/>
        </w:rPr>
        <w:t xml:space="preserve">L’apurement des fichiers a été effectué à trois niveaux. Le premier niveau a concerné la vérification de l’exhaustivité des zones de dénombrement et des ménages, le deuxième niveau la détection et la correction des incohérences et le troisième niveau la détection et la correction des erreurs de saisie </w:t>
      </w:r>
      <w:r w:rsidRPr="00B6647E">
        <w:rPr>
          <w:rFonts w:ascii="Arial" w:hAnsi="Arial" w:cs="Arial"/>
          <w:sz w:val="20"/>
          <w:szCs w:val="20"/>
        </w:rPr>
        <w:lastRenderedPageBreak/>
        <w:t>et des valeurs aberrantes. Le retour aux questionnaires a permis de faire les corrections de premier niveau.</w:t>
      </w:r>
    </w:p>
    <w:p w:rsidR="00940AC8" w:rsidRPr="00B6647E" w:rsidRDefault="00940AC8" w:rsidP="00DF128C">
      <w:pPr>
        <w:spacing w:after="120" w:line="240" w:lineRule="auto"/>
        <w:jc w:val="both"/>
        <w:rPr>
          <w:rFonts w:ascii="Arial" w:hAnsi="Arial" w:cs="Arial"/>
          <w:sz w:val="20"/>
          <w:szCs w:val="20"/>
        </w:rPr>
      </w:pPr>
      <w:r w:rsidRPr="00B6647E">
        <w:rPr>
          <w:rFonts w:ascii="Arial" w:hAnsi="Arial" w:cs="Arial"/>
          <w:sz w:val="20"/>
          <w:szCs w:val="20"/>
        </w:rPr>
        <w:t>Dans une première étape, les grandes valeurs aberrantes des rendements ont été remplacées par les rendements de référence en condition du paysan pour les principales cultures vivrières du Burundi</w:t>
      </w:r>
      <w:r w:rsidRPr="00B6647E">
        <w:rPr>
          <w:rStyle w:val="Appelnotedebasdep"/>
          <w:rFonts w:ascii="Arial" w:hAnsi="Arial" w:cs="Arial"/>
          <w:sz w:val="20"/>
          <w:szCs w:val="20"/>
        </w:rPr>
        <w:footnoteReference w:id="16"/>
      </w:r>
      <w:r w:rsidRPr="00B6647E">
        <w:rPr>
          <w:rFonts w:ascii="Arial" w:hAnsi="Arial" w:cs="Arial"/>
          <w:sz w:val="20"/>
          <w:szCs w:val="20"/>
        </w:rPr>
        <w:t>.</w:t>
      </w:r>
    </w:p>
    <w:p w:rsidR="00940AC8" w:rsidRPr="00B6647E" w:rsidRDefault="00940AC8" w:rsidP="00DF128C">
      <w:pPr>
        <w:spacing w:after="120" w:line="240" w:lineRule="auto"/>
        <w:jc w:val="both"/>
        <w:rPr>
          <w:rFonts w:ascii="Arial" w:hAnsi="Arial" w:cs="Arial"/>
          <w:sz w:val="20"/>
          <w:szCs w:val="20"/>
        </w:rPr>
      </w:pPr>
      <w:r w:rsidRPr="00B6647E">
        <w:rPr>
          <w:rFonts w:ascii="Arial" w:hAnsi="Arial" w:cs="Arial"/>
          <w:sz w:val="20"/>
          <w:szCs w:val="20"/>
        </w:rPr>
        <w:t>Ensuite un rendement moyen a été calculé par province et par culture pure, principale (la plus importante dans une association) et secondaire (les 1</w:t>
      </w:r>
      <w:r w:rsidRPr="00B6647E">
        <w:rPr>
          <w:rFonts w:ascii="Arial" w:hAnsi="Arial" w:cs="Arial"/>
          <w:sz w:val="20"/>
          <w:szCs w:val="20"/>
          <w:vertAlign w:val="superscript"/>
        </w:rPr>
        <w:t>ère </w:t>
      </w:r>
      <w:r w:rsidRPr="00B6647E">
        <w:rPr>
          <w:rFonts w:ascii="Arial" w:hAnsi="Arial" w:cs="Arial"/>
          <w:sz w:val="20"/>
          <w:szCs w:val="20"/>
        </w:rPr>
        <w:t>; 2</w:t>
      </w:r>
      <w:r w:rsidRPr="00B6647E">
        <w:rPr>
          <w:rFonts w:ascii="Arial" w:hAnsi="Arial" w:cs="Arial"/>
          <w:sz w:val="20"/>
          <w:szCs w:val="20"/>
          <w:vertAlign w:val="superscript"/>
        </w:rPr>
        <w:t>e</w:t>
      </w:r>
      <w:r w:rsidRPr="00B6647E">
        <w:rPr>
          <w:rFonts w:ascii="Arial" w:hAnsi="Arial" w:cs="Arial"/>
          <w:sz w:val="20"/>
          <w:szCs w:val="20"/>
        </w:rPr>
        <w:t>, 3</w:t>
      </w:r>
      <w:r w:rsidRPr="00B6647E">
        <w:rPr>
          <w:rFonts w:ascii="Arial" w:hAnsi="Arial" w:cs="Arial"/>
          <w:sz w:val="20"/>
          <w:szCs w:val="20"/>
          <w:vertAlign w:val="superscript"/>
        </w:rPr>
        <w:t>e </w:t>
      </w:r>
      <w:r w:rsidRPr="00B6647E">
        <w:rPr>
          <w:rFonts w:ascii="Arial" w:hAnsi="Arial" w:cs="Arial"/>
          <w:sz w:val="20"/>
          <w:szCs w:val="20"/>
        </w:rPr>
        <w:t xml:space="preserve"> et 4</w:t>
      </w:r>
      <w:r w:rsidRPr="00B6647E">
        <w:rPr>
          <w:rFonts w:ascii="Arial" w:hAnsi="Arial" w:cs="Arial"/>
          <w:sz w:val="20"/>
          <w:szCs w:val="20"/>
          <w:vertAlign w:val="superscript"/>
        </w:rPr>
        <w:t>e</w:t>
      </w:r>
      <w:r w:rsidRPr="00B6647E">
        <w:rPr>
          <w:rFonts w:ascii="Arial" w:hAnsi="Arial" w:cs="Arial"/>
          <w:sz w:val="20"/>
          <w:szCs w:val="20"/>
        </w:rPr>
        <w:t xml:space="preserve"> après la principale).</w:t>
      </w:r>
    </w:p>
    <w:p w:rsidR="00940AC8" w:rsidRPr="00B6647E" w:rsidRDefault="00940AC8" w:rsidP="00DF128C">
      <w:pPr>
        <w:spacing w:after="120" w:line="240" w:lineRule="auto"/>
        <w:jc w:val="both"/>
        <w:rPr>
          <w:rFonts w:ascii="Arial" w:hAnsi="Arial" w:cs="Arial"/>
          <w:sz w:val="20"/>
          <w:szCs w:val="20"/>
        </w:rPr>
      </w:pPr>
      <w:r w:rsidRPr="00B6647E">
        <w:rPr>
          <w:rFonts w:ascii="Arial" w:hAnsi="Arial" w:cs="Arial"/>
          <w:sz w:val="20"/>
          <w:szCs w:val="20"/>
        </w:rPr>
        <w:t>Après ces apurements, les tableaux ont été élaborés sous SPSS sur la base du plan de tabulation ; des graphiques et des cartes ont été également élaborés pour étayer la description des données.</w:t>
      </w:r>
    </w:p>
    <w:p w:rsidR="00940AC8" w:rsidRPr="00B6647E" w:rsidRDefault="00940AC8" w:rsidP="00DF128C">
      <w:pPr>
        <w:spacing w:after="120" w:line="240" w:lineRule="auto"/>
        <w:jc w:val="both"/>
        <w:rPr>
          <w:rFonts w:ascii="Arial" w:hAnsi="Arial" w:cs="Arial"/>
          <w:i/>
          <w:sz w:val="20"/>
          <w:szCs w:val="20"/>
        </w:rPr>
      </w:pPr>
      <w:r w:rsidRPr="00B6647E">
        <w:rPr>
          <w:rFonts w:ascii="Arial" w:hAnsi="Arial" w:cs="Arial"/>
          <w:i/>
          <w:sz w:val="20"/>
          <w:szCs w:val="20"/>
        </w:rPr>
        <w:t>Analyse</w:t>
      </w:r>
    </w:p>
    <w:p w:rsidR="00940AC8" w:rsidRPr="00B6647E" w:rsidRDefault="00940AC8" w:rsidP="00DF128C">
      <w:pPr>
        <w:pStyle w:val="Tit4"/>
        <w:keepNext w:val="0"/>
        <w:spacing w:before="0" w:after="120" w:line="240" w:lineRule="auto"/>
        <w:jc w:val="both"/>
        <w:rPr>
          <w:b w:val="0"/>
          <w:sz w:val="20"/>
          <w:szCs w:val="20"/>
        </w:rPr>
      </w:pPr>
      <w:r w:rsidRPr="00B6647E">
        <w:rPr>
          <w:b w:val="0"/>
          <w:bCs w:val="0"/>
          <w:sz w:val="20"/>
          <w:szCs w:val="20"/>
        </w:rPr>
        <w:t xml:space="preserve">Le présent document </w:t>
      </w:r>
      <w:r w:rsidR="00891794" w:rsidRPr="00B6647E">
        <w:rPr>
          <w:b w:val="0"/>
          <w:bCs w:val="0"/>
          <w:sz w:val="20"/>
          <w:szCs w:val="20"/>
        </w:rPr>
        <w:t xml:space="preserve">qui synthétise l’ensemble des résultats de la campagne agricole 2011-2012 </w:t>
      </w:r>
      <w:r w:rsidRPr="00B6647E">
        <w:rPr>
          <w:b w:val="0"/>
          <w:bCs w:val="0"/>
          <w:sz w:val="20"/>
          <w:szCs w:val="20"/>
        </w:rPr>
        <w:t>est un rapport d’enquête qui est l’exploitation à plat des tableaux en général supportés par divers types d’illustrations (graphiques, cartes).</w:t>
      </w:r>
    </w:p>
    <w:p w:rsidR="00891794" w:rsidRPr="00B6647E" w:rsidRDefault="00940AC8" w:rsidP="00891794">
      <w:pPr>
        <w:spacing w:after="120" w:line="240" w:lineRule="auto"/>
        <w:jc w:val="both"/>
        <w:rPr>
          <w:rFonts w:ascii="Arial" w:eastAsia="Times New Roman" w:hAnsi="Arial" w:cs="Arial"/>
          <w:sz w:val="20"/>
          <w:szCs w:val="20"/>
          <w:lang w:eastAsia="en-US"/>
        </w:rPr>
      </w:pPr>
      <w:r w:rsidRPr="00B6647E">
        <w:rPr>
          <w:rFonts w:ascii="Arial" w:eastAsia="Times New Roman" w:hAnsi="Arial" w:cs="Arial"/>
          <w:sz w:val="20"/>
          <w:szCs w:val="20"/>
          <w:lang w:eastAsia="en-US"/>
        </w:rPr>
        <w:t>Outre la partie purement statistique, ce rapport contient un certain nombre d’éléments permettant au lecteur de mieux comprendre (note méthodologique, définitions, ..), mais le ton rédactionnel général est celui du tableau commenté neutre, centré sur les données propres.</w:t>
      </w:r>
      <w:r w:rsidR="00891794" w:rsidRPr="00B6647E">
        <w:rPr>
          <w:rFonts w:ascii="Arial" w:eastAsia="Times New Roman" w:hAnsi="Arial" w:cs="Arial"/>
          <w:sz w:val="20"/>
          <w:szCs w:val="20"/>
          <w:lang w:eastAsia="en-US"/>
        </w:rPr>
        <w:t xml:space="preserve"> Ultérieurement, il y aura cependant des possibilités de traitement et d’analyse : i) par l’assistance technique à partir de la taille de l’exploitation qui sera estimée au cours de la saison C ; ii) par d’autres intervenants (ISABU, étudiants, etc.) en termes d’analyses plus poussées en croisant avec des données provenant d’autres sources.</w:t>
      </w:r>
    </w:p>
    <w:p w:rsidR="00DF3726" w:rsidRDefault="00940AC8" w:rsidP="008235FD">
      <w:pPr>
        <w:pStyle w:val="texte1"/>
        <w:rPr>
          <w:szCs w:val="20"/>
        </w:rPr>
      </w:pPr>
      <w:r w:rsidRPr="00B6647E">
        <w:rPr>
          <w:szCs w:val="20"/>
        </w:rPr>
        <w:t>D’un point de vue de la publication, il constitue la livraison officielle des chiffres et il faut bien noter qu’il ne contient pas l’intégralité des données. C’est pourquoi, des tableaux de base par niveau national, région naturelle et par province</w:t>
      </w:r>
      <w:r w:rsidR="00891794" w:rsidRPr="00B6647E">
        <w:rPr>
          <w:szCs w:val="20"/>
        </w:rPr>
        <w:t xml:space="preserve"> feront l’objet d’un autre volume</w:t>
      </w:r>
      <w:r w:rsidRPr="00B6647E">
        <w:rPr>
          <w:szCs w:val="20"/>
        </w:rPr>
        <w:t xml:space="preserve">. </w:t>
      </w:r>
      <w:r w:rsidR="00DF3726">
        <w:rPr>
          <w:szCs w:val="20"/>
        </w:rPr>
        <w:t xml:space="preserve">Deux CD seront produits : </w:t>
      </w:r>
    </w:p>
    <w:p w:rsidR="00DF3726" w:rsidRPr="00DF3726" w:rsidRDefault="00DF3726" w:rsidP="00DF3726">
      <w:pPr>
        <w:pStyle w:val="texte1"/>
        <w:numPr>
          <w:ilvl w:val="0"/>
          <w:numId w:val="8"/>
        </w:numPr>
        <w:rPr>
          <w:szCs w:val="20"/>
          <w:lang w:val="fr-FR"/>
        </w:rPr>
      </w:pPr>
      <w:r>
        <w:rPr>
          <w:szCs w:val="20"/>
        </w:rPr>
        <w:t>un premier</w:t>
      </w:r>
      <w:r w:rsidR="00940AC8" w:rsidRPr="00B6647E">
        <w:rPr>
          <w:szCs w:val="20"/>
        </w:rPr>
        <w:t xml:space="preserve"> CD interactif contien</w:t>
      </w:r>
      <w:r>
        <w:rPr>
          <w:szCs w:val="20"/>
        </w:rPr>
        <w:t>dra</w:t>
      </w:r>
      <w:r w:rsidR="00940AC8" w:rsidRPr="00B6647E">
        <w:rPr>
          <w:szCs w:val="20"/>
        </w:rPr>
        <w:t xml:space="preserve"> </w:t>
      </w:r>
      <w:r w:rsidR="00677D94">
        <w:rPr>
          <w:szCs w:val="20"/>
        </w:rPr>
        <w:t xml:space="preserve">les </w:t>
      </w:r>
      <w:r w:rsidR="0077706C">
        <w:rPr>
          <w:szCs w:val="20"/>
        </w:rPr>
        <w:t xml:space="preserve">rapports des trois saisons, </w:t>
      </w:r>
      <w:r w:rsidR="00677D94">
        <w:rPr>
          <w:szCs w:val="20"/>
        </w:rPr>
        <w:t xml:space="preserve">le </w:t>
      </w:r>
      <w:r w:rsidR="0077706C">
        <w:rPr>
          <w:szCs w:val="20"/>
        </w:rPr>
        <w:t>rapport de synthèse de la campagne agricole</w:t>
      </w:r>
      <w:r>
        <w:rPr>
          <w:szCs w:val="20"/>
        </w:rPr>
        <w:t>, les tableaux par région naturelle et par province, la méthodologie, les questionnaires</w:t>
      </w:r>
      <w:r w:rsidR="00677D94">
        <w:rPr>
          <w:szCs w:val="20"/>
        </w:rPr>
        <w:t xml:space="preserve"> et</w:t>
      </w:r>
      <w:r>
        <w:rPr>
          <w:szCs w:val="20"/>
        </w:rPr>
        <w:t xml:space="preserve"> les manuels ;</w:t>
      </w:r>
    </w:p>
    <w:p w:rsidR="00940AC8" w:rsidRPr="00B6647E" w:rsidRDefault="00DF3726" w:rsidP="00DF3726">
      <w:pPr>
        <w:pStyle w:val="texte1"/>
        <w:numPr>
          <w:ilvl w:val="0"/>
          <w:numId w:val="8"/>
        </w:numPr>
        <w:rPr>
          <w:szCs w:val="20"/>
          <w:lang w:val="fr-FR"/>
        </w:rPr>
      </w:pPr>
      <w:r>
        <w:rPr>
          <w:szCs w:val="20"/>
        </w:rPr>
        <w:t>.un deuxième CD contiendra les programmes de saisies (en CSPRO), les programmes d’apurement (en SPSS) et les fichiers de données.</w:t>
      </w:r>
    </w:p>
    <w:p w:rsidR="00940AC8" w:rsidRPr="00677D94" w:rsidRDefault="00DF3726" w:rsidP="00DF3726">
      <w:pPr>
        <w:pStyle w:val="Titre1"/>
        <w:keepNext w:val="0"/>
        <w:numPr>
          <w:ilvl w:val="0"/>
          <w:numId w:val="0"/>
        </w:numPr>
        <w:spacing w:after="120"/>
        <w:ind w:left="432" w:hanging="432"/>
        <w:rPr>
          <w:rFonts w:cs="Arial"/>
          <w:b w:val="0"/>
          <w:sz w:val="20"/>
          <w:szCs w:val="20"/>
        </w:rPr>
      </w:pPr>
      <w:bookmarkStart w:id="76" w:name="_Toc354313836"/>
      <w:r w:rsidRPr="00677D94">
        <w:rPr>
          <w:rFonts w:cs="Arial"/>
          <w:b w:val="0"/>
          <w:sz w:val="20"/>
          <w:szCs w:val="20"/>
        </w:rPr>
        <w:t xml:space="preserve">Les publications comporteront </w:t>
      </w:r>
      <w:r w:rsidR="00677D94" w:rsidRPr="00677D94">
        <w:rPr>
          <w:rFonts w:cs="Arial"/>
          <w:b w:val="0"/>
          <w:sz w:val="20"/>
          <w:szCs w:val="20"/>
        </w:rPr>
        <w:t>trois volumes :</w:t>
      </w:r>
      <w:bookmarkEnd w:id="76"/>
    </w:p>
    <w:p w:rsidR="00677D94" w:rsidRPr="00677D94" w:rsidRDefault="00677D94" w:rsidP="00677D94">
      <w:pPr>
        <w:pStyle w:val="Paragraphedeliste"/>
        <w:numPr>
          <w:ilvl w:val="0"/>
          <w:numId w:val="8"/>
        </w:numPr>
        <w:rPr>
          <w:rFonts w:ascii="Arial" w:hAnsi="Arial" w:cs="Arial"/>
          <w:sz w:val="20"/>
          <w:szCs w:val="20"/>
          <w:lang w:eastAsia="fr-FR"/>
        </w:rPr>
      </w:pPr>
      <w:r w:rsidRPr="00677D94">
        <w:rPr>
          <w:rFonts w:ascii="Arial" w:hAnsi="Arial" w:cs="Arial"/>
          <w:sz w:val="20"/>
          <w:szCs w:val="20"/>
          <w:lang w:eastAsia="fr-FR"/>
        </w:rPr>
        <w:t>Volume 1 : Résultats de la campagne agr</w:t>
      </w:r>
      <w:r>
        <w:rPr>
          <w:rFonts w:ascii="Arial" w:hAnsi="Arial" w:cs="Arial"/>
          <w:sz w:val="20"/>
          <w:szCs w:val="20"/>
          <w:lang w:eastAsia="fr-FR"/>
        </w:rPr>
        <w:t>i</w:t>
      </w:r>
      <w:r w:rsidRPr="00677D94">
        <w:rPr>
          <w:rFonts w:ascii="Arial" w:hAnsi="Arial" w:cs="Arial"/>
          <w:sz w:val="20"/>
          <w:szCs w:val="20"/>
          <w:lang w:eastAsia="fr-FR"/>
        </w:rPr>
        <w:t>cole 2011-2012 ;</w:t>
      </w:r>
    </w:p>
    <w:p w:rsidR="00677D94" w:rsidRPr="00677D94" w:rsidRDefault="00677D94" w:rsidP="00677D94">
      <w:pPr>
        <w:pStyle w:val="Paragraphedeliste"/>
        <w:numPr>
          <w:ilvl w:val="0"/>
          <w:numId w:val="8"/>
        </w:numPr>
        <w:rPr>
          <w:rFonts w:ascii="Arial" w:hAnsi="Arial" w:cs="Arial"/>
          <w:sz w:val="20"/>
          <w:szCs w:val="20"/>
          <w:lang w:eastAsia="fr-FR"/>
        </w:rPr>
      </w:pPr>
      <w:r w:rsidRPr="00677D94">
        <w:rPr>
          <w:rFonts w:ascii="Arial" w:hAnsi="Arial" w:cs="Arial"/>
          <w:sz w:val="20"/>
          <w:szCs w:val="20"/>
          <w:lang w:eastAsia="fr-FR"/>
        </w:rPr>
        <w:t>Volume 2 : Tableaux par régions naturelle et par province ;</w:t>
      </w:r>
    </w:p>
    <w:p w:rsidR="00677D94" w:rsidRPr="00677D94" w:rsidRDefault="00677D94" w:rsidP="00677D94">
      <w:pPr>
        <w:pStyle w:val="Paragraphedeliste"/>
        <w:numPr>
          <w:ilvl w:val="0"/>
          <w:numId w:val="8"/>
        </w:numPr>
        <w:rPr>
          <w:rFonts w:ascii="Arial" w:hAnsi="Arial" w:cs="Arial"/>
          <w:sz w:val="20"/>
          <w:szCs w:val="20"/>
          <w:lang w:eastAsia="fr-FR"/>
        </w:rPr>
      </w:pPr>
      <w:r w:rsidRPr="00677D94">
        <w:rPr>
          <w:rFonts w:ascii="Arial" w:hAnsi="Arial" w:cs="Arial"/>
          <w:sz w:val="20"/>
          <w:szCs w:val="20"/>
          <w:lang w:eastAsia="fr-FR"/>
        </w:rPr>
        <w:t>Volume 3 : Documents méthodologiques (méthodologie, questionnaires et manuels).</w:t>
      </w:r>
    </w:p>
    <w:p w:rsidR="00940AC8" w:rsidRPr="00677D94" w:rsidRDefault="00940AC8" w:rsidP="00DF128C">
      <w:pPr>
        <w:pStyle w:val="Titre1"/>
        <w:keepNext w:val="0"/>
        <w:numPr>
          <w:ilvl w:val="0"/>
          <w:numId w:val="0"/>
        </w:numPr>
        <w:spacing w:after="120"/>
        <w:ind w:left="432"/>
        <w:rPr>
          <w:rFonts w:cs="Arial"/>
          <w:b w:val="0"/>
          <w:sz w:val="20"/>
          <w:szCs w:val="20"/>
        </w:rPr>
      </w:pPr>
    </w:p>
    <w:p w:rsidR="009E6B23" w:rsidRPr="00B6647E" w:rsidRDefault="009E6B23">
      <w:pPr>
        <w:rPr>
          <w:rFonts w:ascii="Arial" w:eastAsia="Times New Roman" w:hAnsi="Arial" w:cs="Arial"/>
          <w:sz w:val="20"/>
          <w:szCs w:val="20"/>
          <w:lang w:eastAsia="fr-FR"/>
        </w:rPr>
      </w:pPr>
      <w:r w:rsidRPr="00B6647E">
        <w:rPr>
          <w:rFonts w:ascii="Arial" w:hAnsi="Arial" w:cs="Arial"/>
          <w:sz w:val="20"/>
          <w:szCs w:val="20"/>
        </w:rPr>
        <w:br w:type="page"/>
      </w:r>
    </w:p>
    <w:p w:rsidR="000552AE" w:rsidRPr="00B6647E" w:rsidRDefault="00D91469" w:rsidP="006B6583">
      <w:pPr>
        <w:pStyle w:val="Titre1"/>
        <w:keepNext w:val="0"/>
        <w:numPr>
          <w:ilvl w:val="0"/>
          <w:numId w:val="1"/>
        </w:numPr>
        <w:tabs>
          <w:tab w:val="num" w:pos="432"/>
        </w:tabs>
        <w:ind w:left="432" w:hanging="432"/>
        <w:rPr>
          <w:rFonts w:cs="Arial"/>
          <w:color w:val="365F91"/>
        </w:rPr>
      </w:pPr>
      <w:bookmarkStart w:id="77" w:name="_Toc354313837"/>
      <w:r w:rsidRPr="00B6647E">
        <w:rPr>
          <w:rFonts w:cs="Arial"/>
          <w:color w:val="365F91"/>
        </w:rPr>
        <w:lastRenderedPageBreak/>
        <w:t>Quelques données agricoles</w:t>
      </w:r>
      <w:r w:rsidR="000552AE" w:rsidRPr="00B6647E">
        <w:rPr>
          <w:rFonts w:cs="Arial"/>
          <w:color w:val="365F91"/>
        </w:rPr>
        <w:t xml:space="preserve"> communautaire</w:t>
      </w:r>
      <w:r w:rsidRPr="00B6647E">
        <w:rPr>
          <w:rFonts w:cs="Arial"/>
          <w:color w:val="365F91"/>
        </w:rPr>
        <w:t>s des collines</w:t>
      </w:r>
      <w:bookmarkEnd w:id="77"/>
    </w:p>
    <w:p w:rsidR="001A3AEF" w:rsidRPr="00B6647E" w:rsidRDefault="00DF50D8" w:rsidP="006B6583">
      <w:pPr>
        <w:pStyle w:val="Paragraphedeliste"/>
        <w:spacing w:after="0" w:line="240" w:lineRule="auto"/>
        <w:rPr>
          <w:rFonts w:ascii="Arial" w:hAnsi="Arial" w:cs="Arial"/>
          <w:sz w:val="20"/>
          <w:szCs w:val="20"/>
        </w:rPr>
      </w:pPr>
      <w:r w:rsidRPr="00DF50D8">
        <w:rPr>
          <w:rFonts w:ascii="Arial" w:hAnsi="Arial" w:cs="Arial"/>
          <w:noProof/>
        </w:rPr>
        <w:pict>
          <v:shape id="_x0000_s1031" type="#_x0000_t32" style="position:absolute;left:0;text-align:left;margin-left:1.15pt;margin-top:4.8pt;width:453.55pt;height:0;z-index:25167052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4ufrAIAAJcFAAAOAAAAZHJzL2Uyb0RvYy54bWysVE2PmzAQvVfqf7B8Z4FACEFLVlkCvWzb&#10;lXarnh1sglWwke18rKr+945NQjfbS1UtB+SPmTdvZt749u7Ud+jAlOZS5Di8CTBiopaUi12Ovz1X&#10;XoqRNkRQ0knBcvzCNL5bffxwexwyNpOt7ChTCECEzo5Djltjhsz3dd2ynugbOTABl41UPTGwVTuf&#10;KnIE9L7zZ0GQ+Eep6KBkzbSG0814iVcOv2lYbb42jWYGdTkGbsb9lftv7d9f3ZJsp8jQ8vpMg/wH&#10;i55wAUEnqA0xBO0V/wuq57WSWjbmppa9L5uG18zlANmEwZtsnloyMJcLFEcPU5n0+8HWXw6PCnGa&#10;42WCkSA99Gi9N9KFRjNbn+OgMzArxKOyGdYn8TQ8yPqHRkIWLRE75oyfXwbwDa2Hf+ViN3qAKNvj&#10;Z0nBhgC+K9apUb2FhDKgk+vJy9QTdjKohsP5IgmCdI5RfbnzSXZxHJQ2n5jskV3kWBtF+K41hRQC&#10;Oi9V6MKQw4M2lhbJLg42qpAV7zongE6gY46jNAwC56Flx6m9tXZa7bZFp9CBgIaiZF4txyTh5rWZ&#10;kntBHVrLCC3Pa0N4N64heicsHnOyHCnB7mRg6c4hYyeZn8tgWaZlGnvxLCm9ONhsvHVVxF5ShYv5&#10;JtoUxSb8ZYmGcdZySpmwXC/yDeN/k8d5kEbhTQKequJfo7vyAdlrputqHiziKPUWi3nkxVEZePdp&#10;VXjrIkySRXlf3JdvmJYue/0+ZKdSWlZyb5h6aukRUW7VMEujJbw+lMO4R2mQBMsFRqTbwTtVG4WR&#10;kuY7N60Tr5Wdxbjq9SyOqmQ8J93QklEB8wA+p/LJ3NVmCj9W6tJku5vadE7+Ty1BFBcBuKGxczJO&#10;3FbSl0d1GSaYfud0fqns8/J6D+vX7+nqNwAAAP//AwBQSwMEFAAGAAgAAAAhABLqZCjcAAAABQEA&#10;AA8AAABkcnMvZG93bnJldi54bWxMjlFLwzAUhd+F/YdwB76ISzdLWWvTMRRxDBGs/oC0uTbF5qY0&#10;Wdv564170cfDOXzny3ez6diIg2stCVivImBItVUtNQI+3p9ut8Ccl6RkZwkFnNHBrlhc5TJTdqI3&#10;HEvfsAAhl0kB2vs+49zVGo10K9sjhe7TDkb6EIeGq0FOAW46vomihBvZUnjQsscHjfVXeTICpjE5&#10;vtxs+fx9fC3PTRUfHvVzLMT1ct7fA/M4+78x/OoHdSiCU2VPpBzrBGzuwlBAmgALbRqlMbDqknmR&#10;8//2xQ8AAAD//wMAUEsBAi0AFAAGAAgAAAAhALaDOJL+AAAA4QEAABMAAAAAAAAAAAAAAAAAAAAA&#10;AFtDb250ZW50X1R5cGVzXS54bWxQSwECLQAUAAYACAAAACEAOP0h/9YAAACUAQAACwAAAAAAAAAA&#10;AAAAAAAvAQAAX3JlbHMvLnJlbHNQSwECLQAUAAYACAAAACEAJvOLn6wCAACXBQAADgAAAAAAAAAA&#10;AAAAAAAuAgAAZHJzL2Uyb0RvYy54bWxQSwECLQAUAAYACAAAACEAEupkKNwAAAAFAQAADwAAAAAA&#10;AAAAAAAAAAAGBQAAZHJzL2Rvd25yZXYueG1sUEsFBgAAAAAEAAQA8wAAAA8GAAAAAA==&#10;" strokecolor="#365f91" strokeweight="3pt">
            <v:shadow color="#243f60" opacity=".5" offset="1pt"/>
          </v:shape>
        </w:pict>
      </w:r>
    </w:p>
    <w:p w:rsidR="008E3AB0" w:rsidRPr="00B6647E" w:rsidRDefault="0042344A" w:rsidP="00343EF1">
      <w:pPr>
        <w:pStyle w:val="Paragraphedeliste"/>
        <w:spacing w:before="240" w:line="240" w:lineRule="auto"/>
        <w:ind w:left="0"/>
        <w:contextualSpacing w:val="0"/>
        <w:jc w:val="both"/>
        <w:rPr>
          <w:rFonts w:ascii="Arial" w:hAnsi="Arial" w:cs="Arial"/>
          <w:sz w:val="20"/>
          <w:szCs w:val="20"/>
        </w:rPr>
      </w:pPr>
      <w:r w:rsidRPr="00B6647E">
        <w:rPr>
          <w:rFonts w:ascii="Arial" w:hAnsi="Arial" w:cs="Arial"/>
          <w:sz w:val="20"/>
          <w:szCs w:val="20"/>
        </w:rPr>
        <w:t>Un questionnaire communautaire a été administré sous forme de focus groupe (composé du chef de colline, d’un moniteur agricole, d’un enseignant, d’un agent de la santé et d’un représentant de la société civile (association, religion, etc.) dans 20 collines par province sauf Bururi (17 collines) et Kayanza (19 collin</w:t>
      </w:r>
      <w:r w:rsidR="006B6583" w:rsidRPr="00B6647E">
        <w:rPr>
          <w:rFonts w:ascii="Arial" w:hAnsi="Arial" w:cs="Arial"/>
          <w:sz w:val="20"/>
          <w:szCs w:val="20"/>
        </w:rPr>
        <w:t>es) soit au total 316 collines. Les résultats de ce questionnaire seront utilisés pour une autre étude concernant les scores de pauvreté. Seuls quelques résultats relatifs à l’agriculture sont présentés dans ce chapitre.</w:t>
      </w:r>
    </w:p>
    <w:p w:rsidR="00A57682" w:rsidRPr="00B6647E" w:rsidRDefault="00A57682" w:rsidP="0039155C">
      <w:pPr>
        <w:pStyle w:val="Paragraphedeliste"/>
        <w:spacing w:line="240" w:lineRule="auto"/>
        <w:ind w:left="0"/>
        <w:contextualSpacing w:val="0"/>
        <w:jc w:val="both"/>
        <w:rPr>
          <w:rFonts w:ascii="Arial" w:hAnsi="Arial" w:cs="Arial"/>
          <w:sz w:val="20"/>
          <w:szCs w:val="20"/>
        </w:rPr>
      </w:pPr>
      <w:r w:rsidRPr="00B6647E">
        <w:rPr>
          <w:rFonts w:ascii="Arial" w:hAnsi="Arial" w:cs="Arial"/>
          <w:sz w:val="20"/>
          <w:szCs w:val="20"/>
        </w:rPr>
        <w:t xml:space="preserve">Au cours des </w:t>
      </w:r>
      <w:r w:rsidR="00B74835" w:rsidRPr="00B6647E">
        <w:rPr>
          <w:rFonts w:ascii="Arial" w:hAnsi="Arial" w:cs="Arial"/>
          <w:sz w:val="20"/>
          <w:szCs w:val="20"/>
        </w:rPr>
        <w:t xml:space="preserve">six derniers mois avant le mois de septembre 2012, un quart des collines échantillonnées a considéré le </w:t>
      </w:r>
      <w:r w:rsidR="00DF6FB0" w:rsidRPr="00B6647E">
        <w:rPr>
          <w:rFonts w:ascii="Arial" w:hAnsi="Arial" w:cs="Arial"/>
          <w:sz w:val="20"/>
          <w:szCs w:val="20"/>
        </w:rPr>
        <w:t>déficit de précipitation</w:t>
      </w:r>
      <w:r w:rsidR="00B74835" w:rsidRPr="00B6647E">
        <w:rPr>
          <w:rFonts w:ascii="Arial" w:hAnsi="Arial" w:cs="Arial"/>
          <w:sz w:val="20"/>
          <w:szCs w:val="20"/>
        </w:rPr>
        <w:t xml:space="preserve">/sécheresse comme choc ayant </w:t>
      </w:r>
      <w:r w:rsidR="002C66E5" w:rsidRPr="00B6647E">
        <w:rPr>
          <w:rFonts w:ascii="Arial" w:hAnsi="Arial" w:cs="Arial"/>
          <w:sz w:val="20"/>
          <w:szCs w:val="20"/>
        </w:rPr>
        <w:t xml:space="preserve">eu </w:t>
      </w:r>
      <w:r w:rsidR="00B74835" w:rsidRPr="00B6647E">
        <w:rPr>
          <w:rFonts w:ascii="Arial" w:hAnsi="Arial" w:cs="Arial"/>
          <w:sz w:val="20"/>
          <w:szCs w:val="20"/>
        </w:rPr>
        <w:t>l’impact le plus importan</w:t>
      </w:r>
      <w:r w:rsidR="002C66E5" w:rsidRPr="00B6647E">
        <w:rPr>
          <w:rFonts w:ascii="Arial" w:hAnsi="Arial" w:cs="Arial"/>
          <w:sz w:val="20"/>
          <w:szCs w:val="20"/>
        </w:rPr>
        <w:t>t sur la situation des collines</w:t>
      </w:r>
      <w:r w:rsidR="00DF6FB0" w:rsidRPr="00B6647E">
        <w:rPr>
          <w:rFonts w:ascii="Arial" w:hAnsi="Arial" w:cs="Arial"/>
          <w:sz w:val="20"/>
          <w:szCs w:val="20"/>
        </w:rPr>
        <w:t xml:space="preserve">. D’autre part, pour une colline sur cinq, </w:t>
      </w:r>
      <w:r w:rsidR="002C66E5" w:rsidRPr="00B6647E">
        <w:rPr>
          <w:rFonts w:ascii="Arial" w:hAnsi="Arial" w:cs="Arial"/>
          <w:sz w:val="20"/>
          <w:szCs w:val="20"/>
        </w:rPr>
        <w:t xml:space="preserve">l’inflation (hausse des prix) a été </w:t>
      </w:r>
      <w:r w:rsidR="00DF6FB0" w:rsidRPr="00B6647E">
        <w:rPr>
          <w:rFonts w:ascii="Arial" w:hAnsi="Arial" w:cs="Arial"/>
          <w:sz w:val="20"/>
          <w:szCs w:val="20"/>
        </w:rPr>
        <w:t>considérée</w:t>
      </w:r>
      <w:r w:rsidR="002C66E5" w:rsidRPr="00B6647E">
        <w:rPr>
          <w:rFonts w:ascii="Arial" w:hAnsi="Arial" w:cs="Arial"/>
          <w:sz w:val="20"/>
          <w:szCs w:val="20"/>
        </w:rPr>
        <w:t xml:space="preserve"> comme </w:t>
      </w:r>
      <w:r w:rsidR="00DF6FB0" w:rsidRPr="00B6647E">
        <w:rPr>
          <w:rFonts w:ascii="Arial" w:hAnsi="Arial" w:cs="Arial"/>
          <w:sz w:val="20"/>
          <w:szCs w:val="20"/>
        </w:rPr>
        <w:t>ayant eu l’impact le plus important sur la situation des collines</w:t>
      </w:r>
      <w:r w:rsidR="002C66E5" w:rsidRPr="00B6647E">
        <w:rPr>
          <w:rFonts w:ascii="Arial" w:hAnsi="Arial" w:cs="Arial"/>
          <w:sz w:val="20"/>
          <w:szCs w:val="20"/>
        </w:rPr>
        <w:t>. Ensuite viennent dans l’ordre, la grêle (15,2%), les insectes nuisibles et les maladies des cultures (11,1%), l’érosion (fortes pluies et vents violents) (10,8%)</w:t>
      </w:r>
    </w:p>
    <w:p w:rsidR="008E3AB0" w:rsidRPr="00B6647E" w:rsidRDefault="008E3AB0" w:rsidP="0039155C">
      <w:pPr>
        <w:pStyle w:val="Paragraphedeliste"/>
        <w:spacing w:before="200" w:after="120" w:line="240" w:lineRule="auto"/>
        <w:ind w:left="0"/>
        <w:contextualSpacing w:val="0"/>
        <w:rPr>
          <w:rFonts w:ascii="Arial" w:hAnsi="Arial" w:cs="Arial"/>
          <w:b/>
          <w:sz w:val="20"/>
          <w:szCs w:val="20"/>
        </w:rPr>
      </w:pPr>
      <w:r w:rsidRPr="00B6647E">
        <w:rPr>
          <w:rFonts w:ascii="Arial" w:hAnsi="Arial" w:cs="Arial"/>
          <w:b/>
          <w:sz w:val="20"/>
          <w:szCs w:val="20"/>
        </w:rPr>
        <w:t xml:space="preserve">Tableau </w:t>
      </w:r>
      <w:r w:rsidR="00690CFE" w:rsidRPr="00B6647E">
        <w:rPr>
          <w:rFonts w:ascii="Arial" w:hAnsi="Arial" w:cs="Arial"/>
          <w:b/>
          <w:sz w:val="20"/>
          <w:szCs w:val="20"/>
        </w:rPr>
        <w:t>0</w:t>
      </w:r>
      <w:r w:rsidR="00527DD2">
        <w:rPr>
          <w:rFonts w:ascii="Arial" w:hAnsi="Arial" w:cs="Arial"/>
          <w:b/>
          <w:sz w:val="20"/>
          <w:szCs w:val="20"/>
        </w:rPr>
        <w:t>5</w:t>
      </w:r>
      <w:r w:rsidRPr="00B6647E">
        <w:rPr>
          <w:rFonts w:ascii="Arial" w:hAnsi="Arial" w:cs="Arial"/>
          <w:b/>
          <w:sz w:val="20"/>
          <w:szCs w:val="20"/>
        </w:rPr>
        <w:t xml:space="preserve"> : </w:t>
      </w:r>
      <w:r w:rsidR="004566D0">
        <w:rPr>
          <w:rFonts w:ascii="Arial" w:hAnsi="Arial" w:cs="Arial"/>
          <w:b/>
          <w:sz w:val="20"/>
          <w:szCs w:val="20"/>
        </w:rPr>
        <w:t>L</w:t>
      </w:r>
      <w:r w:rsidRPr="00B6647E">
        <w:rPr>
          <w:rFonts w:ascii="Arial" w:hAnsi="Arial" w:cs="Arial"/>
          <w:b/>
          <w:sz w:val="20"/>
          <w:szCs w:val="20"/>
        </w:rPr>
        <w:t>es chocs qui ont eu le plus grand impact sur la situation des collines</w:t>
      </w:r>
      <w:r w:rsidR="00527DD2">
        <w:rPr>
          <w:rFonts w:ascii="Arial" w:hAnsi="Arial" w:cs="Arial"/>
          <w:b/>
          <w:sz w:val="20"/>
          <w:szCs w:val="20"/>
        </w:rPr>
        <w:t xml:space="preserve"> a</w:t>
      </w:r>
      <w:r w:rsidR="00527DD2" w:rsidRPr="00B6647E">
        <w:rPr>
          <w:rFonts w:ascii="Arial" w:hAnsi="Arial" w:cs="Arial"/>
          <w:b/>
          <w:sz w:val="20"/>
          <w:szCs w:val="20"/>
        </w:rPr>
        <w:t>u cours des mois mars-septembre 201</w:t>
      </w:r>
      <w:r w:rsidR="004566D0">
        <w:rPr>
          <w:rFonts w:ascii="Arial" w:hAnsi="Arial" w:cs="Arial"/>
          <w:b/>
          <w:sz w:val="20"/>
          <w:szCs w:val="20"/>
        </w:rPr>
        <w:t>2</w:t>
      </w:r>
    </w:p>
    <w:p w:rsidR="008E3AB0" w:rsidRPr="00B6647E" w:rsidRDefault="008E3AB0" w:rsidP="006B6583">
      <w:pPr>
        <w:pStyle w:val="Paragraphedeliste"/>
        <w:spacing w:after="0" w:line="240" w:lineRule="auto"/>
        <w:ind w:left="0"/>
        <w:rPr>
          <w:rFonts w:ascii="Arial" w:hAnsi="Arial" w:cs="Arial"/>
          <w:sz w:val="20"/>
          <w:szCs w:val="20"/>
        </w:rPr>
      </w:pPr>
      <w:r w:rsidRPr="00B6647E">
        <w:rPr>
          <w:rFonts w:ascii="Arial" w:hAnsi="Arial" w:cs="Arial"/>
          <w:noProof/>
          <w:szCs w:val="20"/>
          <w:lang w:val="fr-FR" w:eastAsia="fr-FR"/>
        </w:rPr>
        <w:drawing>
          <wp:inline distT="0" distB="0" distL="0" distR="0">
            <wp:extent cx="5153025" cy="2486025"/>
            <wp:effectExtent l="19050" t="0" r="9525"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153025" cy="2486025"/>
                    </a:xfrm>
                    <a:prstGeom prst="rect">
                      <a:avLst/>
                    </a:prstGeom>
                    <a:noFill/>
                    <a:ln w="9525">
                      <a:noFill/>
                      <a:miter lim="800000"/>
                      <a:headEnd/>
                      <a:tailEnd/>
                    </a:ln>
                  </pic:spPr>
                </pic:pic>
              </a:graphicData>
            </a:graphic>
          </wp:inline>
        </w:drawing>
      </w:r>
    </w:p>
    <w:p w:rsidR="002C66E5" w:rsidRPr="00B6647E" w:rsidRDefault="00DF6FB0" w:rsidP="006B6583">
      <w:pPr>
        <w:pStyle w:val="Paragraphedeliste"/>
        <w:spacing w:after="0" w:line="240" w:lineRule="auto"/>
        <w:ind w:left="0"/>
        <w:jc w:val="both"/>
        <w:rPr>
          <w:rFonts w:ascii="Arial" w:hAnsi="Arial" w:cs="Arial"/>
          <w:sz w:val="20"/>
          <w:szCs w:val="20"/>
        </w:rPr>
      </w:pPr>
      <w:r w:rsidRPr="00B6647E">
        <w:rPr>
          <w:rFonts w:ascii="Arial" w:hAnsi="Arial" w:cs="Arial"/>
          <w:sz w:val="20"/>
          <w:szCs w:val="20"/>
        </w:rPr>
        <w:t>D’après ces mêmes focus groupes, l</w:t>
      </w:r>
      <w:r w:rsidR="002C66E5" w:rsidRPr="00B6647E">
        <w:rPr>
          <w:rFonts w:ascii="Arial" w:hAnsi="Arial" w:cs="Arial"/>
          <w:sz w:val="20"/>
          <w:szCs w:val="20"/>
        </w:rPr>
        <w:t>es stratégies les plus adoptées pour pallier à l’insuffisance alimentaire au cours des mois de juillet et août 2012</w:t>
      </w:r>
      <w:r w:rsidR="00A07AE8" w:rsidRPr="00B6647E">
        <w:rPr>
          <w:rFonts w:ascii="Arial" w:hAnsi="Arial" w:cs="Arial"/>
          <w:sz w:val="20"/>
          <w:szCs w:val="20"/>
        </w:rPr>
        <w:t xml:space="preserve"> sont : </w:t>
      </w:r>
      <w:r w:rsidR="00842CA0" w:rsidRPr="00B6647E">
        <w:rPr>
          <w:rFonts w:ascii="Arial" w:hAnsi="Arial" w:cs="Arial"/>
          <w:sz w:val="20"/>
          <w:szCs w:val="20"/>
        </w:rPr>
        <w:t>la consommation de produits moins chers (27,3%), l’emprunt de vivre</w:t>
      </w:r>
      <w:r w:rsidR="00AF6EEC" w:rsidRPr="00B6647E">
        <w:rPr>
          <w:rFonts w:ascii="Arial" w:hAnsi="Arial" w:cs="Arial"/>
          <w:sz w:val="20"/>
          <w:szCs w:val="20"/>
        </w:rPr>
        <w:t>s</w:t>
      </w:r>
      <w:r w:rsidR="00842CA0" w:rsidRPr="00B6647E">
        <w:rPr>
          <w:rFonts w:ascii="Arial" w:hAnsi="Arial" w:cs="Arial"/>
          <w:sz w:val="20"/>
          <w:szCs w:val="20"/>
        </w:rPr>
        <w:t xml:space="preserve"> ou la dépendance </w:t>
      </w:r>
      <w:r w:rsidR="00AF6EEC" w:rsidRPr="00B6647E">
        <w:rPr>
          <w:rFonts w:ascii="Arial" w:hAnsi="Arial" w:cs="Arial"/>
          <w:sz w:val="20"/>
          <w:szCs w:val="20"/>
        </w:rPr>
        <w:t>accrue des aides venant</w:t>
      </w:r>
      <w:r w:rsidR="00842CA0" w:rsidRPr="00B6647E">
        <w:rPr>
          <w:rFonts w:ascii="Arial" w:hAnsi="Arial" w:cs="Arial"/>
          <w:sz w:val="20"/>
          <w:szCs w:val="20"/>
        </w:rPr>
        <w:t xml:space="preserve"> des parents ou des amis (26,3%), la diminution presque tous les jours de la quantité de nourriture consommée au cours des repas (27,3%), la réduction presque tous les jours des quantités consommées par les adultes au profit des enfants (26,7%), la réduction presque tous les jours  à un ou deux repas (25,1%)</w:t>
      </w:r>
      <w:r w:rsidR="00C90557" w:rsidRPr="00B6647E">
        <w:rPr>
          <w:rFonts w:ascii="Arial" w:hAnsi="Arial" w:cs="Arial"/>
          <w:sz w:val="20"/>
          <w:szCs w:val="20"/>
        </w:rPr>
        <w:t>.</w:t>
      </w:r>
    </w:p>
    <w:p w:rsidR="008E3AB0" w:rsidRPr="00B6647E" w:rsidRDefault="00690CFE" w:rsidP="0039155C">
      <w:pPr>
        <w:pStyle w:val="Paragraphedeliste"/>
        <w:spacing w:before="200" w:after="120" w:line="240" w:lineRule="auto"/>
        <w:ind w:left="0"/>
        <w:contextualSpacing w:val="0"/>
        <w:rPr>
          <w:rFonts w:ascii="Arial" w:hAnsi="Arial" w:cs="Arial"/>
          <w:b/>
          <w:sz w:val="20"/>
          <w:szCs w:val="20"/>
        </w:rPr>
      </w:pPr>
      <w:r w:rsidRPr="00B6647E">
        <w:rPr>
          <w:rFonts w:ascii="Arial" w:hAnsi="Arial" w:cs="Arial"/>
          <w:b/>
          <w:sz w:val="20"/>
          <w:szCs w:val="20"/>
        </w:rPr>
        <w:t>Tableau 0</w:t>
      </w:r>
      <w:r w:rsidR="00527DD2">
        <w:rPr>
          <w:rFonts w:ascii="Arial" w:hAnsi="Arial" w:cs="Arial"/>
          <w:b/>
          <w:sz w:val="20"/>
          <w:szCs w:val="20"/>
        </w:rPr>
        <w:t>6</w:t>
      </w:r>
      <w:r w:rsidR="008E3AB0" w:rsidRPr="00B6647E">
        <w:rPr>
          <w:rFonts w:ascii="Arial" w:hAnsi="Arial" w:cs="Arial"/>
          <w:b/>
          <w:sz w:val="20"/>
          <w:szCs w:val="20"/>
        </w:rPr>
        <w:t> : S</w:t>
      </w:r>
      <w:r w:rsidR="002C66E5" w:rsidRPr="00B6647E">
        <w:rPr>
          <w:rFonts w:ascii="Arial" w:hAnsi="Arial" w:cs="Arial"/>
          <w:b/>
          <w:sz w:val="20"/>
          <w:szCs w:val="20"/>
        </w:rPr>
        <w:t>tratégies adoptées</w:t>
      </w:r>
      <w:r w:rsidR="008E3AB0" w:rsidRPr="00B6647E">
        <w:rPr>
          <w:rFonts w:ascii="Arial" w:hAnsi="Arial" w:cs="Arial"/>
          <w:b/>
          <w:sz w:val="20"/>
          <w:szCs w:val="20"/>
        </w:rPr>
        <w:t xml:space="preserve"> au cours d</w:t>
      </w:r>
      <w:r w:rsidR="00625FF7" w:rsidRPr="00B6647E">
        <w:rPr>
          <w:rFonts w:ascii="Arial" w:hAnsi="Arial" w:cs="Arial"/>
          <w:b/>
          <w:sz w:val="20"/>
          <w:szCs w:val="20"/>
        </w:rPr>
        <w:t>es</w:t>
      </w:r>
      <w:r w:rsidR="008E3AB0" w:rsidRPr="00B6647E">
        <w:rPr>
          <w:rFonts w:ascii="Arial" w:hAnsi="Arial" w:cs="Arial"/>
          <w:b/>
          <w:sz w:val="20"/>
          <w:szCs w:val="20"/>
        </w:rPr>
        <w:t xml:space="preserve"> mois de jui</w:t>
      </w:r>
      <w:r w:rsidR="00625FF7" w:rsidRPr="00B6647E">
        <w:rPr>
          <w:rFonts w:ascii="Arial" w:hAnsi="Arial" w:cs="Arial"/>
          <w:b/>
          <w:sz w:val="20"/>
          <w:szCs w:val="20"/>
        </w:rPr>
        <w:t>llet-août</w:t>
      </w:r>
      <w:r w:rsidR="008E3AB0" w:rsidRPr="00B6647E">
        <w:rPr>
          <w:rFonts w:ascii="Arial" w:hAnsi="Arial" w:cs="Arial"/>
          <w:b/>
          <w:sz w:val="20"/>
          <w:szCs w:val="20"/>
        </w:rPr>
        <w:t xml:space="preserve"> 2012</w:t>
      </w:r>
    </w:p>
    <w:p w:rsidR="008E3AB0" w:rsidRPr="00B6647E" w:rsidRDefault="00625FF7" w:rsidP="006B6583">
      <w:pPr>
        <w:pStyle w:val="Paragraphedeliste"/>
        <w:spacing w:after="0" w:line="240" w:lineRule="auto"/>
        <w:ind w:left="0"/>
        <w:rPr>
          <w:rFonts w:ascii="Arial" w:hAnsi="Arial" w:cs="Arial"/>
          <w:sz w:val="20"/>
          <w:szCs w:val="20"/>
        </w:rPr>
      </w:pPr>
      <w:r w:rsidRPr="00B6647E">
        <w:rPr>
          <w:rFonts w:ascii="Arial" w:hAnsi="Arial" w:cs="Arial"/>
          <w:noProof/>
          <w:szCs w:val="20"/>
          <w:lang w:val="fr-FR" w:eastAsia="fr-FR"/>
        </w:rPr>
        <w:drawing>
          <wp:inline distT="0" distB="0" distL="0" distR="0">
            <wp:extent cx="5731510" cy="1357064"/>
            <wp:effectExtent l="19050" t="0" r="2540"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5731510" cy="1357064"/>
                    </a:xfrm>
                    <a:prstGeom prst="rect">
                      <a:avLst/>
                    </a:prstGeom>
                    <a:noFill/>
                    <a:ln w="9525">
                      <a:noFill/>
                      <a:miter lim="800000"/>
                      <a:headEnd/>
                      <a:tailEnd/>
                    </a:ln>
                  </pic:spPr>
                </pic:pic>
              </a:graphicData>
            </a:graphic>
          </wp:inline>
        </w:drawing>
      </w:r>
    </w:p>
    <w:p w:rsidR="006F4AE1" w:rsidRPr="00B6647E" w:rsidRDefault="00A07AE8" w:rsidP="006B6583">
      <w:pPr>
        <w:autoSpaceDE w:val="0"/>
        <w:autoSpaceDN w:val="0"/>
        <w:adjustRightInd w:val="0"/>
        <w:spacing w:line="240" w:lineRule="auto"/>
        <w:jc w:val="both"/>
        <w:rPr>
          <w:rFonts w:ascii="Arial" w:eastAsia="MS Mincho" w:hAnsi="Arial" w:cs="Arial"/>
          <w:bCs/>
          <w:sz w:val="20"/>
          <w:lang w:eastAsia="ja-JP"/>
        </w:rPr>
      </w:pPr>
      <w:r w:rsidRPr="00B6647E">
        <w:rPr>
          <w:rFonts w:ascii="Arial" w:eastAsia="MS Mincho" w:hAnsi="Arial" w:cs="Arial"/>
          <w:bCs/>
          <w:sz w:val="20"/>
          <w:lang w:eastAsia="ja-JP"/>
        </w:rPr>
        <w:t xml:space="preserve">Le haricot a </w:t>
      </w:r>
      <w:r w:rsidR="00483B6D" w:rsidRPr="00B6647E">
        <w:rPr>
          <w:rFonts w:ascii="Arial" w:eastAsia="MS Mincho" w:hAnsi="Arial" w:cs="Arial"/>
          <w:bCs/>
          <w:sz w:val="20"/>
          <w:lang w:eastAsia="ja-JP"/>
        </w:rPr>
        <w:t xml:space="preserve">été signalé comme le produit le plus vendus par 27,8% des collines (24,1% pour le haricot nain, 3,7% pour le haricot volubile). </w:t>
      </w:r>
    </w:p>
    <w:p w:rsidR="00A07AE8" w:rsidRPr="00B6647E" w:rsidRDefault="00483B6D" w:rsidP="006B6583">
      <w:pPr>
        <w:autoSpaceDE w:val="0"/>
        <w:autoSpaceDN w:val="0"/>
        <w:adjustRightInd w:val="0"/>
        <w:spacing w:line="240" w:lineRule="auto"/>
        <w:rPr>
          <w:rFonts w:ascii="Arial" w:eastAsia="MS Mincho" w:hAnsi="Arial" w:cs="Arial"/>
          <w:bCs/>
          <w:sz w:val="20"/>
          <w:lang w:eastAsia="ja-JP"/>
        </w:rPr>
      </w:pPr>
      <w:r w:rsidRPr="00B6647E">
        <w:rPr>
          <w:rFonts w:ascii="Arial" w:eastAsia="MS Mincho" w:hAnsi="Arial" w:cs="Arial"/>
          <w:bCs/>
          <w:sz w:val="20"/>
          <w:lang w:eastAsia="ja-JP"/>
        </w:rPr>
        <w:t>Viennent ensuite dans l’ordre, la patate douce (21,3%), la banane (17,6% dont 11,1% pour la banane à bière et 6,5% pour la banane à cuire), le manioc (13% dont 9,3% pour le manioc amer et 3,7% pour le manioc doux)</w:t>
      </w:r>
    </w:p>
    <w:p w:rsidR="00154640" w:rsidRPr="00B6647E" w:rsidRDefault="00154640" w:rsidP="00FB15C5">
      <w:pPr>
        <w:pStyle w:val="Paragraphedeliste"/>
        <w:spacing w:after="120" w:line="240" w:lineRule="auto"/>
        <w:ind w:left="0"/>
        <w:contextualSpacing w:val="0"/>
        <w:rPr>
          <w:rFonts w:ascii="Arial" w:hAnsi="Arial" w:cs="Arial"/>
          <w:b/>
          <w:sz w:val="20"/>
          <w:szCs w:val="20"/>
        </w:rPr>
      </w:pPr>
      <w:r w:rsidRPr="00B6647E">
        <w:rPr>
          <w:rFonts w:ascii="Arial" w:hAnsi="Arial" w:cs="Arial"/>
          <w:b/>
          <w:sz w:val="20"/>
          <w:szCs w:val="20"/>
        </w:rPr>
        <w:lastRenderedPageBreak/>
        <w:t xml:space="preserve">Tableau </w:t>
      </w:r>
      <w:r w:rsidR="00527DD2">
        <w:rPr>
          <w:rFonts w:ascii="Arial" w:hAnsi="Arial" w:cs="Arial"/>
          <w:b/>
          <w:sz w:val="20"/>
          <w:szCs w:val="20"/>
        </w:rPr>
        <w:t>07</w:t>
      </w:r>
      <w:r w:rsidRPr="00B6647E">
        <w:rPr>
          <w:rFonts w:ascii="Arial" w:hAnsi="Arial" w:cs="Arial"/>
          <w:b/>
          <w:sz w:val="20"/>
          <w:szCs w:val="20"/>
        </w:rPr>
        <w:t> : Produits les plus vendus</w:t>
      </w:r>
    </w:p>
    <w:p w:rsidR="008E3AB0" w:rsidRPr="00B6647E" w:rsidRDefault="00154640" w:rsidP="00FB15C5">
      <w:pPr>
        <w:pStyle w:val="Paragraphedeliste"/>
        <w:spacing w:after="120" w:line="240" w:lineRule="auto"/>
        <w:ind w:left="0"/>
        <w:rPr>
          <w:rFonts w:ascii="Arial" w:hAnsi="Arial" w:cs="Arial"/>
          <w:sz w:val="20"/>
          <w:szCs w:val="20"/>
        </w:rPr>
      </w:pPr>
      <w:r w:rsidRPr="00B6647E">
        <w:rPr>
          <w:rFonts w:ascii="Arial" w:hAnsi="Arial" w:cs="Arial"/>
          <w:noProof/>
          <w:szCs w:val="20"/>
          <w:lang w:val="fr-FR" w:eastAsia="fr-FR"/>
        </w:rPr>
        <w:drawing>
          <wp:inline distT="0" distB="0" distL="0" distR="0">
            <wp:extent cx="1971675" cy="3854235"/>
            <wp:effectExtent l="19050" t="0" r="9525" b="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1971675" cy="3854235"/>
                    </a:xfrm>
                    <a:prstGeom prst="rect">
                      <a:avLst/>
                    </a:prstGeom>
                    <a:noFill/>
                    <a:ln w="9525">
                      <a:noFill/>
                      <a:miter lim="800000"/>
                      <a:headEnd/>
                      <a:tailEnd/>
                    </a:ln>
                  </pic:spPr>
                </pic:pic>
              </a:graphicData>
            </a:graphic>
          </wp:inline>
        </w:drawing>
      </w:r>
    </w:p>
    <w:p w:rsidR="00154640" w:rsidRPr="00B6647E" w:rsidRDefault="00E10B9C" w:rsidP="00FB15C5">
      <w:pPr>
        <w:pStyle w:val="Paragraphedeliste"/>
        <w:spacing w:after="120" w:line="240" w:lineRule="auto"/>
        <w:ind w:left="0"/>
        <w:contextualSpacing w:val="0"/>
        <w:jc w:val="both"/>
        <w:rPr>
          <w:rFonts w:ascii="Arial" w:hAnsi="Arial" w:cs="Arial"/>
          <w:sz w:val="20"/>
          <w:szCs w:val="20"/>
        </w:rPr>
      </w:pPr>
      <w:r w:rsidRPr="00B6647E">
        <w:rPr>
          <w:rFonts w:ascii="Arial" w:hAnsi="Arial" w:cs="Arial"/>
          <w:sz w:val="20"/>
          <w:szCs w:val="20"/>
        </w:rPr>
        <w:t xml:space="preserve">Environ trois collines sur quatre ont indiqué que les produits agricoles sont vendus dans les marchés situés hors de la colline et à peine une colline sur quatre les ventes ont lieu dans le marché de la colline. </w:t>
      </w:r>
    </w:p>
    <w:p w:rsidR="00154640" w:rsidRPr="00B6647E" w:rsidRDefault="0039155C" w:rsidP="00FB15C5">
      <w:pPr>
        <w:pStyle w:val="Paragraphedeliste"/>
        <w:spacing w:after="120" w:line="240" w:lineRule="auto"/>
        <w:ind w:left="0"/>
        <w:contextualSpacing w:val="0"/>
        <w:rPr>
          <w:rFonts w:ascii="Arial" w:hAnsi="Arial" w:cs="Arial"/>
          <w:b/>
          <w:sz w:val="20"/>
          <w:szCs w:val="20"/>
        </w:rPr>
      </w:pPr>
      <w:r w:rsidRPr="00B6647E">
        <w:rPr>
          <w:rFonts w:ascii="Arial" w:hAnsi="Arial" w:cs="Arial"/>
          <w:b/>
          <w:sz w:val="20"/>
          <w:szCs w:val="20"/>
        </w:rPr>
        <w:t>T</w:t>
      </w:r>
      <w:r w:rsidR="00154640" w:rsidRPr="00B6647E">
        <w:rPr>
          <w:rFonts w:ascii="Arial" w:hAnsi="Arial" w:cs="Arial"/>
          <w:b/>
          <w:sz w:val="20"/>
          <w:szCs w:val="20"/>
        </w:rPr>
        <w:t xml:space="preserve">ableau </w:t>
      </w:r>
      <w:r w:rsidR="00690CFE" w:rsidRPr="00B6647E">
        <w:rPr>
          <w:rFonts w:ascii="Arial" w:hAnsi="Arial" w:cs="Arial"/>
          <w:b/>
          <w:sz w:val="20"/>
          <w:szCs w:val="20"/>
        </w:rPr>
        <w:t>0</w:t>
      </w:r>
      <w:r w:rsidR="00527DD2">
        <w:rPr>
          <w:rFonts w:ascii="Arial" w:hAnsi="Arial" w:cs="Arial"/>
          <w:b/>
          <w:sz w:val="20"/>
          <w:szCs w:val="20"/>
        </w:rPr>
        <w:t>8</w:t>
      </w:r>
      <w:r w:rsidR="00154640" w:rsidRPr="00B6647E">
        <w:rPr>
          <w:rFonts w:ascii="Arial" w:hAnsi="Arial" w:cs="Arial"/>
          <w:b/>
          <w:sz w:val="20"/>
          <w:szCs w:val="20"/>
        </w:rPr>
        <w:t> : Principale destination des ventes</w:t>
      </w:r>
    </w:p>
    <w:p w:rsidR="00343EF1" w:rsidRPr="00B6647E" w:rsidRDefault="00343EF1" w:rsidP="00FB15C5">
      <w:pPr>
        <w:pStyle w:val="Paragraphedeliste"/>
        <w:spacing w:after="120" w:line="240" w:lineRule="auto"/>
        <w:ind w:left="0"/>
        <w:contextualSpacing w:val="0"/>
        <w:jc w:val="both"/>
        <w:rPr>
          <w:rFonts w:ascii="Arial" w:hAnsi="Arial" w:cs="Arial"/>
          <w:sz w:val="20"/>
          <w:szCs w:val="20"/>
        </w:rPr>
      </w:pPr>
      <w:r w:rsidRPr="00B6647E">
        <w:rPr>
          <w:noProof/>
          <w:szCs w:val="20"/>
          <w:lang w:val="fr-FR" w:eastAsia="fr-FR"/>
        </w:rPr>
        <w:drawing>
          <wp:inline distT="0" distB="0" distL="0" distR="0">
            <wp:extent cx="2819400" cy="2356360"/>
            <wp:effectExtent l="19050" t="0" r="0" b="0"/>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819400" cy="2356360"/>
                    </a:xfrm>
                    <a:prstGeom prst="rect">
                      <a:avLst/>
                    </a:prstGeom>
                    <a:noFill/>
                    <a:ln w="9525">
                      <a:noFill/>
                      <a:miter lim="800000"/>
                      <a:headEnd/>
                      <a:tailEnd/>
                    </a:ln>
                  </pic:spPr>
                </pic:pic>
              </a:graphicData>
            </a:graphic>
          </wp:inline>
        </w:drawing>
      </w:r>
    </w:p>
    <w:p w:rsidR="006F4AE1" w:rsidRPr="00B6647E" w:rsidRDefault="00E10B9C" w:rsidP="0039155C">
      <w:pPr>
        <w:pStyle w:val="Paragraphedeliste"/>
        <w:spacing w:line="240" w:lineRule="auto"/>
        <w:ind w:left="0"/>
        <w:contextualSpacing w:val="0"/>
        <w:jc w:val="both"/>
        <w:rPr>
          <w:rFonts w:ascii="Arial" w:hAnsi="Arial" w:cs="Arial"/>
          <w:sz w:val="20"/>
          <w:szCs w:val="20"/>
        </w:rPr>
      </w:pPr>
      <w:r w:rsidRPr="00B6647E">
        <w:rPr>
          <w:rFonts w:ascii="Arial" w:hAnsi="Arial" w:cs="Arial"/>
          <w:sz w:val="20"/>
          <w:szCs w:val="20"/>
        </w:rPr>
        <w:t xml:space="preserve">On estime à 87,9% la proportion des collines </w:t>
      </w:r>
      <w:r w:rsidR="002221F7" w:rsidRPr="00B6647E">
        <w:rPr>
          <w:rFonts w:ascii="Arial" w:hAnsi="Arial" w:cs="Arial"/>
          <w:sz w:val="20"/>
          <w:szCs w:val="20"/>
        </w:rPr>
        <w:t xml:space="preserve">bénéficiant d’un service de vulgarisation agricole, à 79,9% la proportion bénéficiant d’un service des agents vétérinaires. </w:t>
      </w:r>
    </w:p>
    <w:p w:rsidR="006F4AE1" w:rsidRPr="00B6647E" w:rsidRDefault="002221F7" w:rsidP="0039155C">
      <w:pPr>
        <w:pStyle w:val="Paragraphedeliste"/>
        <w:spacing w:line="240" w:lineRule="auto"/>
        <w:ind w:left="0"/>
        <w:contextualSpacing w:val="0"/>
        <w:jc w:val="both"/>
        <w:rPr>
          <w:rFonts w:ascii="Arial" w:hAnsi="Arial" w:cs="Arial"/>
          <w:spacing w:val="-3"/>
          <w:sz w:val="20"/>
        </w:rPr>
      </w:pPr>
      <w:r w:rsidRPr="00B6647E">
        <w:rPr>
          <w:rFonts w:ascii="Arial" w:hAnsi="Arial" w:cs="Arial"/>
          <w:spacing w:val="-3"/>
          <w:sz w:val="20"/>
        </w:rPr>
        <w:t xml:space="preserve">Les agriculteurs des collines utilisent les séchoirs (15%), les aires de séchage (24,6%), les étables (37,9%) et les greniers (20,8%). </w:t>
      </w:r>
    </w:p>
    <w:p w:rsidR="005932D6" w:rsidRPr="00B6647E" w:rsidRDefault="002221F7" w:rsidP="0039155C">
      <w:pPr>
        <w:pStyle w:val="Paragraphedeliste"/>
        <w:spacing w:line="240" w:lineRule="auto"/>
        <w:ind w:left="0"/>
        <w:contextualSpacing w:val="0"/>
        <w:jc w:val="both"/>
        <w:rPr>
          <w:rFonts w:ascii="Arial" w:hAnsi="Arial" w:cs="Arial"/>
          <w:sz w:val="20"/>
          <w:szCs w:val="20"/>
        </w:rPr>
      </w:pPr>
      <w:r w:rsidRPr="00B6647E">
        <w:rPr>
          <w:rFonts w:ascii="Arial" w:hAnsi="Arial" w:cs="Arial"/>
          <w:spacing w:val="-3"/>
          <w:sz w:val="20"/>
        </w:rPr>
        <w:t>On note que 22,6% des collines ont signalés que leurs agriculteurs achètent des engrais chimiques et produits phytosanitaires.</w:t>
      </w:r>
    </w:p>
    <w:p w:rsidR="00FB15C5" w:rsidRPr="00B6647E" w:rsidRDefault="00FB15C5" w:rsidP="0039155C">
      <w:pPr>
        <w:pStyle w:val="Paragraphedeliste"/>
        <w:spacing w:before="200" w:after="120" w:line="240" w:lineRule="auto"/>
        <w:ind w:left="0"/>
        <w:contextualSpacing w:val="0"/>
        <w:rPr>
          <w:rFonts w:ascii="Arial" w:hAnsi="Arial" w:cs="Arial"/>
          <w:b/>
          <w:sz w:val="20"/>
          <w:szCs w:val="20"/>
        </w:rPr>
      </w:pPr>
    </w:p>
    <w:p w:rsidR="009E6B23" w:rsidRPr="00B6647E" w:rsidRDefault="009E6B23" w:rsidP="0039155C">
      <w:pPr>
        <w:pStyle w:val="Paragraphedeliste"/>
        <w:spacing w:before="200" w:after="120" w:line="240" w:lineRule="auto"/>
        <w:ind w:left="0"/>
        <w:contextualSpacing w:val="0"/>
        <w:rPr>
          <w:rFonts w:ascii="Arial" w:hAnsi="Arial" w:cs="Arial"/>
          <w:b/>
          <w:sz w:val="20"/>
          <w:szCs w:val="20"/>
        </w:rPr>
      </w:pPr>
      <w:r w:rsidRPr="00B6647E">
        <w:rPr>
          <w:rFonts w:ascii="Arial" w:hAnsi="Arial" w:cs="Arial"/>
          <w:b/>
          <w:sz w:val="20"/>
          <w:szCs w:val="20"/>
        </w:rPr>
        <w:lastRenderedPageBreak/>
        <w:t xml:space="preserve">Tableau </w:t>
      </w:r>
      <w:r w:rsidR="00527DD2">
        <w:rPr>
          <w:rFonts w:ascii="Arial" w:hAnsi="Arial" w:cs="Arial"/>
          <w:b/>
          <w:sz w:val="20"/>
          <w:szCs w:val="20"/>
        </w:rPr>
        <w:t>09</w:t>
      </w:r>
      <w:r w:rsidRPr="00B6647E">
        <w:rPr>
          <w:rFonts w:ascii="Arial" w:hAnsi="Arial" w:cs="Arial"/>
          <w:b/>
          <w:sz w:val="20"/>
          <w:szCs w:val="20"/>
        </w:rPr>
        <w:t> : services au</w:t>
      </w:r>
      <w:r w:rsidR="00E10B9C" w:rsidRPr="00B6647E">
        <w:rPr>
          <w:rFonts w:ascii="Arial" w:hAnsi="Arial" w:cs="Arial"/>
          <w:b/>
          <w:sz w:val="20"/>
          <w:szCs w:val="20"/>
        </w:rPr>
        <w:t>x</w:t>
      </w:r>
      <w:r w:rsidRPr="00B6647E">
        <w:rPr>
          <w:rFonts w:ascii="Arial" w:hAnsi="Arial" w:cs="Arial"/>
          <w:b/>
          <w:sz w:val="20"/>
          <w:szCs w:val="20"/>
        </w:rPr>
        <w:t xml:space="preserve"> producteurs agricoles</w:t>
      </w:r>
    </w:p>
    <w:p w:rsidR="009E6B23" w:rsidRPr="00B6647E" w:rsidRDefault="009E6B23" w:rsidP="00E51ED6">
      <w:pPr>
        <w:pStyle w:val="Paragraphedeliste"/>
        <w:spacing w:after="0" w:line="240" w:lineRule="auto"/>
        <w:ind w:left="0"/>
        <w:rPr>
          <w:rFonts w:ascii="Arial" w:hAnsi="Arial" w:cs="Arial"/>
          <w:sz w:val="20"/>
          <w:szCs w:val="20"/>
        </w:rPr>
      </w:pPr>
      <w:r w:rsidRPr="00B6647E">
        <w:rPr>
          <w:rFonts w:ascii="Arial" w:hAnsi="Arial" w:cs="Arial"/>
          <w:noProof/>
          <w:szCs w:val="20"/>
          <w:lang w:val="fr-FR" w:eastAsia="fr-FR"/>
        </w:rPr>
        <w:drawing>
          <wp:inline distT="0" distB="0" distL="0" distR="0">
            <wp:extent cx="5343525" cy="2181225"/>
            <wp:effectExtent l="19050" t="0" r="9525" b="0"/>
            <wp:docPr id="1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5343525" cy="2181225"/>
                    </a:xfrm>
                    <a:prstGeom prst="rect">
                      <a:avLst/>
                    </a:prstGeom>
                    <a:noFill/>
                    <a:ln w="9525">
                      <a:noFill/>
                      <a:miter lim="800000"/>
                      <a:headEnd/>
                      <a:tailEnd/>
                    </a:ln>
                  </pic:spPr>
                </pic:pic>
              </a:graphicData>
            </a:graphic>
          </wp:inline>
        </w:drawing>
      </w:r>
    </w:p>
    <w:p w:rsidR="009E6B23" w:rsidRPr="00B6647E" w:rsidRDefault="006F4AE1" w:rsidP="006F4AE1">
      <w:pPr>
        <w:pStyle w:val="Paragraphedeliste"/>
        <w:spacing w:after="0" w:line="240" w:lineRule="auto"/>
        <w:ind w:left="0"/>
        <w:jc w:val="both"/>
        <w:rPr>
          <w:rFonts w:ascii="Arial" w:hAnsi="Arial" w:cs="Arial"/>
          <w:sz w:val="20"/>
          <w:szCs w:val="20"/>
        </w:rPr>
      </w:pPr>
      <w:r w:rsidRPr="00B6647E">
        <w:rPr>
          <w:rFonts w:ascii="Arial" w:hAnsi="Arial" w:cs="Arial"/>
          <w:sz w:val="20"/>
          <w:szCs w:val="20"/>
        </w:rPr>
        <w:t>Les collines ont indiqué que l</w:t>
      </w:r>
      <w:r w:rsidR="002221F7" w:rsidRPr="00B6647E">
        <w:rPr>
          <w:rFonts w:ascii="Arial" w:hAnsi="Arial" w:cs="Arial"/>
          <w:sz w:val="20"/>
          <w:szCs w:val="20"/>
        </w:rPr>
        <w:t xml:space="preserve">es engrais chimiques et produits phytosanitaires sont principalement </w:t>
      </w:r>
      <w:r w:rsidRPr="00B6647E">
        <w:rPr>
          <w:rFonts w:ascii="Arial" w:hAnsi="Arial" w:cs="Arial"/>
          <w:sz w:val="20"/>
          <w:szCs w:val="20"/>
        </w:rPr>
        <w:t>achetés</w:t>
      </w:r>
      <w:r w:rsidR="002221F7" w:rsidRPr="00B6647E">
        <w:rPr>
          <w:rFonts w:ascii="Arial" w:hAnsi="Arial" w:cs="Arial"/>
          <w:sz w:val="20"/>
          <w:szCs w:val="20"/>
        </w:rPr>
        <w:t xml:space="preserve"> dans les services </w:t>
      </w:r>
      <w:r w:rsidRPr="00B6647E">
        <w:rPr>
          <w:rFonts w:ascii="Arial" w:hAnsi="Arial" w:cs="Arial"/>
          <w:sz w:val="20"/>
          <w:szCs w:val="20"/>
        </w:rPr>
        <w:t>agricoles</w:t>
      </w:r>
      <w:r w:rsidR="002221F7" w:rsidRPr="00B6647E">
        <w:rPr>
          <w:rFonts w:ascii="Arial" w:hAnsi="Arial" w:cs="Arial"/>
          <w:sz w:val="20"/>
          <w:szCs w:val="20"/>
        </w:rPr>
        <w:t xml:space="preserve"> (45,8%)</w:t>
      </w:r>
      <w:r w:rsidRPr="00B6647E">
        <w:rPr>
          <w:rFonts w:ascii="Arial" w:hAnsi="Arial" w:cs="Arial"/>
          <w:sz w:val="20"/>
          <w:szCs w:val="20"/>
        </w:rPr>
        <w:t>, dans des boutiques (38,5%) et beaucoup plus rarement chez les associations et coopératives/ONG.</w:t>
      </w:r>
    </w:p>
    <w:p w:rsidR="009E6B23" w:rsidRPr="00B6647E" w:rsidRDefault="009E6B23" w:rsidP="0039155C">
      <w:pPr>
        <w:pStyle w:val="Paragraphedeliste"/>
        <w:spacing w:before="200" w:after="120" w:line="240" w:lineRule="auto"/>
        <w:ind w:left="0"/>
        <w:contextualSpacing w:val="0"/>
        <w:rPr>
          <w:rFonts w:ascii="Arial" w:hAnsi="Arial" w:cs="Arial"/>
          <w:b/>
          <w:sz w:val="20"/>
          <w:szCs w:val="20"/>
        </w:rPr>
      </w:pPr>
      <w:r w:rsidRPr="00B6647E">
        <w:rPr>
          <w:rFonts w:ascii="Arial" w:hAnsi="Arial" w:cs="Arial"/>
          <w:b/>
          <w:sz w:val="20"/>
          <w:szCs w:val="20"/>
        </w:rPr>
        <w:t xml:space="preserve">Tableau </w:t>
      </w:r>
      <w:r w:rsidR="00527DD2">
        <w:rPr>
          <w:rFonts w:ascii="Arial" w:hAnsi="Arial" w:cs="Arial"/>
          <w:b/>
          <w:sz w:val="20"/>
          <w:szCs w:val="20"/>
        </w:rPr>
        <w:t>1</w:t>
      </w:r>
      <w:r w:rsidR="00690CFE" w:rsidRPr="00B6647E">
        <w:rPr>
          <w:rFonts w:ascii="Arial" w:hAnsi="Arial" w:cs="Arial"/>
          <w:b/>
          <w:sz w:val="20"/>
          <w:szCs w:val="20"/>
        </w:rPr>
        <w:t>0</w:t>
      </w:r>
      <w:r w:rsidRPr="00B6647E">
        <w:rPr>
          <w:rFonts w:ascii="Arial" w:hAnsi="Arial" w:cs="Arial"/>
          <w:b/>
          <w:sz w:val="20"/>
          <w:szCs w:val="20"/>
        </w:rPr>
        <w:t> : Lieu d’achat des engrais chimiques et produits phytosanitaires</w:t>
      </w:r>
      <w:r w:rsidR="00A416C1" w:rsidRPr="00B6647E">
        <w:rPr>
          <w:rFonts w:ascii="Arial" w:hAnsi="Arial" w:cs="Arial"/>
          <w:b/>
          <w:sz w:val="20"/>
          <w:szCs w:val="20"/>
        </w:rPr>
        <w:t xml:space="preserve"> (%)</w:t>
      </w:r>
    </w:p>
    <w:p w:rsidR="009E6B23" w:rsidRPr="00B6647E" w:rsidRDefault="009E6B23" w:rsidP="00E51ED6">
      <w:pPr>
        <w:pStyle w:val="Paragraphedeliste"/>
        <w:spacing w:after="0" w:line="240" w:lineRule="auto"/>
        <w:ind w:left="0"/>
        <w:rPr>
          <w:rFonts w:ascii="Arial" w:hAnsi="Arial" w:cs="Arial"/>
          <w:sz w:val="20"/>
          <w:szCs w:val="20"/>
        </w:rPr>
      </w:pPr>
      <w:r w:rsidRPr="00B6647E">
        <w:rPr>
          <w:rFonts w:ascii="Arial" w:hAnsi="Arial" w:cs="Arial"/>
          <w:noProof/>
          <w:szCs w:val="20"/>
          <w:lang w:val="fr-FR" w:eastAsia="fr-FR"/>
        </w:rPr>
        <w:drawing>
          <wp:inline distT="0" distB="0" distL="0" distR="0">
            <wp:extent cx="2447925" cy="2171700"/>
            <wp:effectExtent l="19050" t="0" r="9525" b="0"/>
            <wp:docPr id="1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2447925" cy="2171700"/>
                    </a:xfrm>
                    <a:prstGeom prst="rect">
                      <a:avLst/>
                    </a:prstGeom>
                    <a:noFill/>
                    <a:ln w="9525">
                      <a:noFill/>
                      <a:miter lim="800000"/>
                      <a:headEnd/>
                      <a:tailEnd/>
                    </a:ln>
                  </pic:spPr>
                </pic:pic>
              </a:graphicData>
            </a:graphic>
          </wp:inline>
        </w:drawing>
      </w:r>
    </w:p>
    <w:p w:rsidR="009E6B23" w:rsidRPr="00B6647E" w:rsidRDefault="009E6B23">
      <w:pPr>
        <w:rPr>
          <w:rFonts w:ascii="Arial" w:eastAsia="Times New Roman" w:hAnsi="Arial" w:cs="Arial"/>
          <w:color w:val="365F91"/>
          <w:sz w:val="24"/>
          <w:szCs w:val="24"/>
          <w:lang w:eastAsia="fr-FR"/>
        </w:rPr>
      </w:pPr>
      <w:r w:rsidRPr="00B6647E">
        <w:rPr>
          <w:rFonts w:ascii="Arial" w:hAnsi="Arial" w:cs="Arial"/>
          <w:color w:val="365F91"/>
        </w:rPr>
        <w:br w:type="page"/>
      </w:r>
    </w:p>
    <w:p w:rsidR="000552AE" w:rsidRPr="00C60292" w:rsidRDefault="000552AE" w:rsidP="00721CE7">
      <w:pPr>
        <w:pStyle w:val="Titre1"/>
        <w:keepNext w:val="0"/>
        <w:numPr>
          <w:ilvl w:val="0"/>
          <w:numId w:val="1"/>
        </w:numPr>
        <w:tabs>
          <w:tab w:val="num" w:pos="432"/>
        </w:tabs>
        <w:ind w:left="432" w:hanging="432"/>
        <w:rPr>
          <w:rFonts w:cs="Arial"/>
          <w:color w:val="365F91"/>
        </w:rPr>
      </w:pPr>
      <w:bookmarkStart w:id="78" w:name="_Toc354313838"/>
      <w:r w:rsidRPr="00C60292">
        <w:rPr>
          <w:rFonts w:cs="Arial"/>
          <w:color w:val="365F91"/>
        </w:rPr>
        <w:lastRenderedPageBreak/>
        <w:t>Caractéristiques des ménages agricoles</w:t>
      </w:r>
      <w:bookmarkEnd w:id="78"/>
    </w:p>
    <w:p w:rsidR="001A3AEF" w:rsidRPr="00B6647E" w:rsidRDefault="00DF50D8" w:rsidP="00721CE7">
      <w:pPr>
        <w:pStyle w:val="Paragraphedeliste"/>
        <w:spacing w:after="0" w:line="240" w:lineRule="auto"/>
        <w:rPr>
          <w:rFonts w:ascii="Arial" w:hAnsi="Arial" w:cs="Arial"/>
          <w:sz w:val="20"/>
          <w:szCs w:val="20"/>
        </w:rPr>
      </w:pPr>
      <w:r w:rsidRPr="00DF50D8">
        <w:rPr>
          <w:rFonts w:ascii="Arial" w:hAnsi="Arial" w:cs="Arial"/>
          <w:noProof/>
        </w:rPr>
        <w:pict>
          <v:shape id="_x0000_s1032" type="#_x0000_t32" style="position:absolute;left:0;text-align:left;margin-left:1.15pt;margin-top:4.8pt;width:453.55pt;height:0;z-index:25167257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4ufrAIAAJcFAAAOAAAAZHJzL2Uyb0RvYy54bWysVE2PmzAQvVfqf7B8Z4FACEFLVlkCvWzb&#10;lXarnh1sglWwke18rKr+945NQjfbS1UtB+SPmTdvZt749u7Ud+jAlOZS5Di8CTBiopaUi12Ovz1X&#10;XoqRNkRQ0knBcvzCNL5bffxwexwyNpOt7ChTCECEzo5Djltjhsz3dd2ynugbOTABl41UPTGwVTuf&#10;KnIE9L7zZ0GQ+Eep6KBkzbSG0814iVcOv2lYbb42jWYGdTkGbsb9lftv7d9f3ZJsp8jQ8vpMg/wH&#10;i55wAUEnqA0xBO0V/wuq57WSWjbmppa9L5uG18zlANmEwZtsnloyMJcLFEcPU5n0+8HWXw6PCnGa&#10;42WCkSA99Gi9N9KFRjNbn+OgMzArxKOyGdYn8TQ8yPqHRkIWLRE75oyfXwbwDa2Hf+ViN3qAKNvj&#10;Z0nBhgC+K9apUb2FhDKgk+vJy9QTdjKohsP5IgmCdI5RfbnzSXZxHJQ2n5jskV3kWBtF+K41hRQC&#10;Oi9V6MKQw4M2lhbJLg42qpAV7zongE6gY46jNAwC56Flx6m9tXZa7bZFp9CBgIaiZF4txyTh5rWZ&#10;kntBHVrLCC3Pa0N4N64heicsHnOyHCnB7mRg6c4hYyeZn8tgWaZlGnvxLCm9ONhsvHVVxF5ShYv5&#10;JtoUxSb8ZYmGcdZySpmwXC/yDeN/k8d5kEbhTQKequJfo7vyAdlrputqHiziKPUWi3nkxVEZePdp&#10;VXjrIkySRXlf3JdvmJYue/0+ZKdSWlZyb5h6aukRUW7VMEujJbw+lMO4R2mQBMsFRqTbwTtVG4WR&#10;kuY7N60Tr5Wdxbjq9SyOqmQ8J93QklEB8wA+p/LJ3NVmCj9W6tJku5vadE7+Ty1BFBcBuKGxczJO&#10;3FbSl0d1GSaYfud0fqns8/J6D+vX7+nqNwAAAP//AwBQSwMEFAAGAAgAAAAhABLqZCjcAAAABQEA&#10;AA8AAABkcnMvZG93bnJldi54bWxMjlFLwzAUhd+F/YdwB76ISzdLWWvTMRRxDBGs/oC0uTbF5qY0&#10;Wdv564170cfDOXzny3ez6diIg2stCVivImBItVUtNQI+3p9ut8Ccl6RkZwkFnNHBrlhc5TJTdqI3&#10;HEvfsAAhl0kB2vs+49zVGo10K9sjhe7TDkb6EIeGq0FOAW46vomihBvZUnjQsscHjfVXeTICpjE5&#10;vtxs+fx9fC3PTRUfHvVzLMT1ct7fA/M4+78x/OoHdSiCU2VPpBzrBGzuwlBAmgALbRqlMbDqknmR&#10;8//2xQ8AAAD//wMAUEsBAi0AFAAGAAgAAAAhALaDOJL+AAAA4QEAABMAAAAAAAAAAAAAAAAAAAAA&#10;AFtDb250ZW50X1R5cGVzXS54bWxQSwECLQAUAAYACAAAACEAOP0h/9YAAACUAQAACwAAAAAAAAAA&#10;AAAAAAAvAQAAX3JlbHMvLnJlbHNQSwECLQAUAAYACAAAACEAJvOLn6wCAACXBQAADgAAAAAAAAAA&#10;AAAAAAAuAgAAZHJzL2Uyb0RvYy54bWxQSwECLQAUAAYACAAAACEAEupkKNwAAAAFAQAADwAAAAAA&#10;AAAAAAAAAAAGBQAAZHJzL2Rvd25yZXYueG1sUEsFBgAAAAAEAAQA8wAAAA8GAAAAAA==&#10;" strokecolor="#365f91" strokeweight="3pt">
            <v:shadow color="#243f60" opacity=".5" offset="1pt"/>
          </v:shape>
        </w:pict>
      </w:r>
    </w:p>
    <w:p w:rsidR="005B2022" w:rsidRPr="00B6647E" w:rsidRDefault="005B2022" w:rsidP="00721CE7">
      <w:pPr>
        <w:pStyle w:val="Lgende"/>
        <w:spacing w:before="240"/>
        <w:jc w:val="both"/>
        <w:rPr>
          <w:rFonts w:ascii="Arial" w:hAnsi="Arial" w:cs="Arial"/>
          <w:b w:val="0"/>
        </w:rPr>
      </w:pPr>
      <w:r w:rsidRPr="00B6647E">
        <w:rPr>
          <w:rFonts w:ascii="Arial" w:hAnsi="Arial" w:cs="Arial"/>
          <w:b w:val="0"/>
        </w:rPr>
        <w:t>Cette partie décrit les caractéristiques sociodémographiques des ménages agricoles et celles de la population agricole au niveau n</w:t>
      </w:r>
      <w:r w:rsidR="00721CE7" w:rsidRPr="00B6647E">
        <w:rPr>
          <w:rFonts w:ascii="Arial" w:hAnsi="Arial" w:cs="Arial"/>
          <w:b w:val="0"/>
        </w:rPr>
        <w:t>ational, régional et provincial. Les résultats exposés dans ce chapitre sont ceux de la saison A qui correspond au début de la campagne agricole. Il serait souhaitable qu’ils soient mis à jour à chaque début de campagne agricole.</w:t>
      </w:r>
    </w:p>
    <w:p w:rsidR="005B2022" w:rsidRPr="00B6647E" w:rsidRDefault="005B2022" w:rsidP="006F1778">
      <w:pPr>
        <w:pStyle w:val="Titre2"/>
        <w:keepNext w:val="0"/>
        <w:numPr>
          <w:ilvl w:val="1"/>
          <w:numId w:val="1"/>
        </w:numPr>
        <w:spacing w:before="240" w:after="200"/>
        <w:ind w:left="0" w:firstLine="0"/>
        <w:rPr>
          <w:rFonts w:cs="Arial"/>
          <w:u w:val="dotDash"/>
        </w:rPr>
      </w:pPr>
      <w:bookmarkStart w:id="79" w:name="_Toc244513752"/>
      <w:bookmarkStart w:id="80" w:name="_Toc244516064"/>
      <w:bookmarkStart w:id="81" w:name="_Toc244593098"/>
      <w:bookmarkStart w:id="82" w:name="_Toc244669919"/>
      <w:bookmarkStart w:id="83" w:name="_Toc244671307"/>
      <w:bookmarkStart w:id="84" w:name="_Toc245721767"/>
      <w:bookmarkStart w:id="85" w:name="_Toc322271286"/>
      <w:bookmarkStart w:id="86" w:name="_Toc333379449"/>
      <w:bookmarkStart w:id="87" w:name="_Toc354313839"/>
      <w:r w:rsidRPr="00B6647E">
        <w:rPr>
          <w:rFonts w:cs="Arial"/>
          <w:u w:val="dotDash"/>
        </w:rPr>
        <w:t>Caractéristiques démographiques des ménages</w:t>
      </w:r>
      <w:bookmarkEnd w:id="79"/>
      <w:bookmarkEnd w:id="80"/>
      <w:bookmarkEnd w:id="81"/>
      <w:bookmarkEnd w:id="82"/>
      <w:bookmarkEnd w:id="83"/>
      <w:bookmarkEnd w:id="84"/>
      <w:bookmarkEnd w:id="85"/>
      <w:bookmarkEnd w:id="86"/>
      <w:bookmarkEnd w:id="87"/>
    </w:p>
    <w:p w:rsidR="005B2022" w:rsidRPr="00B6647E" w:rsidRDefault="005B2022" w:rsidP="00721CE7">
      <w:pPr>
        <w:pStyle w:val="Corpsdutexte"/>
        <w:spacing w:before="120" w:after="120"/>
        <w:rPr>
          <w:rFonts w:cs="Arial"/>
          <w:sz w:val="20"/>
          <w:szCs w:val="20"/>
        </w:rPr>
      </w:pPr>
      <w:r w:rsidRPr="00B6647E">
        <w:rPr>
          <w:rFonts w:cs="Arial"/>
          <w:sz w:val="20"/>
          <w:szCs w:val="20"/>
        </w:rPr>
        <w:t>L’enquête estime au total 1.556.529 ménages agricoles au Burundi dont 78,5% sont dirigés par des hommes contre 21,5% par les femmes. Ces ménages représentent 85%</w:t>
      </w:r>
      <w:r w:rsidRPr="00B6647E">
        <w:rPr>
          <w:rStyle w:val="Appelnotedebasdep"/>
          <w:rFonts w:cs="Arial"/>
          <w:sz w:val="20"/>
          <w:szCs w:val="20"/>
        </w:rPr>
        <w:footnoteReference w:id="17"/>
      </w:r>
      <w:r w:rsidRPr="00B6647E">
        <w:rPr>
          <w:rFonts w:cs="Arial"/>
          <w:sz w:val="20"/>
          <w:szCs w:val="20"/>
        </w:rPr>
        <w:t xml:space="preserve"> de l’ensemble des ménages ordinaires</w:t>
      </w:r>
      <w:r w:rsidRPr="00B6647E">
        <w:rPr>
          <w:rStyle w:val="Appelnotedebasdep"/>
          <w:rFonts w:cs="Arial"/>
          <w:sz w:val="20"/>
          <w:szCs w:val="20"/>
        </w:rPr>
        <w:footnoteReference w:id="18"/>
      </w:r>
      <w:r w:rsidRPr="00B6647E">
        <w:rPr>
          <w:rFonts w:cs="Arial"/>
          <w:sz w:val="20"/>
          <w:szCs w:val="20"/>
        </w:rPr>
        <w:t xml:space="preserve"> et 93,7% des ménages ordinaires ruraux.</w:t>
      </w:r>
    </w:p>
    <w:p w:rsidR="005B2022" w:rsidRPr="00B6647E" w:rsidRDefault="005B2022" w:rsidP="00C60292">
      <w:pPr>
        <w:pStyle w:val="Corpsdutexte"/>
        <w:spacing w:before="0"/>
        <w:rPr>
          <w:rFonts w:cs="Arial"/>
          <w:i/>
          <w:sz w:val="20"/>
          <w:szCs w:val="20"/>
        </w:rPr>
      </w:pPr>
      <w:r w:rsidRPr="00B6647E">
        <w:rPr>
          <w:rFonts w:cs="Arial"/>
          <w:i/>
          <w:sz w:val="20"/>
          <w:szCs w:val="20"/>
        </w:rPr>
        <w:t>Régions naturelles</w:t>
      </w:r>
    </w:p>
    <w:p w:rsidR="005B2022" w:rsidRPr="00B6647E" w:rsidRDefault="005B2022" w:rsidP="00721CE7">
      <w:pPr>
        <w:pStyle w:val="Corpsdutexte"/>
        <w:spacing w:before="0" w:after="120"/>
        <w:rPr>
          <w:rFonts w:cs="Arial"/>
          <w:sz w:val="20"/>
          <w:szCs w:val="20"/>
        </w:rPr>
      </w:pPr>
      <w:r w:rsidRPr="00B6647E">
        <w:rPr>
          <w:rFonts w:cs="Arial"/>
          <w:sz w:val="20"/>
          <w:szCs w:val="20"/>
        </w:rPr>
        <w:t>La région naturelle de Kirimiro, la plus peuplée, compte plus de 280.000 ménages agricoles, soit 18,4% des ménages agricoles du pays. Cette région est suivie par celles de Buyenzi avec 250.000 ménages et de Bweru comptant 168.000 ménages correspondant respectivement à 16,1% et 10,8% de l’ensemble des ménages agricoles. A l’opposé, les régions les moins peuplées en nombre de ménages agricoles sont Bugarane avec environ 22.000 ménages (1,4%) et Bututsi avec 45.000 ménages (2,9% de l’ensemble des ménages agricoles).</w:t>
      </w:r>
    </w:p>
    <w:p w:rsidR="005B2022" w:rsidRPr="00B6647E" w:rsidRDefault="005B2022" w:rsidP="0039155C">
      <w:pPr>
        <w:pStyle w:val="Corpsdutexte"/>
        <w:keepNext/>
        <w:spacing w:before="200" w:after="120"/>
        <w:rPr>
          <w:rFonts w:cs="Arial"/>
          <w:b/>
          <w:sz w:val="20"/>
          <w:szCs w:val="20"/>
        </w:rPr>
      </w:pPr>
      <w:r w:rsidRPr="00B6647E">
        <w:rPr>
          <w:rFonts w:cs="Arial"/>
          <w:b/>
          <w:sz w:val="20"/>
          <w:szCs w:val="20"/>
        </w:rPr>
        <w:t xml:space="preserve">Tableau </w:t>
      </w:r>
      <w:r w:rsidR="00A514B4">
        <w:rPr>
          <w:rFonts w:cs="Arial"/>
          <w:b/>
          <w:sz w:val="20"/>
          <w:szCs w:val="20"/>
        </w:rPr>
        <w:t>11</w:t>
      </w:r>
      <w:r w:rsidR="0039155C" w:rsidRPr="00B6647E">
        <w:rPr>
          <w:rFonts w:cs="Arial"/>
          <w:b/>
          <w:sz w:val="20"/>
          <w:szCs w:val="20"/>
        </w:rPr>
        <w:t> :</w:t>
      </w:r>
      <w:r w:rsidRPr="00B6647E">
        <w:rPr>
          <w:rFonts w:cs="Arial"/>
          <w:b/>
          <w:sz w:val="20"/>
          <w:szCs w:val="20"/>
        </w:rPr>
        <w:t xml:space="preserve"> Répartition des ménages agricoles par région naturelle selon le sexe du CM</w:t>
      </w:r>
    </w:p>
    <w:p w:rsidR="005B2022" w:rsidRPr="00B6647E" w:rsidRDefault="005B2022" w:rsidP="00721CE7">
      <w:pPr>
        <w:pStyle w:val="Corpsdutexte"/>
        <w:keepNext/>
        <w:spacing w:before="0" w:after="0"/>
        <w:rPr>
          <w:rFonts w:cs="Arial"/>
          <w:sz w:val="20"/>
          <w:szCs w:val="20"/>
        </w:rPr>
      </w:pPr>
      <w:r w:rsidRPr="00B6647E">
        <w:rPr>
          <w:rFonts w:cs="Arial"/>
          <w:noProof/>
          <w:sz w:val="20"/>
          <w:szCs w:val="20"/>
          <w:lang w:eastAsia="fr-FR"/>
        </w:rPr>
        <w:drawing>
          <wp:inline distT="0" distB="0" distL="0" distR="0">
            <wp:extent cx="4352290" cy="2860040"/>
            <wp:effectExtent l="19050" t="0" r="0" b="0"/>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4352290" cy="2860040"/>
                    </a:xfrm>
                    <a:prstGeom prst="rect">
                      <a:avLst/>
                    </a:prstGeom>
                    <a:noFill/>
                    <a:ln w="9525">
                      <a:noFill/>
                      <a:miter lim="800000"/>
                      <a:headEnd/>
                      <a:tailEnd/>
                    </a:ln>
                  </pic:spPr>
                </pic:pic>
              </a:graphicData>
            </a:graphic>
          </wp:inline>
        </w:drawing>
      </w:r>
      <w:r w:rsidRPr="00B6647E">
        <w:rPr>
          <w:rFonts w:cs="Arial"/>
          <w:sz w:val="20"/>
          <w:szCs w:val="20"/>
        </w:rPr>
        <w:t xml:space="preserve"> </w:t>
      </w:r>
    </w:p>
    <w:p w:rsidR="005B2022" w:rsidRPr="00B6647E" w:rsidRDefault="005B2022" w:rsidP="00721CE7">
      <w:pPr>
        <w:pStyle w:val="Corpsdutexte"/>
        <w:rPr>
          <w:rFonts w:cs="Arial"/>
          <w:sz w:val="20"/>
          <w:szCs w:val="20"/>
        </w:rPr>
      </w:pPr>
      <w:r w:rsidRPr="00B6647E">
        <w:rPr>
          <w:rFonts w:cs="Arial"/>
          <w:sz w:val="20"/>
          <w:szCs w:val="20"/>
        </w:rPr>
        <w:t xml:space="preserve">Les régions à plus fortes proportions de chefs de ménage féminins sont Imbo (24,9%) et Kirimiro (24,6%). </w:t>
      </w:r>
    </w:p>
    <w:p w:rsidR="005B2022" w:rsidRPr="00B6647E" w:rsidRDefault="005B2022" w:rsidP="00721CE7">
      <w:pPr>
        <w:pStyle w:val="Corpsdutexte"/>
        <w:rPr>
          <w:rFonts w:cs="Arial"/>
          <w:sz w:val="20"/>
          <w:szCs w:val="20"/>
        </w:rPr>
      </w:pPr>
      <w:r w:rsidRPr="00B6647E">
        <w:rPr>
          <w:rFonts w:cs="Arial"/>
          <w:sz w:val="20"/>
          <w:szCs w:val="20"/>
        </w:rPr>
        <w:t xml:space="preserve">A l’opposé, les régions de Buragane et Moso ont les plus faibles proportions de chefs de ménage féminins avec respectivement 11,7% et 15,9%. </w:t>
      </w:r>
    </w:p>
    <w:p w:rsidR="005B2022" w:rsidRPr="00B6647E" w:rsidRDefault="005B2022" w:rsidP="00721CE7">
      <w:pPr>
        <w:pStyle w:val="Corpsdutexte"/>
        <w:spacing w:before="0"/>
        <w:rPr>
          <w:rFonts w:cs="Arial"/>
          <w:i/>
          <w:sz w:val="20"/>
          <w:szCs w:val="20"/>
        </w:rPr>
      </w:pPr>
      <w:r w:rsidRPr="00B6647E">
        <w:rPr>
          <w:rFonts w:cs="Arial"/>
          <w:i/>
          <w:sz w:val="20"/>
          <w:szCs w:val="20"/>
        </w:rPr>
        <w:t>Provinces</w:t>
      </w:r>
    </w:p>
    <w:p w:rsidR="005B2022" w:rsidRPr="00B6647E" w:rsidRDefault="005B2022" w:rsidP="00721CE7">
      <w:pPr>
        <w:pStyle w:val="Corpsdutexte"/>
        <w:spacing w:before="0"/>
        <w:rPr>
          <w:rFonts w:cs="Arial"/>
          <w:sz w:val="20"/>
          <w:szCs w:val="20"/>
        </w:rPr>
      </w:pPr>
      <w:r w:rsidRPr="00B6647E">
        <w:rPr>
          <w:rFonts w:cs="Arial"/>
          <w:sz w:val="20"/>
          <w:szCs w:val="20"/>
        </w:rPr>
        <w:t xml:space="preserve">La province de Kirundo compte environ 150.000 ménages agricoles correspondant à une proportion de 9,7%. Elle est trois fois plus peuplée que la province la moins peuplée Cankuzo qui a 48.000 ménages (3,1%). La province de Kirundo est suivie par celles de Muyinga et Gitega avec plus de 140.000 ménages chacune soit une proportion d’environ 9%. </w:t>
      </w:r>
    </w:p>
    <w:p w:rsidR="005B2022" w:rsidRPr="00B6647E" w:rsidRDefault="005B2022" w:rsidP="00721CE7">
      <w:pPr>
        <w:pStyle w:val="Corpsdutexte"/>
        <w:rPr>
          <w:rFonts w:cs="Arial"/>
          <w:sz w:val="20"/>
          <w:szCs w:val="20"/>
        </w:rPr>
      </w:pPr>
      <w:r w:rsidRPr="00B6647E">
        <w:rPr>
          <w:rFonts w:cs="Arial"/>
          <w:sz w:val="20"/>
          <w:szCs w:val="20"/>
        </w:rPr>
        <w:t>Après la province de Cankuzo la moins peuplée, viennent dans l’ordre, les provinces de Mwaro avec environ 58.000 ménages (3,7%) et de Muramvya qui compte autour 60.000 ménages (3,9%).</w:t>
      </w:r>
    </w:p>
    <w:p w:rsidR="005B2022" w:rsidRPr="00B6647E" w:rsidRDefault="0039155C" w:rsidP="0039155C">
      <w:pPr>
        <w:pStyle w:val="Corpsdutexte"/>
        <w:keepNext/>
        <w:spacing w:before="200" w:after="120"/>
        <w:rPr>
          <w:rFonts w:cs="Arial"/>
          <w:b/>
          <w:sz w:val="20"/>
          <w:szCs w:val="20"/>
        </w:rPr>
      </w:pPr>
      <w:r w:rsidRPr="00B6647E">
        <w:rPr>
          <w:rFonts w:cs="Arial"/>
          <w:b/>
          <w:sz w:val="20"/>
          <w:szCs w:val="20"/>
        </w:rPr>
        <w:lastRenderedPageBreak/>
        <w:t xml:space="preserve">Tableau </w:t>
      </w:r>
      <w:r w:rsidR="00A514B4">
        <w:rPr>
          <w:rFonts w:cs="Arial"/>
          <w:b/>
          <w:sz w:val="20"/>
          <w:szCs w:val="20"/>
        </w:rPr>
        <w:t>12</w:t>
      </w:r>
      <w:r w:rsidRPr="00B6647E">
        <w:rPr>
          <w:rFonts w:cs="Arial"/>
          <w:b/>
          <w:sz w:val="20"/>
          <w:szCs w:val="20"/>
        </w:rPr>
        <w:t> :</w:t>
      </w:r>
      <w:r w:rsidR="005B2022" w:rsidRPr="00B6647E">
        <w:rPr>
          <w:rFonts w:cs="Arial"/>
          <w:b/>
          <w:sz w:val="20"/>
          <w:szCs w:val="20"/>
        </w:rPr>
        <w:t xml:space="preserve"> Répartition des ménages agricoles par province selon le sexe du CM</w:t>
      </w:r>
    </w:p>
    <w:p w:rsidR="005B2022" w:rsidRPr="00B6647E" w:rsidRDefault="005B2022" w:rsidP="0039155C">
      <w:pPr>
        <w:pStyle w:val="Corpsdutexte"/>
        <w:keepNext/>
        <w:spacing w:before="0" w:after="200"/>
        <w:rPr>
          <w:rFonts w:cs="Arial"/>
          <w:sz w:val="20"/>
          <w:szCs w:val="20"/>
        </w:rPr>
      </w:pPr>
      <w:r w:rsidRPr="00B6647E">
        <w:rPr>
          <w:rFonts w:cs="Arial"/>
          <w:noProof/>
          <w:sz w:val="20"/>
          <w:szCs w:val="20"/>
          <w:lang w:eastAsia="fr-FR"/>
        </w:rPr>
        <w:drawing>
          <wp:inline distT="0" distB="0" distL="0" distR="0">
            <wp:extent cx="5274310" cy="2992120"/>
            <wp:effectExtent l="19050" t="0" r="2540" b="0"/>
            <wp:docPr id="1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5274310" cy="2992120"/>
                    </a:xfrm>
                    <a:prstGeom prst="rect">
                      <a:avLst/>
                    </a:prstGeom>
                    <a:noFill/>
                    <a:ln w="9525">
                      <a:noFill/>
                      <a:miter lim="800000"/>
                      <a:headEnd/>
                      <a:tailEnd/>
                    </a:ln>
                  </pic:spPr>
                </pic:pic>
              </a:graphicData>
            </a:graphic>
          </wp:inline>
        </w:drawing>
      </w:r>
    </w:p>
    <w:p w:rsidR="005B2022" w:rsidRPr="00B6647E" w:rsidRDefault="005B2022" w:rsidP="00721CE7">
      <w:pPr>
        <w:spacing w:line="240" w:lineRule="auto"/>
        <w:jc w:val="both"/>
        <w:rPr>
          <w:rFonts w:ascii="Arial" w:hAnsi="Arial" w:cs="Arial"/>
          <w:sz w:val="20"/>
          <w:szCs w:val="20"/>
        </w:rPr>
      </w:pPr>
      <w:bookmarkStart w:id="88" w:name="_Toc216694701"/>
      <w:bookmarkStart w:id="89" w:name="_Toc217090629"/>
      <w:bookmarkStart w:id="90" w:name="_Toc230829139"/>
      <w:bookmarkStart w:id="91" w:name="_Toc235270740"/>
      <w:bookmarkStart w:id="92" w:name="_Toc244754413"/>
      <w:r w:rsidRPr="00B6647E">
        <w:rPr>
          <w:rFonts w:ascii="Arial" w:hAnsi="Arial" w:cs="Arial"/>
          <w:sz w:val="20"/>
          <w:szCs w:val="20"/>
        </w:rPr>
        <w:t xml:space="preserve">La carte ci-dessous illustre bien que les provinces du nord du pays (Ngozi, Kirundo et Muyinga) et celle de Gitega sont plus peuplées en ménages agricoles. Chacune d’elles compte plus de 125.000 ménages agricoles. A l’opposé ; il y a 5 provinces (Bubanza, Cankuzo, Muramvya, Mwaro et Rutana) qui ont moins de 75.000 ménages agricoles </w:t>
      </w:r>
    </w:p>
    <w:p w:rsidR="005B2022" w:rsidRPr="00B6647E" w:rsidRDefault="005B2022" w:rsidP="00721CE7">
      <w:pPr>
        <w:pStyle w:val="Lgende"/>
        <w:rPr>
          <w:rFonts w:ascii="Arial" w:hAnsi="Arial" w:cs="Arial"/>
          <w:b w:val="0"/>
        </w:rPr>
      </w:pPr>
    </w:p>
    <w:p w:rsidR="005B2022" w:rsidRPr="00B6647E" w:rsidRDefault="005B2022" w:rsidP="00721CE7">
      <w:pPr>
        <w:pStyle w:val="Lgende"/>
        <w:rPr>
          <w:rFonts w:ascii="Arial" w:hAnsi="Arial" w:cs="Arial"/>
        </w:rPr>
      </w:pPr>
      <w:r w:rsidRPr="00B6647E">
        <w:rPr>
          <w:rFonts w:ascii="Arial" w:hAnsi="Arial" w:cs="Arial"/>
        </w:rPr>
        <w:t>Carte 0</w:t>
      </w:r>
      <w:r w:rsidR="00613D0F" w:rsidRPr="00B6647E">
        <w:rPr>
          <w:rFonts w:ascii="Arial" w:hAnsi="Arial" w:cs="Arial"/>
        </w:rPr>
        <w:t>3</w:t>
      </w:r>
      <w:r w:rsidRPr="00B6647E">
        <w:rPr>
          <w:rFonts w:ascii="Arial" w:hAnsi="Arial" w:cs="Arial"/>
        </w:rPr>
        <w:t>: Répartition des ménages agricoles</w:t>
      </w:r>
      <w:bookmarkEnd w:id="88"/>
      <w:bookmarkEnd w:id="89"/>
      <w:bookmarkEnd w:id="90"/>
      <w:bookmarkEnd w:id="91"/>
      <w:bookmarkEnd w:id="92"/>
      <w:r w:rsidRPr="00B6647E">
        <w:rPr>
          <w:rFonts w:ascii="Arial" w:hAnsi="Arial" w:cs="Arial"/>
        </w:rPr>
        <w:t xml:space="preserve"> par province</w:t>
      </w:r>
    </w:p>
    <w:p w:rsidR="005B2022" w:rsidRPr="00B6647E" w:rsidRDefault="005B2022" w:rsidP="00721CE7">
      <w:pPr>
        <w:spacing w:line="240" w:lineRule="auto"/>
        <w:rPr>
          <w:rFonts w:ascii="Arial" w:hAnsi="Arial" w:cs="Arial"/>
          <w:sz w:val="20"/>
          <w:szCs w:val="20"/>
        </w:rPr>
      </w:pPr>
    </w:p>
    <w:p w:rsidR="005B2022" w:rsidRPr="00B6647E" w:rsidRDefault="009619F0" w:rsidP="00721CE7">
      <w:pPr>
        <w:spacing w:line="240" w:lineRule="auto"/>
        <w:rPr>
          <w:rFonts w:ascii="Arial" w:hAnsi="Arial" w:cs="Arial"/>
          <w:sz w:val="20"/>
          <w:szCs w:val="20"/>
        </w:rPr>
      </w:pPr>
      <w:r w:rsidRPr="00B6647E">
        <w:rPr>
          <w:rFonts w:ascii="Arial" w:hAnsi="Arial" w:cs="Arial"/>
          <w:noProof/>
          <w:sz w:val="20"/>
          <w:szCs w:val="20"/>
          <w:lang w:val="fr-FR" w:eastAsia="fr-FR"/>
        </w:rPr>
        <w:drawing>
          <wp:inline distT="0" distB="0" distL="0" distR="0">
            <wp:extent cx="5686425" cy="4020812"/>
            <wp:effectExtent l="19050" t="0" r="9525" b="0"/>
            <wp:docPr id="1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l="5484" t="5399" r="5440" b="5634"/>
                    <a:stretch>
                      <a:fillRect/>
                    </a:stretch>
                  </pic:blipFill>
                  <pic:spPr bwMode="auto">
                    <a:xfrm>
                      <a:off x="0" y="0"/>
                      <a:ext cx="5686239" cy="4020680"/>
                    </a:xfrm>
                    <a:prstGeom prst="rect">
                      <a:avLst/>
                    </a:prstGeom>
                    <a:noFill/>
                    <a:ln w="9525">
                      <a:noFill/>
                      <a:miter lim="800000"/>
                      <a:headEnd/>
                      <a:tailEnd/>
                    </a:ln>
                  </pic:spPr>
                </pic:pic>
              </a:graphicData>
            </a:graphic>
          </wp:inline>
        </w:drawing>
      </w:r>
    </w:p>
    <w:p w:rsidR="005B2022" w:rsidRPr="00B6647E" w:rsidRDefault="005B2022" w:rsidP="00721CE7">
      <w:pPr>
        <w:spacing w:line="240" w:lineRule="auto"/>
        <w:jc w:val="both"/>
        <w:rPr>
          <w:rFonts w:ascii="Arial" w:hAnsi="Arial" w:cs="Arial"/>
          <w:sz w:val="20"/>
          <w:szCs w:val="20"/>
        </w:rPr>
      </w:pPr>
    </w:p>
    <w:p w:rsidR="005B2022" w:rsidRPr="00B6647E" w:rsidRDefault="005B2022" w:rsidP="00721CE7">
      <w:pPr>
        <w:spacing w:line="240" w:lineRule="auto"/>
        <w:jc w:val="both"/>
        <w:rPr>
          <w:rFonts w:ascii="Arial" w:hAnsi="Arial" w:cs="Arial"/>
          <w:sz w:val="20"/>
          <w:szCs w:val="20"/>
        </w:rPr>
      </w:pPr>
      <w:r w:rsidRPr="00B6647E">
        <w:rPr>
          <w:rFonts w:ascii="Arial" w:hAnsi="Arial" w:cs="Arial"/>
          <w:sz w:val="20"/>
          <w:szCs w:val="20"/>
        </w:rPr>
        <w:t>Globalement, sur les 16 provinces, il y en a neuf qui ont moins de 100.000 ménages agricoles dont cinq d’entre elles sont situées à l’est du pays et sur les sept provinces qui sont peuplées de plus de 100.000 ménages agricoles, on trouve quatre au nord du pays, une province au centre et deux au sud-ouest longeant le lac Tanganyika.</w:t>
      </w:r>
    </w:p>
    <w:p w:rsidR="005B2022" w:rsidRPr="00B6647E" w:rsidRDefault="005B2022" w:rsidP="00A65E41">
      <w:pPr>
        <w:pStyle w:val="Titre3"/>
        <w:keepNext w:val="0"/>
        <w:numPr>
          <w:ilvl w:val="2"/>
          <w:numId w:val="1"/>
        </w:numPr>
        <w:spacing w:before="200" w:after="120"/>
        <w:ind w:left="0" w:firstLine="0"/>
        <w:rPr>
          <w:rFonts w:cs="Arial"/>
          <w:szCs w:val="20"/>
        </w:rPr>
      </w:pPr>
      <w:bookmarkStart w:id="93" w:name="_Toc235268780"/>
      <w:bookmarkStart w:id="94" w:name="_Toc244513754"/>
      <w:bookmarkStart w:id="95" w:name="_Toc244516066"/>
      <w:bookmarkStart w:id="96" w:name="_Toc244593100"/>
      <w:bookmarkStart w:id="97" w:name="_Toc244669921"/>
      <w:bookmarkStart w:id="98" w:name="_Toc245721769"/>
      <w:bookmarkStart w:id="99" w:name="_Toc322271287"/>
      <w:bookmarkStart w:id="100" w:name="_Toc333379450"/>
      <w:bookmarkStart w:id="101" w:name="_Toc354313840"/>
      <w:r w:rsidRPr="00B6647E">
        <w:rPr>
          <w:rFonts w:cs="Arial"/>
          <w:szCs w:val="20"/>
        </w:rPr>
        <w:t>Répartition des chefs de ménages agricoles par sexe</w:t>
      </w:r>
      <w:bookmarkEnd w:id="93"/>
      <w:bookmarkEnd w:id="94"/>
      <w:bookmarkEnd w:id="95"/>
      <w:bookmarkEnd w:id="96"/>
      <w:bookmarkEnd w:id="97"/>
      <w:bookmarkEnd w:id="98"/>
      <w:bookmarkEnd w:id="99"/>
      <w:bookmarkEnd w:id="100"/>
      <w:bookmarkEnd w:id="101"/>
    </w:p>
    <w:p w:rsidR="005B2022" w:rsidRPr="00B6647E" w:rsidRDefault="005B2022" w:rsidP="003D2880">
      <w:pPr>
        <w:pStyle w:val="Corpsdutexte"/>
        <w:spacing w:before="200" w:after="200"/>
        <w:rPr>
          <w:rFonts w:cs="Arial"/>
          <w:sz w:val="20"/>
          <w:szCs w:val="20"/>
        </w:rPr>
      </w:pPr>
      <w:r w:rsidRPr="00B6647E">
        <w:rPr>
          <w:rFonts w:cs="Arial"/>
          <w:sz w:val="20"/>
          <w:szCs w:val="20"/>
        </w:rPr>
        <w:t>Comme indiqué dans le paragraphe 1.1, sur un effectif de 1.556.529 ménages agricoles que compte le Burundi, la moyenne nationale des ménages dirigés par des hommes est de 78,5 % et celle des femmes est seulement 21,5 %. La moitié des 16 provinces a des proportions de chefs de ménage féminins supérieures à la moyenne nationale. En haut du classement se trouvent les provinces de Gitega (28,4%), Kayanza (27,3%), Mwaro (26,9%). A l’opposé, les provinces de Makamba (11,6%), de Cankuzo (15,7%) et de Rutana (17,7%) ont les plus faibles proportions.</w:t>
      </w:r>
    </w:p>
    <w:p w:rsidR="005B2022" w:rsidRPr="00B6647E" w:rsidRDefault="005B2022" w:rsidP="003D2880">
      <w:pPr>
        <w:pStyle w:val="Lgende"/>
        <w:spacing w:after="120"/>
        <w:rPr>
          <w:rFonts w:ascii="Arial" w:hAnsi="Arial" w:cs="Arial"/>
        </w:rPr>
      </w:pPr>
      <w:bookmarkStart w:id="102" w:name="_Toc235270923"/>
      <w:bookmarkStart w:id="103" w:name="_Toc244519201"/>
      <w:r w:rsidRPr="00B6647E">
        <w:rPr>
          <w:rFonts w:ascii="Arial" w:hAnsi="Arial" w:cs="Arial"/>
        </w:rPr>
        <w:t>Graphique 01</w:t>
      </w:r>
      <w:r w:rsidR="005F5570" w:rsidRPr="00B6647E">
        <w:rPr>
          <w:rFonts w:ascii="Arial" w:hAnsi="Arial" w:cs="Arial"/>
        </w:rPr>
        <w:t> :</w:t>
      </w:r>
      <w:r w:rsidRPr="00B6647E">
        <w:rPr>
          <w:rFonts w:ascii="Arial" w:hAnsi="Arial" w:cs="Arial"/>
        </w:rPr>
        <w:t xml:space="preserve"> Répartition des chefs de ménage femmes par province</w:t>
      </w:r>
      <w:bookmarkEnd w:id="102"/>
      <w:bookmarkEnd w:id="103"/>
      <w:r w:rsidRPr="00B6647E">
        <w:rPr>
          <w:rFonts w:ascii="Arial" w:hAnsi="Arial" w:cs="Arial"/>
        </w:rPr>
        <w:t xml:space="preserve"> </w:t>
      </w:r>
    </w:p>
    <w:p w:rsidR="005B2022" w:rsidRPr="00B6647E" w:rsidRDefault="005B2022" w:rsidP="00DB0606">
      <w:pPr>
        <w:spacing w:line="240" w:lineRule="auto"/>
        <w:rPr>
          <w:rFonts w:ascii="Arial" w:hAnsi="Arial" w:cs="Arial"/>
          <w:sz w:val="20"/>
          <w:szCs w:val="20"/>
        </w:rPr>
      </w:pPr>
      <w:r w:rsidRPr="00B6647E">
        <w:rPr>
          <w:rFonts w:ascii="Arial" w:hAnsi="Arial" w:cs="Arial"/>
          <w:noProof/>
          <w:szCs w:val="20"/>
          <w:lang w:val="fr-FR" w:eastAsia="fr-FR"/>
        </w:rPr>
        <w:drawing>
          <wp:inline distT="0" distB="0" distL="0" distR="0">
            <wp:extent cx="5676900" cy="3258560"/>
            <wp:effectExtent l="19050" t="0" r="0" b="0"/>
            <wp:docPr id="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5690041" cy="3266103"/>
                    </a:xfrm>
                    <a:prstGeom prst="rect">
                      <a:avLst/>
                    </a:prstGeom>
                    <a:noFill/>
                    <a:ln w="9525">
                      <a:noFill/>
                      <a:miter lim="800000"/>
                      <a:headEnd/>
                      <a:tailEnd/>
                    </a:ln>
                  </pic:spPr>
                </pic:pic>
              </a:graphicData>
            </a:graphic>
          </wp:inline>
        </w:drawing>
      </w:r>
    </w:p>
    <w:p w:rsidR="005B2022" w:rsidRPr="00B6647E" w:rsidRDefault="005B2022" w:rsidP="00A65E41">
      <w:pPr>
        <w:pStyle w:val="Titre3"/>
        <w:keepNext w:val="0"/>
        <w:numPr>
          <w:ilvl w:val="2"/>
          <w:numId w:val="1"/>
        </w:numPr>
        <w:spacing w:before="200" w:after="120"/>
        <w:ind w:left="0" w:firstLine="0"/>
        <w:rPr>
          <w:rFonts w:cs="Arial"/>
          <w:szCs w:val="20"/>
        </w:rPr>
      </w:pPr>
      <w:bookmarkStart w:id="104" w:name="_Toc235268781"/>
      <w:bookmarkStart w:id="105" w:name="_Toc244513755"/>
      <w:bookmarkStart w:id="106" w:name="_Toc244516067"/>
      <w:bookmarkStart w:id="107" w:name="_Toc244593101"/>
      <w:bookmarkStart w:id="108" w:name="_Toc244669922"/>
      <w:bookmarkStart w:id="109" w:name="_Toc245721770"/>
      <w:bookmarkStart w:id="110" w:name="_Toc322271288"/>
      <w:bookmarkStart w:id="111" w:name="_Toc333379451"/>
      <w:bookmarkStart w:id="112" w:name="_Toc354313841"/>
      <w:r w:rsidRPr="00B6647E">
        <w:rPr>
          <w:rFonts w:cs="Arial"/>
          <w:szCs w:val="20"/>
        </w:rPr>
        <w:t>Taille moyenne du ménage agricole selon le sexe du chef de ménage</w:t>
      </w:r>
      <w:bookmarkEnd w:id="104"/>
      <w:bookmarkEnd w:id="105"/>
      <w:bookmarkEnd w:id="106"/>
      <w:bookmarkEnd w:id="107"/>
      <w:bookmarkEnd w:id="108"/>
      <w:bookmarkEnd w:id="109"/>
      <w:bookmarkEnd w:id="110"/>
      <w:bookmarkEnd w:id="111"/>
      <w:bookmarkEnd w:id="112"/>
    </w:p>
    <w:p w:rsidR="005B2022" w:rsidRPr="00B6647E" w:rsidRDefault="005B2022" w:rsidP="00721CE7">
      <w:pPr>
        <w:pStyle w:val="Corpsdutexte"/>
        <w:rPr>
          <w:rFonts w:cs="Arial"/>
          <w:sz w:val="20"/>
          <w:szCs w:val="20"/>
        </w:rPr>
      </w:pPr>
      <w:r w:rsidRPr="00B6647E">
        <w:rPr>
          <w:rFonts w:cs="Arial"/>
          <w:sz w:val="20"/>
          <w:szCs w:val="20"/>
        </w:rPr>
        <w:t>Au niveau national, la taille moyenne d’un ménage agricole est de 5,1 personnes. Toutefois, cette moyenne varie selon que le ménage est dirigé par un homme ou par une femme. En effet, elle est de 5,4 personnes dans les ménages dirigés par des hommes et de 3,9 personnes pour les ménages dirigés par des femmes.</w:t>
      </w:r>
    </w:p>
    <w:p w:rsidR="005B2022" w:rsidRPr="00B6647E" w:rsidRDefault="005B2022" w:rsidP="0039155C">
      <w:pPr>
        <w:pStyle w:val="Lgende"/>
        <w:keepNext/>
        <w:spacing w:before="200" w:after="120"/>
        <w:rPr>
          <w:rFonts w:ascii="Arial" w:hAnsi="Arial" w:cs="Arial"/>
        </w:rPr>
      </w:pPr>
      <w:bookmarkStart w:id="113" w:name="_Toc215722296"/>
      <w:bookmarkStart w:id="114" w:name="_Toc216573558"/>
      <w:bookmarkStart w:id="115" w:name="_Toc216576949"/>
      <w:bookmarkStart w:id="116" w:name="_Toc216577767"/>
      <w:bookmarkStart w:id="117" w:name="_Toc216578623"/>
      <w:bookmarkStart w:id="118" w:name="_Toc216672099"/>
      <w:bookmarkStart w:id="119" w:name="_Toc216687339"/>
      <w:bookmarkStart w:id="120" w:name="_Toc230829133"/>
      <w:bookmarkStart w:id="121" w:name="_Toc231290473"/>
      <w:bookmarkStart w:id="122" w:name="_Toc231290511"/>
      <w:bookmarkStart w:id="123" w:name="_Toc231290630"/>
      <w:bookmarkStart w:id="124" w:name="_Toc235270936"/>
      <w:bookmarkStart w:id="125" w:name="_Toc244519137"/>
      <w:r w:rsidRPr="00B6647E">
        <w:rPr>
          <w:rFonts w:ascii="Arial" w:hAnsi="Arial" w:cs="Arial"/>
        </w:rPr>
        <w:lastRenderedPageBreak/>
        <w:t xml:space="preserve">Tableau </w:t>
      </w:r>
      <w:r w:rsidR="00A514B4">
        <w:rPr>
          <w:rFonts w:ascii="Arial" w:hAnsi="Arial" w:cs="Arial"/>
        </w:rPr>
        <w:t>13</w:t>
      </w:r>
      <w:r w:rsidR="0039155C" w:rsidRPr="00B6647E">
        <w:rPr>
          <w:rFonts w:ascii="Arial" w:hAnsi="Arial" w:cs="Arial"/>
        </w:rPr>
        <w:t xml:space="preserve"> : </w:t>
      </w:r>
      <w:r w:rsidRPr="00B6647E">
        <w:rPr>
          <w:rFonts w:ascii="Arial" w:hAnsi="Arial" w:cs="Arial"/>
        </w:rPr>
        <w:t>Taille moyenne du ménage agricole selon le sexe du chef de ménage</w:t>
      </w:r>
      <w:bookmarkEnd w:id="113"/>
      <w:bookmarkEnd w:id="114"/>
      <w:bookmarkEnd w:id="115"/>
      <w:bookmarkEnd w:id="116"/>
      <w:bookmarkEnd w:id="117"/>
      <w:bookmarkEnd w:id="118"/>
      <w:bookmarkEnd w:id="119"/>
      <w:bookmarkEnd w:id="120"/>
      <w:bookmarkEnd w:id="121"/>
      <w:bookmarkEnd w:id="122"/>
      <w:bookmarkEnd w:id="123"/>
      <w:bookmarkEnd w:id="124"/>
      <w:bookmarkEnd w:id="125"/>
    </w:p>
    <w:p w:rsidR="005B2022" w:rsidRPr="00B6647E" w:rsidRDefault="005B2022" w:rsidP="00721CE7">
      <w:pPr>
        <w:keepNext/>
        <w:spacing w:line="240" w:lineRule="auto"/>
        <w:rPr>
          <w:rFonts w:ascii="Arial" w:hAnsi="Arial" w:cs="Arial"/>
          <w:sz w:val="20"/>
          <w:szCs w:val="20"/>
        </w:rPr>
      </w:pPr>
      <w:r w:rsidRPr="00B6647E">
        <w:rPr>
          <w:rFonts w:ascii="Arial" w:hAnsi="Arial" w:cs="Arial"/>
          <w:noProof/>
          <w:sz w:val="20"/>
          <w:szCs w:val="20"/>
          <w:lang w:val="fr-FR" w:eastAsia="fr-FR"/>
        </w:rPr>
        <w:drawing>
          <wp:inline distT="0" distB="0" distL="0" distR="0">
            <wp:extent cx="3759835" cy="2992120"/>
            <wp:effectExtent l="19050" t="0" r="0" b="0"/>
            <wp:docPr id="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3759835" cy="2992120"/>
                    </a:xfrm>
                    <a:prstGeom prst="rect">
                      <a:avLst/>
                    </a:prstGeom>
                    <a:noFill/>
                    <a:ln w="9525">
                      <a:noFill/>
                      <a:miter lim="800000"/>
                      <a:headEnd/>
                      <a:tailEnd/>
                    </a:ln>
                  </pic:spPr>
                </pic:pic>
              </a:graphicData>
            </a:graphic>
          </wp:inline>
        </w:drawing>
      </w:r>
      <w:r w:rsidRPr="00B6647E">
        <w:rPr>
          <w:rFonts w:ascii="Arial" w:hAnsi="Arial" w:cs="Arial"/>
          <w:sz w:val="20"/>
          <w:szCs w:val="20"/>
        </w:rPr>
        <w:t xml:space="preserve"> </w:t>
      </w:r>
    </w:p>
    <w:p w:rsidR="005B2022" w:rsidRPr="00B6647E" w:rsidRDefault="005B2022" w:rsidP="00721CE7">
      <w:pPr>
        <w:pStyle w:val="Corpsdutexte"/>
        <w:rPr>
          <w:rFonts w:cs="Arial"/>
          <w:sz w:val="20"/>
          <w:szCs w:val="20"/>
        </w:rPr>
      </w:pPr>
      <w:r w:rsidRPr="00B6647E">
        <w:rPr>
          <w:rFonts w:cs="Arial"/>
          <w:sz w:val="20"/>
          <w:szCs w:val="20"/>
        </w:rPr>
        <w:t>Le regroupement des ménages agricoles en fonction du nombre de personnes qui les composent, montre qu’environ 886.800 ménages (57%) sont constitués de 2 à 5 personnes dont 73,5% sont dirigés par des hommes. Il y a environ 558.800 ménages (35,9%) composés de 6 à 9 personnes parmi lesquels 89% sont dirigés par des hommes. Quant aux ménages de 10 personnes et plus au nombre de 56.700 (3,6%) ils sont dirigés à 95,8% par des hommes. L’effectif des ménages à une personne est d’environ 54.400 (3,5%) dont les deux tiers sont dirigés par des femmes.</w:t>
      </w:r>
    </w:p>
    <w:p w:rsidR="005B2022" w:rsidRPr="00B6647E" w:rsidRDefault="005B2022" w:rsidP="00721CE7">
      <w:pPr>
        <w:pStyle w:val="Lgende"/>
        <w:rPr>
          <w:rFonts w:ascii="Arial" w:hAnsi="Arial" w:cs="Arial"/>
        </w:rPr>
      </w:pPr>
      <w:r w:rsidRPr="00B6647E">
        <w:rPr>
          <w:rFonts w:ascii="Arial" w:hAnsi="Arial" w:cs="Arial"/>
        </w:rPr>
        <w:t>Graphique 02</w:t>
      </w:r>
      <w:r w:rsidR="005F5570" w:rsidRPr="00B6647E">
        <w:rPr>
          <w:rFonts w:ascii="Arial" w:hAnsi="Arial" w:cs="Arial"/>
        </w:rPr>
        <w:t> :</w:t>
      </w:r>
      <w:r w:rsidRPr="00B6647E">
        <w:rPr>
          <w:rFonts w:ascii="Arial" w:hAnsi="Arial" w:cs="Arial"/>
        </w:rPr>
        <w:t xml:space="preserve"> Répartition des ménages agricoles selon leur taille</w:t>
      </w:r>
    </w:p>
    <w:p w:rsidR="005B2022" w:rsidRPr="00B6647E" w:rsidRDefault="005B2022" w:rsidP="00721CE7">
      <w:pPr>
        <w:spacing w:line="240" w:lineRule="auto"/>
        <w:jc w:val="center"/>
        <w:rPr>
          <w:rFonts w:ascii="Arial" w:hAnsi="Arial" w:cs="Arial"/>
          <w:noProof/>
          <w:sz w:val="20"/>
          <w:szCs w:val="20"/>
          <w:lang w:eastAsia="en-US"/>
        </w:rPr>
      </w:pPr>
    </w:p>
    <w:p w:rsidR="005B2022" w:rsidRPr="00B6647E" w:rsidRDefault="005B2022" w:rsidP="00721CE7">
      <w:pPr>
        <w:spacing w:line="240" w:lineRule="auto"/>
        <w:rPr>
          <w:rFonts w:ascii="Arial" w:hAnsi="Arial" w:cs="Arial"/>
          <w:sz w:val="20"/>
          <w:szCs w:val="20"/>
        </w:rPr>
      </w:pPr>
      <w:r w:rsidRPr="00B6647E">
        <w:rPr>
          <w:rFonts w:ascii="Arial" w:hAnsi="Arial" w:cs="Arial"/>
          <w:noProof/>
          <w:sz w:val="20"/>
          <w:szCs w:val="20"/>
          <w:lang w:val="fr-FR" w:eastAsia="fr-FR"/>
        </w:rPr>
        <w:drawing>
          <wp:inline distT="0" distB="0" distL="0" distR="0">
            <wp:extent cx="5711930" cy="3438525"/>
            <wp:effectExtent l="19050" t="0" r="3070" b="0"/>
            <wp:docPr id="152"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cstate="print"/>
                    <a:srcRect/>
                    <a:stretch>
                      <a:fillRect/>
                    </a:stretch>
                  </pic:blipFill>
                  <pic:spPr bwMode="auto">
                    <a:xfrm>
                      <a:off x="0" y="0"/>
                      <a:ext cx="5711930" cy="3438525"/>
                    </a:xfrm>
                    <a:prstGeom prst="rect">
                      <a:avLst/>
                    </a:prstGeom>
                    <a:noFill/>
                  </pic:spPr>
                </pic:pic>
              </a:graphicData>
            </a:graphic>
          </wp:inline>
        </w:drawing>
      </w:r>
    </w:p>
    <w:p w:rsidR="00A514B4" w:rsidRDefault="00A514B4" w:rsidP="00721CE7">
      <w:pPr>
        <w:pStyle w:val="Titre3"/>
        <w:keepNext w:val="0"/>
        <w:numPr>
          <w:ilvl w:val="0"/>
          <w:numId w:val="0"/>
        </w:numPr>
        <w:tabs>
          <w:tab w:val="left" w:pos="8190"/>
        </w:tabs>
        <w:rPr>
          <w:rFonts w:cs="Arial"/>
          <w:b w:val="0"/>
          <w:szCs w:val="20"/>
        </w:rPr>
      </w:pPr>
      <w:bookmarkStart w:id="126" w:name="_Toc215722284"/>
      <w:bookmarkStart w:id="127" w:name="_Toc216573546"/>
      <w:bookmarkStart w:id="128" w:name="_Toc216576937"/>
      <w:bookmarkStart w:id="129" w:name="_Toc216577489"/>
      <w:bookmarkStart w:id="130" w:name="_Toc216577754"/>
      <w:bookmarkStart w:id="131" w:name="_Toc216578611"/>
      <w:bookmarkStart w:id="132" w:name="_Toc216672087"/>
      <w:bookmarkStart w:id="133" w:name="_Toc216687326"/>
      <w:bookmarkStart w:id="134" w:name="_Toc235268783"/>
      <w:bookmarkStart w:id="135" w:name="_Toc244513757"/>
      <w:bookmarkStart w:id="136" w:name="_Toc244516069"/>
      <w:bookmarkStart w:id="137" w:name="_Toc244593103"/>
      <w:bookmarkStart w:id="138" w:name="_Toc244669924"/>
      <w:bookmarkStart w:id="139" w:name="_Toc245721772"/>
    </w:p>
    <w:p w:rsidR="00A514B4" w:rsidRDefault="00A514B4" w:rsidP="00721CE7">
      <w:pPr>
        <w:pStyle w:val="Titre3"/>
        <w:keepNext w:val="0"/>
        <w:numPr>
          <w:ilvl w:val="0"/>
          <w:numId w:val="0"/>
        </w:numPr>
        <w:tabs>
          <w:tab w:val="left" w:pos="8190"/>
        </w:tabs>
        <w:rPr>
          <w:rFonts w:cs="Arial"/>
          <w:b w:val="0"/>
          <w:szCs w:val="20"/>
        </w:rPr>
      </w:pPr>
    </w:p>
    <w:p w:rsidR="005B2022" w:rsidRPr="00B6647E" w:rsidRDefault="005B2022" w:rsidP="00721CE7">
      <w:pPr>
        <w:pStyle w:val="Titre3"/>
        <w:keepNext w:val="0"/>
        <w:numPr>
          <w:ilvl w:val="0"/>
          <w:numId w:val="0"/>
        </w:numPr>
        <w:tabs>
          <w:tab w:val="left" w:pos="8190"/>
        </w:tabs>
        <w:rPr>
          <w:rFonts w:cs="Arial"/>
          <w:b w:val="0"/>
          <w:szCs w:val="20"/>
        </w:rPr>
      </w:pPr>
      <w:r w:rsidRPr="00B6647E">
        <w:rPr>
          <w:rFonts w:cs="Arial"/>
          <w:b w:val="0"/>
          <w:szCs w:val="20"/>
        </w:rPr>
        <w:tab/>
      </w:r>
    </w:p>
    <w:p w:rsidR="005B2022" w:rsidRPr="00B6647E" w:rsidRDefault="005B2022" w:rsidP="00A65E41">
      <w:pPr>
        <w:pStyle w:val="Titre3"/>
        <w:keepNext w:val="0"/>
        <w:numPr>
          <w:ilvl w:val="2"/>
          <w:numId w:val="1"/>
        </w:numPr>
        <w:spacing w:before="200" w:after="120"/>
        <w:ind w:left="0" w:firstLine="0"/>
        <w:rPr>
          <w:rFonts w:cs="Arial"/>
          <w:szCs w:val="20"/>
        </w:rPr>
      </w:pPr>
      <w:bookmarkStart w:id="140" w:name="_Toc322271289"/>
      <w:bookmarkStart w:id="141" w:name="_Toc333379452"/>
      <w:bookmarkStart w:id="142" w:name="_Toc354313842"/>
      <w:r w:rsidRPr="00B6647E">
        <w:rPr>
          <w:rFonts w:cs="Arial"/>
          <w:szCs w:val="20"/>
        </w:rPr>
        <w:lastRenderedPageBreak/>
        <w:t>Age moyen des chefs de ménage agricole par sexe</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5B2022" w:rsidRPr="00B6647E" w:rsidRDefault="005B2022" w:rsidP="00721CE7">
      <w:pPr>
        <w:pStyle w:val="Corpsdutexte"/>
        <w:rPr>
          <w:rFonts w:cs="Arial"/>
          <w:sz w:val="20"/>
          <w:szCs w:val="20"/>
        </w:rPr>
      </w:pPr>
      <w:r w:rsidRPr="00B6647E">
        <w:rPr>
          <w:rFonts w:cs="Arial"/>
          <w:sz w:val="20"/>
          <w:szCs w:val="20"/>
        </w:rPr>
        <w:t>L’âge moyen d’un chef de ménage agricole est de 42,7 ans au niveau du pays. Cet âge est de 40,4 ans pour les chefs de ménage hommes et de 51,1 ans pour les chefs de ménage femmes. Les âges moyens les plus élevés se retrouvent dans les provinces de Mwaro (47,4 ans), de Bururi (46,2 ans) et les plus faibles sont enregistrés dans les provinces de Karuzi (39,7 ans) et Kirundo (39,8 ans).</w:t>
      </w:r>
    </w:p>
    <w:p w:rsidR="005B2022" w:rsidRPr="00B6647E" w:rsidRDefault="005B2022" w:rsidP="00721CE7">
      <w:pPr>
        <w:pStyle w:val="Lgende"/>
        <w:rPr>
          <w:rFonts w:ascii="Arial" w:hAnsi="Arial" w:cs="Arial"/>
        </w:rPr>
      </w:pPr>
      <w:r w:rsidRPr="00B6647E">
        <w:rPr>
          <w:rFonts w:ascii="Arial" w:hAnsi="Arial" w:cs="Arial"/>
        </w:rPr>
        <w:t>Graphique 03</w:t>
      </w:r>
      <w:r w:rsidR="005F5570" w:rsidRPr="00B6647E">
        <w:rPr>
          <w:rFonts w:ascii="Arial" w:hAnsi="Arial" w:cs="Arial"/>
        </w:rPr>
        <w:t> :</w:t>
      </w:r>
      <w:r w:rsidRPr="00B6647E">
        <w:rPr>
          <w:rFonts w:ascii="Arial" w:hAnsi="Arial" w:cs="Arial"/>
        </w:rPr>
        <w:t xml:space="preserve"> Répartition des chefs de ménage agricole par tranche d'âge</w:t>
      </w:r>
    </w:p>
    <w:p w:rsidR="005B2022" w:rsidRPr="00B6647E" w:rsidRDefault="005B2022" w:rsidP="00721CE7">
      <w:pPr>
        <w:spacing w:line="240" w:lineRule="auto"/>
        <w:rPr>
          <w:rFonts w:ascii="Arial" w:hAnsi="Arial" w:cs="Arial"/>
          <w:noProof/>
          <w:sz w:val="20"/>
          <w:szCs w:val="20"/>
          <w:lang w:eastAsia="en-US"/>
        </w:rPr>
      </w:pPr>
    </w:p>
    <w:p w:rsidR="005B2022" w:rsidRPr="00B6647E" w:rsidRDefault="005B2022" w:rsidP="00721CE7">
      <w:pPr>
        <w:spacing w:line="240" w:lineRule="auto"/>
        <w:rPr>
          <w:rFonts w:ascii="Arial" w:hAnsi="Arial" w:cs="Arial"/>
          <w:noProof/>
          <w:sz w:val="20"/>
          <w:szCs w:val="20"/>
          <w:lang w:val="en-US" w:eastAsia="en-US"/>
        </w:rPr>
      </w:pPr>
      <w:r w:rsidRPr="00B6647E">
        <w:rPr>
          <w:rFonts w:ascii="Arial" w:hAnsi="Arial" w:cs="Arial"/>
          <w:noProof/>
          <w:sz w:val="20"/>
          <w:szCs w:val="20"/>
          <w:lang w:val="fr-FR" w:eastAsia="fr-FR"/>
        </w:rPr>
        <w:drawing>
          <wp:inline distT="0" distB="0" distL="0" distR="0">
            <wp:extent cx="4587240" cy="2766060"/>
            <wp:effectExtent l="19050" t="0" r="3810" b="0"/>
            <wp:docPr id="22"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cstate="print"/>
                    <a:srcRect/>
                    <a:stretch>
                      <a:fillRect/>
                    </a:stretch>
                  </pic:blipFill>
                  <pic:spPr bwMode="auto">
                    <a:xfrm>
                      <a:off x="0" y="0"/>
                      <a:ext cx="4587240" cy="2766060"/>
                    </a:xfrm>
                    <a:prstGeom prst="rect">
                      <a:avLst/>
                    </a:prstGeom>
                    <a:noFill/>
                  </pic:spPr>
                </pic:pic>
              </a:graphicData>
            </a:graphic>
          </wp:inline>
        </w:drawing>
      </w:r>
    </w:p>
    <w:p w:rsidR="005B2022" w:rsidRPr="00B6647E" w:rsidRDefault="005B2022" w:rsidP="00721CE7">
      <w:pPr>
        <w:spacing w:line="240" w:lineRule="auto"/>
        <w:jc w:val="both"/>
        <w:rPr>
          <w:rFonts w:ascii="Arial" w:hAnsi="Arial" w:cs="Arial"/>
          <w:noProof/>
          <w:sz w:val="20"/>
          <w:szCs w:val="20"/>
          <w:lang w:eastAsia="en-US"/>
        </w:rPr>
      </w:pPr>
      <w:r w:rsidRPr="00B6647E">
        <w:rPr>
          <w:rFonts w:ascii="Arial" w:hAnsi="Arial" w:cs="Arial"/>
          <w:noProof/>
          <w:sz w:val="20"/>
          <w:szCs w:val="20"/>
          <w:lang w:eastAsia="en-US"/>
        </w:rPr>
        <w:t>L’âge des chefs de ménage hommes, varie de 37,3 ans dans la province de Kirundo à 45,3 ans dans les provinces de Bururi et de Mwaro. En ce qui concerne les chefs de ménage femmes, cet âge varie de 46,9 ans dans la province de Cibitoke à 56,8 ans dans la province de Rutana.</w:t>
      </w:r>
    </w:p>
    <w:p w:rsidR="005B2022" w:rsidRPr="00B6647E" w:rsidRDefault="005B2022" w:rsidP="0039155C">
      <w:pPr>
        <w:pStyle w:val="Lgende"/>
        <w:spacing w:before="200" w:after="120"/>
        <w:rPr>
          <w:rFonts w:ascii="Arial" w:hAnsi="Arial" w:cs="Arial"/>
        </w:rPr>
      </w:pPr>
      <w:r w:rsidRPr="00B6647E">
        <w:rPr>
          <w:rFonts w:ascii="Arial" w:hAnsi="Arial" w:cs="Arial"/>
        </w:rPr>
        <w:t xml:space="preserve">Tableau </w:t>
      </w:r>
      <w:r w:rsidR="00A514B4">
        <w:rPr>
          <w:rFonts w:ascii="Arial" w:hAnsi="Arial" w:cs="Arial"/>
        </w:rPr>
        <w:t>14</w:t>
      </w:r>
      <w:r w:rsidRPr="00B6647E">
        <w:rPr>
          <w:rFonts w:ascii="Arial" w:hAnsi="Arial" w:cs="Arial"/>
        </w:rPr>
        <w:t> : Age moyen des chefs de ménage agricole par région et par sexe</w:t>
      </w:r>
    </w:p>
    <w:p w:rsidR="005B2022" w:rsidRPr="00B6647E" w:rsidRDefault="005B2022" w:rsidP="00721CE7">
      <w:pPr>
        <w:spacing w:line="240" w:lineRule="auto"/>
        <w:rPr>
          <w:rFonts w:ascii="Arial" w:hAnsi="Arial" w:cs="Arial"/>
          <w:sz w:val="20"/>
          <w:szCs w:val="20"/>
        </w:rPr>
      </w:pPr>
      <w:r w:rsidRPr="00B6647E">
        <w:rPr>
          <w:rFonts w:ascii="Arial" w:hAnsi="Arial" w:cs="Arial"/>
          <w:noProof/>
          <w:sz w:val="20"/>
          <w:szCs w:val="20"/>
          <w:lang w:val="fr-FR" w:eastAsia="fr-FR"/>
        </w:rPr>
        <w:drawing>
          <wp:inline distT="0" distB="0" distL="0" distR="0">
            <wp:extent cx="3350260" cy="3225800"/>
            <wp:effectExtent l="19050" t="0" r="2540" b="0"/>
            <wp:docPr id="4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3350260" cy="3225800"/>
                    </a:xfrm>
                    <a:prstGeom prst="rect">
                      <a:avLst/>
                    </a:prstGeom>
                    <a:noFill/>
                    <a:ln w="9525">
                      <a:noFill/>
                      <a:miter lim="800000"/>
                      <a:headEnd/>
                      <a:tailEnd/>
                    </a:ln>
                  </pic:spPr>
                </pic:pic>
              </a:graphicData>
            </a:graphic>
          </wp:inline>
        </w:drawing>
      </w:r>
    </w:p>
    <w:p w:rsidR="005B2022" w:rsidRPr="00B6647E" w:rsidRDefault="005B2022" w:rsidP="00A65E41">
      <w:pPr>
        <w:pStyle w:val="Titre3"/>
        <w:keepNext w:val="0"/>
        <w:numPr>
          <w:ilvl w:val="2"/>
          <w:numId w:val="1"/>
        </w:numPr>
        <w:spacing w:before="200" w:after="120"/>
        <w:ind w:left="0" w:firstLine="0"/>
        <w:rPr>
          <w:rFonts w:cs="Arial"/>
          <w:szCs w:val="20"/>
        </w:rPr>
      </w:pPr>
      <w:bookmarkStart w:id="143" w:name="_Toc235268784"/>
      <w:bookmarkStart w:id="144" w:name="_Toc244513758"/>
      <w:bookmarkStart w:id="145" w:name="_Toc244516070"/>
      <w:bookmarkStart w:id="146" w:name="_Toc244593104"/>
      <w:bookmarkStart w:id="147" w:name="_Toc244669925"/>
      <w:bookmarkStart w:id="148" w:name="_Toc245721773"/>
      <w:bookmarkStart w:id="149" w:name="_Toc322271290"/>
      <w:bookmarkStart w:id="150" w:name="_Toc333379453"/>
      <w:bookmarkStart w:id="151" w:name="_Toc354313843"/>
      <w:bookmarkStart w:id="152" w:name="_Toc215722285"/>
      <w:bookmarkStart w:id="153" w:name="_Toc216573547"/>
      <w:bookmarkStart w:id="154" w:name="_Toc216576938"/>
      <w:bookmarkStart w:id="155" w:name="_Toc216577490"/>
      <w:bookmarkStart w:id="156" w:name="_Toc216577755"/>
      <w:bookmarkStart w:id="157" w:name="_Toc216578612"/>
      <w:r w:rsidRPr="00B6647E">
        <w:rPr>
          <w:rFonts w:cs="Arial"/>
          <w:szCs w:val="20"/>
        </w:rPr>
        <w:t>Répartition des chefs de ménage agricole par tranche d'âge</w:t>
      </w:r>
      <w:bookmarkEnd w:id="143"/>
      <w:bookmarkEnd w:id="144"/>
      <w:bookmarkEnd w:id="145"/>
      <w:bookmarkEnd w:id="146"/>
      <w:bookmarkEnd w:id="147"/>
      <w:bookmarkEnd w:id="148"/>
      <w:bookmarkEnd w:id="149"/>
      <w:bookmarkEnd w:id="150"/>
      <w:bookmarkEnd w:id="151"/>
    </w:p>
    <w:p w:rsidR="005B2022" w:rsidRPr="00B6647E" w:rsidRDefault="005B2022" w:rsidP="00721CE7">
      <w:pPr>
        <w:pStyle w:val="Corpsdutexte"/>
        <w:rPr>
          <w:rFonts w:cs="Arial"/>
          <w:sz w:val="20"/>
          <w:szCs w:val="20"/>
        </w:rPr>
      </w:pPr>
      <w:r w:rsidRPr="00B6647E">
        <w:rPr>
          <w:rFonts w:cs="Arial"/>
          <w:sz w:val="20"/>
          <w:szCs w:val="20"/>
        </w:rPr>
        <w:t xml:space="preserve">La répartition des chefs de ménage par tranche d’âge montre que les chefs de ménage ayant entre 25 et 29 ans sont les plus nombreux (13,4% de l’effectif total des chefs de ménage). Ils sont suivis en </w:t>
      </w:r>
      <w:r w:rsidRPr="00B6647E">
        <w:rPr>
          <w:rFonts w:cs="Arial"/>
          <w:sz w:val="20"/>
          <w:szCs w:val="20"/>
        </w:rPr>
        <w:lastRenderedPageBreak/>
        <w:t>nombre par ceux âgés de 30 à 34 ans (13,1%), puis de ceux dont l’âge est compris entre 35 et 39 ans (13%) et de la tranche de 45 à 49 ans (10,2%). En revanche, les proportions les plus faibles se trouvent parmi les chefs de ménages âgés de moins de 20 ans (0,6%) et dans les tranches quinquennales à partir de 60 ans.</w:t>
      </w:r>
    </w:p>
    <w:p w:rsidR="005B2022" w:rsidRPr="00B6647E" w:rsidRDefault="005B2022" w:rsidP="00721CE7">
      <w:pPr>
        <w:pStyle w:val="Corpsdutexte"/>
        <w:rPr>
          <w:rFonts w:cs="Arial"/>
          <w:sz w:val="20"/>
          <w:szCs w:val="20"/>
        </w:rPr>
      </w:pPr>
      <w:bookmarkStart w:id="158" w:name="_Toc216672088"/>
      <w:bookmarkStart w:id="159" w:name="_Toc216687327"/>
      <w:bookmarkStart w:id="160" w:name="_Toc230829136"/>
      <w:bookmarkStart w:id="161" w:name="_Toc235270925"/>
      <w:bookmarkStart w:id="162" w:name="_Toc244519203"/>
      <w:r w:rsidRPr="00B6647E">
        <w:rPr>
          <w:rFonts w:cs="Arial"/>
          <w:sz w:val="20"/>
          <w:szCs w:val="20"/>
        </w:rPr>
        <w:t>On constate qu’au moins trois chefs de ménage sur dix âgés de plus de 40 ans sont féminins et plus de quatre ménages sur dix dirigés par des femmes sont âgées de 60 ans ou plus.</w:t>
      </w:r>
    </w:p>
    <w:p w:rsidR="005B2022" w:rsidRPr="00B6647E" w:rsidRDefault="005B2022" w:rsidP="0039155C">
      <w:pPr>
        <w:pStyle w:val="Lgende"/>
        <w:spacing w:before="200" w:after="120"/>
        <w:rPr>
          <w:rFonts w:ascii="Arial" w:hAnsi="Arial" w:cs="Arial"/>
        </w:rPr>
      </w:pPr>
      <w:r w:rsidRPr="00B6647E">
        <w:rPr>
          <w:rFonts w:ascii="Arial" w:hAnsi="Arial" w:cs="Arial"/>
        </w:rPr>
        <w:t xml:space="preserve">Tableau </w:t>
      </w:r>
      <w:r w:rsidR="0039155C" w:rsidRPr="00B6647E">
        <w:rPr>
          <w:rFonts w:ascii="Arial" w:hAnsi="Arial" w:cs="Arial"/>
        </w:rPr>
        <w:t>1</w:t>
      </w:r>
      <w:r w:rsidR="00A514B4">
        <w:rPr>
          <w:rFonts w:ascii="Arial" w:hAnsi="Arial" w:cs="Arial"/>
        </w:rPr>
        <w:t>5</w:t>
      </w:r>
      <w:r w:rsidRPr="00B6647E">
        <w:rPr>
          <w:rFonts w:ascii="Arial" w:hAnsi="Arial" w:cs="Arial"/>
        </w:rPr>
        <w:t> : Répartition des chefs de ménage par tranche d'âge et par sexe</w:t>
      </w:r>
    </w:p>
    <w:p w:rsidR="005B2022" w:rsidRPr="00B6647E" w:rsidRDefault="005B2022" w:rsidP="00721CE7">
      <w:pPr>
        <w:spacing w:line="240" w:lineRule="auto"/>
        <w:rPr>
          <w:rFonts w:ascii="Arial" w:hAnsi="Arial" w:cs="Arial"/>
          <w:sz w:val="20"/>
          <w:szCs w:val="20"/>
        </w:rPr>
      </w:pPr>
      <w:r w:rsidRPr="00B6647E">
        <w:rPr>
          <w:rFonts w:ascii="Arial" w:hAnsi="Arial" w:cs="Arial"/>
          <w:noProof/>
          <w:sz w:val="20"/>
          <w:szCs w:val="20"/>
          <w:lang w:val="fr-FR" w:eastAsia="fr-FR"/>
        </w:rPr>
        <w:drawing>
          <wp:inline distT="0" distB="0" distL="0" distR="0">
            <wp:extent cx="4028164" cy="2450304"/>
            <wp:effectExtent l="19050" t="0" r="0" b="0"/>
            <wp:docPr id="2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4028164" cy="2450304"/>
                    </a:xfrm>
                    <a:prstGeom prst="rect">
                      <a:avLst/>
                    </a:prstGeom>
                    <a:noFill/>
                    <a:ln w="9525">
                      <a:noFill/>
                      <a:miter lim="800000"/>
                      <a:headEnd/>
                      <a:tailEnd/>
                    </a:ln>
                  </pic:spPr>
                </pic:pic>
              </a:graphicData>
            </a:graphic>
          </wp:inline>
        </w:drawing>
      </w:r>
    </w:p>
    <w:bookmarkEnd w:id="158"/>
    <w:bookmarkEnd w:id="159"/>
    <w:bookmarkEnd w:id="160"/>
    <w:bookmarkEnd w:id="161"/>
    <w:bookmarkEnd w:id="162"/>
    <w:p w:rsidR="005B2022" w:rsidRPr="00B6647E" w:rsidRDefault="005B2022" w:rsidP="00721CE7">
      <w:pPr>
        <w:pStyle w:val="Corpsdutexte"/>
        <w:rPr>
          <w:rFonts w:cs="Arial"/>
          <w:sz w:val="20"/>
          <w:szCs w:val="20"/>
        </w:rPr>
      </w:pPr>
      <w:r w:rsidRPr="00B6647E">
        <w:rPr>
          <w:rFonts w:cs="Arial"/>
          <w:sz w:val="20"/>
          <w:szCs w:val="20"/>
        </w:rPr>
        <w:t xml:space="preserve">Les faibles proportions de chefs de ménages féminins se trouvent dans les tranches d’âge 20 à 24 ans (6,8%), 25 à 29 ans (10,3%) et 30 à 34 ans (9%). On estime à près de quatre chefs de ménage féminins sur dix parmi les chefs de ménages âgés de moins de 20 ans. </w:t>
      </w:r>
    </w:p>
    <w:p w:rsidR="005B2022" w:rsidRPr="00B6647E" w:rsidRDefault="005B2022" w:rsidP="00A65E41">
      <w:pPr>
        <w:pStyle w:val="Titre2"/>
        <w:keepNext w:val="0"/>
        <w:numPr>
          <w:ilvl w:val="1"/>
          <w:numId w:val="1"/>
        </w:numPr>
        <w:spacing w:before="240" w:after="200"/>
        <w:ind w:left="0" w:firstLine="0"/>
        <w:rPr>
          <w:rFonts w:cs="Arial"/>
          <w:u w:val="dotDash"/>
        </w:rPr>
      </w:pPr>
      <w:bookmarkStart w:id="163" w:name="_Toc235268786"/>
      <w:bookmarkStart w:id="164" w:name="_Toc244513760"/>
      <w:bookmarkStart w:id="165" w:name="_Toc244516072"/>
      <w:bookmarkStart w:id="166" w:name="_Toc244593106"/>
      <w:bookmarkStart w:id="167" w:name="_Toc244669927"/>
      <w:bookmarkStart w:id="168" w:name="_Toc244671308"/>
      <w:bookmarkStart w:id="169" w:name="_Toc245721775"/>
      <w:bookmarkStart w:id="170" w:name="_Toc322271291"/>
      <w:bookmarkStart w:id="171" w:name="_Toc333379454"/>
      <w:bookmarkStart w:id="172" w:name="_Toc354313844"/>
      <w:bookmarkEnd w:id="152"/>
      <w:bookmarkEnd w:id="153"/>
      <w:bookmarkEnd w:id="154"/>
      <w:bookmarkEnd w:id="155"/>
      <w:bookmarkEnd w:id="156"/>
      <w:bookmarkEnd w:id="157"/>
      <w:r w:rsidRPr="00B6647E">
        <w:rPr>
          <w:rFonts w:cs="Arial"/>
          <w:u w:val="dotDash"/>
        </w:rPr>
        <w:t>Caractéristiques démographiques de la population agricole</w:t>
      </w:r>
      <w:bookmarkEnd w:id="163"/>
      <w:bookmarkEnd w:id="164"/>
      <w:bookmarkEnd w:id="165"/>
      <w:bookmarkEnd w:id="166"/>
      <w:bookmarkEnd w:id="167"/>
      <w:bookmarkEnd w:id="168"/>
      <w:bookmarkEnd w:id="169"/>
      <w:bookmarkEnd w:id="170"/>
      <w:bookmarkEnd w:id="171"/>
      <w:bookmarkEnd w:id="172"/>
    </w:p>
    <w:p w:rsidR="005B2022" w:rsidRPr="00B6647E" w:rsidRDefault="005B2022" w:rsidP="00DB0606">
      <w:pPr>
        <w:pStyle w:val="Lgende"/>
        <w:keepNext/>
        <w:rPr>
          <w:rFonts w:ascii="Arial" w:hAnsi="Arial" w:cs="Arial"/>
        </w:rPr>
      </w:pPr>
      <w:bookmarkStart w:id="173" w:name="_Toc216694705"/>
      <w:bookmarkStart w:id="174" w:name="_Toc216687331"/>
      <w:r w:rsidRPr="00B6647E">
        <w:rPr>
          <w:rFonts w:ascii="Arial" w:hAnsi="Arial" w:cs="Arial"/>
        </w:rPr>
        <w:t xml:space="preserve">Tableau </w:t>
      </w:r>
      <w:r w:rsidR="0039155C" w:rsidRPr="00B6647E">
        <w:rPr>
          <w:rFonts w:ascii="Arial" w:hAnsi="Arial" w:cs="Arial"/>
        </w:rPr>
        <w:t>1</w:t>
      </w:r>
      <w:r w:rsidR="00A514B4">
        <w:rPr>
          <w:rFonts w:ascii="Arial" w:hAnsi="Arial" w:cs="Arial"/>
        </w:rPr>
        <w:t>6</w:t>
      </w:r>
      <w:r w:rsidRPr="00B6647E">
        <w:rPr>
          <w:rFonts w:ascii="Arial" w:hAnsi="Arial" w:cs="Arial"/>
        </w:rPr>
        <w:t> : Répartition de la population agricole par région naturelle et par sexe</w:t>
      </w:r>
    </w:p>
    <w:p w:rsidR="005B2022" w:rsidRPr="00B6647E" w:rsidRDefault="005B2022" w:rsidP="00DB0606">
      <w:pPr>
        <w:pStyle w:val="Corpsdutexte"/>
        <w:keepNext/>
        <w:spacing w:before="0" w:after="0"/>
        <w:rPr>
          <w:rFonts w:cs="Arial"/>
          <w:sz w:val="20"/>
          <w:szCs w:val="20"/>
        </w:rPr>
      </w:pPr>
      <w:r w:rsidRPr="00B6647E">
        <w:rPr>
          <w:rFonts w:cs="Arial"/>
          <w:noProof/>
          <w:sz w:val="20"/>
          <w:szCs w:val="20"/>
          <w:lang w:eastAsia="fr-FR"/>
        </w:rPr>
        <w:drawing>
          <wp:inline distT="0" distB="0" distL="0" distR="0">
            <wp:extent cx="4469765" cy="2860040"/>
            <wp:effectExtent l="19050" t="0" r="6985" b="0"/>
            <wp:docPr id="4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a:stretch>
                      <a:fillRect/>
                    </a:stretch>
                  </pic:blipFill>
                  <pic:spPr bwMode="auto">
                    <a:xfrm>
                      <a:off x="0" y="0"/>
                      <a:ext cx="4469765" cy="2860040"/>
                    </a:xfrm>
                    <a:prstGeom prst="rect">
                      <a:avLst/>
                    </a:prstGeom>
                    <a:noFill/>
                    <a:ln w="9525">
                      <a:noFill/>
                      <a:miter lim="800000"/>
                      <a:headEnd/>
                      <a:tailEnd/>
                    </a:ln>
                  </pic:spPr>
                </pic:pic>
              </a:graphicData>
            </a:graphic>
          </wp:inline>
        </w:drawing>
      </w:r>
    </w:p>
    <w:p w:rsidR="00DB0606" w:rsidRPr="00B6647E" w:rsidRDefault="00DB0606" w:rsidP="00DB0606">
      <w:pPr>
        <w:pStyle w:val="Corpsdutexte"/>
        <w:rPr>
          <w:rFonts w:cs="Arial"/>
          <w:sz w:val="20"/>
          <w:szCs w:val="20"/>
        </w:rPr>
      </w:pPr>
      <w:r w:rsidRPr="00B6647E">
        <w:rPr>
          <w:rFonts w:cs="Arial"/>
          <w:sz w:val="20"/>
          <w:szCs w:val="20"/>
        </w:rPr>
        <w:t>La population agricole</w:t>
      </w:r>
      <w:r w:rsidRPr="00B6647E">
        <w:rPr>
          <w:rStyle w:val="Appelnotedebasdep"/>
          <w:rFonts w:cs="Arial"/>
          <w:sz w:val="20"/>
          <w:szCs w:val="20"/>
        </w:rPr>
        <w:footnoteReference w:id="19"/>
      </w:r>
      <w:r w:rsidRPr="00B6647E">
        <w:rPr>
          <w:rFonts w:cs="Arial"/>
          <w:sz w:val="20"/>
          <w:szCs w:val="20"/>
        </w:rPr>
        <w:t xml:space="preserve"> burundaise est estimée à 7.902.860 personnes. Elle représente 90,8%</w:t>
      </w:r>
      <w:r w:rsidRPr="00B6647E">
        <w:rPr>
          <w:rStyle w:val="Appelnotedebasdep"/>
          <w:rFonts w:cs="Arial"/>
          <w:sz w:val="20"/>
          <w:szCs w:val="20"/>
        </w:rPr>
        <w:footnoteReference w:id="20"/>
      </w:r>
      <w:r w:rsidRPr="00B6647E">
        <w:rPr>
          <w:rFonts w:cs="Arial"/>
          <w:sz w:val="20"/>
          <w:szCs w:val="20"/>
        </w:rPr>
        <w:t xml:space="preserve"> de la population totale</w:t>
      </w:r>
      <w:r w:rsidRPr="00B6647E">
        <w:rPr>
          <w:rStyle w:val="Appelnotedebasdep"/>
          <w:rFonts w:cs="Arial"/>
          <w:sz w:val="20"/>
          <w:szCs w:val="20"/>
        </w:rPr>
        <w:footnoteReference w:id="21"/>
      </w:r>
      <w:r w:rsidRPr="00B6647E">
        <w:rPr>
          <w:rFonts w:cs="Arial"/>
          <w:sz w:val="20"/>
          <w:szCs w:val="20"/>
        </w:rPr>
        <w:t xml:space="preserve">. Elle est composée de 48,4% d’hommes et de 51,6% de femmes. </w:t>
      </w:r>
    </w:p>
    <w:p w:rsidR="003D2880" w:rsidRPr="00B6647E" w:rsidRDefault="003D2880" w:rsidP="003D2880">
      <w:pPr>
        <w:pStyle w:val="Corpsdutexte"/>
        <w:spacing w:after="0"/>
        <w:rPr>
          <w:rFonts w:cs="Arial"/>
          <w:i/>
          <w:sz w:val="20"/>
          <w:szCs w:val="20"/>
        </w:rPr>
      </w:pPr>
    </w:p>
    <w:p w:rsidR="003D2880" w:rsidRPr="00B6647E" w:rsidRDefault="003D2880" w:rsidP="003D2880">
      <w:pPr>
        <w:pStyle w:val="Corpsdutexte"/>
        <w:spacing w:after="0"/>
        <w:rPr>
          <w:rFonts w:cs="Arial"/>
          <w:i/>
          <w:sz w:val="20"/>
          <w:szCs w:val="20"/>
        </w:rPr>
      </w:pPr>
      <w:r w:rsidRPr="00B6647E">
        <w:rPr>
          <w:rFonts w:cs="Arial"/>
          <w:i/>
          <w:sz w:val="20"/>
          <w:szCs w:val="20"/>
        </w:rPr>
        <w:t>Régions naturelles</w:t>
      </w:r>
    </w:p>
    <w:p w:rsidR="003D2880" w:rsidRPr="00B6647E" w:rsidRDefault="003D2880" w:rsidP="003D2880">
      <w:pPr>
        <w:pStyle w:val="Corpsdutexte"/>
        <w:spacing w:before="0"/>
        <w:rPr>
          <w:rFonts w:cs="Arial"/>
          <w:sz w:val="20"/>
          <w:szCs w:val="20"/>
        </w:rPr>
      </w:pPr>
      <w:r w:rsidRPr="00B6647E">
        <w:rPr>
          <w:rFonts w:cs="Arial"/>
          <w:sz w:val="20"/>
          <w:szCs w:val="20"/>
        </w:rPr>
        <w:t>La région naturelle la plus peuplée est Kirimiro qui compte environ 1.400.000 habitants correspondant à 17,7% de l’ensemble de la population agricole totale. Elle est suivie de la région de Buyenzi avec 1.240.000 personnes (15,7%). Viennent ensuite Imbo (10,4%) et Bweru (10,3%) à populations quasiment identiques.</w:t>
      </w:r>
    </w:p>
    <w:p w:rsidR="005B2022" w:rsidRPr="00B6647E" w:rsidRDefault="005B2022" w:rsidP="00721CE7">
      <w:pPr>
        <w:pStyle w:val="Corpsdutexte"/>
        <w:rPr>
          <w:rFonts w:cs="Arial"/>
          <w:sz w:val="20"/>
          <w:szCs w:val="20"/>
        </w:rPr>
      </w:pPr>
      <w:r w:rsidRPr="00B6647E">
        <w:rPr>
          <w:rFonts w:cs="Arial"/>
          <w:sz w:val="20"/>
          <w:szCs w:val="20"/>
        </w:rPr>
        <w:t>La région naturelle la moins peuplée est celle de Buragane avec moins de 140.000 personnes vivant dans les ménages agricoles (1,7% de l’ensemble de la population agricole).</w:t>
      </w:r>
    </w:p>
    <w:p w:rsidR="005B2022" w:rsidRPr="00B6647E" w:rsidRDefault="005B2022" w:rsidP="00721CE7">
      <w:pPr>
        <w:pStyle w:val="Corpsdutexte"/>
        <w:rPr>
          <w:rFonts w:cs="Arial"/>
          <w:sz w:val="20"/>
          <w:szCs w:val="20"/>
        </w:rPr>
      </w:pPr>
      <w:r w:rsidRPr="00B6647E">
        <w:rPr>
          <w:rFonts w:cs="Arial"/>
          <w:sz w:val="20"/>
          <w:szCs w:val="20"/>
        </w:rPr>
        <w:t>La population féminine est plus importante que celle des hommes dans toutes les régions sauf dans celles de Bututsi (48,1%), de Moso (49,3%) et de Mugamba (49,4%).</w:t>
      </w:r>
    </w:p>
    <w:p w:rsidR="005B2022" w:rsidRPr="00B6647E" w:rsidRDefault="005B2022" w:rsidP="00721CE7">
      <w:pPr>
        <w:pStyle w:val="Corpsdutexte"/>
        <w:spacing w:after="0"/>
        <w:rPr>
          <w:rFonts w:cs="Arial"/>
          <w:i/>
          <w:sz w:val="20"/>
          <w:szCs w:val="20"/>
        </w:rPr>
      </w:pPr>
      <w:r w:rsidRPr="00B6647E">
        <w:rPr>
          <w:rFonts w:cs="Arial"/>
          <w:i/>
          <w:sz w:val="20"/>
          <w:szCs w:val="20"/>
        </w:rPr>
        <w:t>Provinces</w:t>
      </w:r>
    </w:p>
    <w:p w:rsidR="005B2022" w:rsidRPr="00B6647E" w:rsidRDefault="005B2022" w:rsidP="00721CE7">
      <w:pPr>
        <w:pStyle w:val="Corpsdutexte"/>
        <w:spacing w:before="0"/>
        <w:rPr>
          <w:rFonts w:cs="Arial"/>
          <w:sz w:val="20"/>
          <w:szCs w:val="20"/>
        </w:rPr>
      </w:pPr>
      <w:r w:rsidRPr="00B6647E">
        <w:rPr>
          <w:rFonts w:cs="Arial"/>
          <w:sz w:val="20"/>
          <w:szCs w:val="20"/>
        </w:rPr>
        <w:t>La plus grande population agricole se trouve dans la province de Kirundo avec environ 712.000 personnes (9% de l’ensemble de cette population). Elle est suivie des provinces de Muyinga avec environ 690.000 personnes (8,7%) ; de Ngozi peuplée de près de 680.000 personnes (8,6%) et de Gitega avec environ 660.000 personnes (8,4%). En revanche, la province de Cankuzo qui compte autour 256.000 personnes est la moins peuplée (3,2 %) suivie de Muramvya avec 310.000 individus (3,9%) et de Mwaro peuplée de près 303.000 personnes (3,8 %).</w:t>
      </w:r>
    </w:p>
    <w:p w:rsidR="005B2022" w:rsidRPr="00B6647E" w:rsidRDefault="005B2022" w:rsidP="00721CE7">
      <w:pPr>
        <w:pStyle w:val="Lgende"/>
        <w:jc w:val="both"/>
        <w:rPr>
          <w:rFonts w:ascii="Arial" w:hAnsi="Arial" w:cs="Arial"/>
          <w:b w:val="0"/>
        </w:rPr>
      </w:pPr>
      <w:bookmarkStart w:id="175" w:name="_Toc244519140"/>
      <w:bookmarkStart w:id="176" w:name="_Toc231290476"/>
      <w:bookmarkStart w:id="177" w:name="_Toc231290514"/>
      <w:bookmarkStart w:id="178" w:name="_Toc231290633"/>
      <w:bookmarkStart w:id="179" w:name="_Toc235270939"/>
      <w:bookmarkEnd w:id="173"/>
      <w:r w:rsidRPr="00B6647E">
        <w:rPr>
          <w:rFonts w:ascii="Arial" w:hAnsi="Arial" w:cs="Arial"/>
          <w:b w:val="0"/>
        </w:rPr>
        <w:t xml:space="preserve">La structure de cette population par sexe et par province montre que la population agricole féminine est supérieure à celle des hommes dans toutes les provinces sauf à Makamba où elle représente 49,3%. La proportion des femmes les plus importantes se constate dans les provinces de Ngozi (53,3%), de Gitega (52,9%), de Kayanza et Muyinga avec chacune 52,8% de femmes, de Mwaro (52,2%) et de Kirundo (52%). </w:t>
      </w:r>
    </w:p>
    <w:p w:rsidR="005B2022" w:rsidRPr="00B6647E" w:rsidRDefault="005B2022" w:rsidP="0039155C">
      <w:pPr>
        <w:pStyle w:val="Lgende"/>
        <w:spacing w:before="200" w:after="120"/>
        <w:rPr>
          <w:rFonts w:ascii="Arial" w:hAnsi="Arial" w:cs="Arial"/>
        </w:rPr>
      </w:pPr>
      <w:r w:rsidRPr="00B6647E">
        <w:rPr>
          <w:rFonts w:ascii="Arial" w:hAnsi="Arial" w:cs="Arial"/>
        </w:rPr>
        <w:t xml:space="preserve">Tableau </w:t>
      </w:r>
      <w:r w:rsidR="0039155C" w:rsidRPr="00B6647E">
        <w:rPr>
          <w:rFonts w:ascii="Arial" w:hAnsi="Arial" w:cs="Arial"/>
        </w:rPr>
        <w:t>1</w:t>
      </w:r>
      <w:r w:rsidR="00A514B4">
        <w:rPr>
          <w:rFonts w:ascii="Arial" w:hAnsi="Arial" w:cs="Arial"/>
        </w:rPr>
        <w:t>7</w:t>
      </w:r>
      <w:r w:rsidRPr="00B6647E">
        <w:rPr>
          <w:rFonts w:ascii="Arial" w:hAnsi="Arial" w:cs="Arial"/>
        </w:rPr>
        <w:t> : Population agricole par sexe et densité</w:t>
      </w:r>
      <w:r w:rsidRPr="00B6647E">
        <w:footnoteReference w:id="22"/>
      </w:r>
      <w:r w:rsidRPr="00B6647E">
        <w:rPr>
          <w:rFonts w:ascii="Arial" w:hAnsi="Arial" w:cs="Arial"/>
        </w:rPr>
        <w:t xml:space="preserve"> par province</w:t>
      </w:r>
    </w:p>
    <w:p w:rsidR="005B2022" w:rsidRPr="00B6647E" w:rsidRDefault="005B2022" w:rsidP="00721CE7">
      <w:pPr>
        <w:pStyle w:val="Lgende"/>
        <w:keepNext/>
        <w:rPr>
          <w:rFonts w:ascii="Arial" w:hAnsi="Arial" w:cs="Arial"/>
          <w:b w:val="0"/>
        </w:rPr>
      </w:pPr>
      <w:r w:rsidRPr="00B6647E">
        <w:rPr>
          <w:rFonts w:ascii="Arial" w:hAnsi="Arial" w:cs="Arial"/>
          <w:b w:val="0"/>
          <w:noProof/>
          <w:lang w:val="fr-FR"/>
        </w:rPr>
        <w:drawing>
          <wp:inline distT="0" distB="0" distL="0" distR="0">
            <wp:extent cx="5760720" cy="3209785"/>
            <wp:effectExtent l="19050" t="0" r="0" b="0"/>
            <wp:docPr id="4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5760720" cy="3209785"/>
                    </a:xfrm>
                    <a:prstGeom prst="rect">
                      <a:avLst/>
                    </a:prstGeom>
                    <a:noFill/>
                    <a:ln w="9525">
                      <a:noFill/>
                      <a:miter lim="800000"/>
                      <a:headEnd/>
                      <a:tailEnd/>
                    </a:ln>
                  </pic:spPr>
                </pic:pic>
              </a:graphicData>
            </a:graphic>
          </wp:inline>
        </w:drawing>
      </w:r>
    </w:p>
    <w:p w:rsidR="003D2880" w:rsidRPr="00B6647E" w:rsidRDefault="003D2880" w:rsidP="003D2880">
      <w:pPr>
        <w:pStyle w:val="Corpsdutexte"/>
        <w:rPr>
          <w:rFonts w:cs="Arial"/>
          <w:sz w:val="20"/>
          <w:szCs w:val="20"/>
        </w:rPr>
      </w:pPr>
      <w:r w:rsidRPr="00B6647E">
        <w:rPr>
          <w:rFonts w:cs="Arial"/>
          <w:sz w:val="20"/>
          <w:szCs w:val="20"/>
        </w:rPr>
        <w:t>Plus de la moitié de la population agricole du Burundi est féminine (51,6% de femmes contre 48,4% d’hommes)</w:t>
      </w:r>
      <w:r w:rsidRPr="00B6647E">
        <w:rPr>
          <w:rFonts w:cs="Arial"/>
          <w:sz w:val="20"/>
          <w:szCs w:val="20"/>
          <w:lang w:eastAsia="fr-FR"/>
        </w:rPr>
        <w:t>.</w:t>
      </w:r>
      <w:r w:rsidRPr="00B6647E">
        <w:rPr>
          <w:rFonts w:cs="Arial"/>
          <w:sz w:val="20"/>
          <w:szCs w:val="20"/>
        </w:rPr>
        <w:t xml:space="preserve"> Le rapport de masculinité (nombre d’hommes pour 100 femmes) illustre une inégale répartition de la population agricole selon le sexe. On compte environ 94 hommes pour 100 femmes au niveau national.</w:t>
      </w:r>
    </w:p>
    <w:bookmarkEnd w:id="175"/>
    <w:bookmarkEnd w:id="176"/>
    <w:bookmarkEnd w:id="177"/>
    <w:bookmarkEnd w:id="178"/>
    <w:bookmarkEnd w:id="179"/>
    <w:p w:rsidR="005B2022" w:rsidRPr="00B6647E" w:rsidRDefault="005B2022" w:rsidP="00DB0606">
      <w:pPr>
        <w:keepNext/>
        <w:spacing w:after="0" w:line="240" w:lineRule="auto"/>
        <w:rPr>
          <w:rFonts w:ascii="Arial" w:hAnsi="Arial" w:cs="Arial"/>
          <w:b/>
          <w:sz w:val="20"/>
          <w:szCs w:val="20"/>
        </w:rPr>
      </w:pPr>
      <w:r w:rsidRPr="00B6647E">
        <w:rPr>
          <w:rFonts w:ascii="Arial" w:hAnsi="Arial" w:cs="Arial"/>
          <w:b/>
          <w:sz w:val="20"/>
          <w:szCs w:val="20"/>
        </w:rPr>
        <w:lastRenderedPageBreak/>
        <w:t>Carte 0</w:t>
      </w:r>
      <w:r w:rsidR="00613D0F" w:rsidRPr="00B6647E">
        <w:rPr>
          <w:rFonts w:ascii="Arial" w:hAnsi="Arial" w:cs="Arial"/>
          <w:b/>
          <w:sz w:val="20"/>
          <w:szCs w:val="20"/>
        </w:rPr>
        <w:t>4</w:t>
      </w:r>
      <w:r w:rsidRPr="00B6647E">
        <w:rPr>
          <w:rFonts w:ascii="Arial" w:hAnsi="Arial" w:cs="Arial"/>
          <w:b/>
          <w:sz w:val="20"/>
          <w:szCs w:val="20"/>
        </w:rPr>
        <w:t> : Densité de la population agricole par province</w:t>
      </w:r>
    </w:p>
    <w:p w:rsidR="005B2022" w:rsidRPr="00B6647E" w:rsidRDefault="005B2022" w:rsidP="00DB0606">
      <w:pPr>
        <w:keepNext/>
        <w:spacing w:after="0" w:line="240" w:lineRule="auto"/>
        <w:rPr>
          <w:rFonts w:ascii="Arial" w:hAnsi="Arial" w:cs="Arial"/>
          <w:sz w:val="20"/>
          <w:szCs w:val="20"/>
        </w:rPr>
      </w:pPr>
    </w:p>
    <w:p w:rsidR="005B2022" w:rsidRPr="00B6647E" w:rsidRDefault="002816AC" w:rsidP="00DB0606">
      <w:pPr>
        <w:keepNext/>
        <w:spacing w:after="0" w:line="240" w:lineRule="auto"/>
        <w:rPr>
          <w:rFonts w:ascii="Arial" w:hAnsi="Arial" w:cs="Arial"/>
          <w:sz w:val="20"/>
          <w:szCs w:val="20"/>
        </w:rPr>
      </w:pPr>
      <w:r w:rsidRPr="00B6647E">
        <w:rPr>
          <w:rFonts w:ascii="Arial" w:hAnsi="Arial" w:cs="Arial"/>
          <w:noProof/>
          <w:sz w:val="20"/>
          <w:szCs w:val="20"/>
          <w:lang w:val="fr-FR" w:eastAsia="fr-FR"/>
        </w:rPr>
        <w:drawing>
          <wp:inline distT="0" distB="0" distL="0" distR="0">
            <wp:extent cx="5733165" cy="4010025"/>
            <wp:effectExtent l="19050" t="0" r="885" b="0"/>
            <wp:docPr id="15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l="5318" t="6338" r="5107" b="5164"/>
                    <a:stretch>
                      <a:fillRect/>
                    </a:stretch>
                  </pic:blipFill>
                  <pic:spPr bwMode="auto">
                    <a:xfrm>
                      <a:off x="0" y="0"/>
                      <a:ext cx="5733165" cy="4010025"/>
                    </a:xfrm>
                    <a:prstGeom prst="rect">
                      <a:avLst/>
                    </a:prstGeom>
                    <a:noFill/>
                    <a:ln w="9525">
                      <a:noFill/>
                      <a:miter lim="800000"/>
                      <a:headEnd/>
                      <a:tailEnd/>
                    </a:ln>
                  </pic:spPr>
                </pic:pic>
              </a:graphicData>
            </a:graphic>
          </wp:inline>
        </w:drawing>
      </w:r>
    </w:p>
    <w:p w:rsidR="00932603" w:rsidRPr="00B6647E" w:rsidRDefault="00932603" w:rsidP="00DB0606">
      <w:pPr>
        <w:pStyle w:val="Corpsdutexte"/>
        <w:spacing w:before="0" w:after="0"/>
        <w:rPr>
          <w:rFonts w:cs="Arial"/>
          <w:sz w:val="20"/>
          <w:szCs w:val="20"/>
        </w:rPr>
      </w:pPr>
      <w:bookmarkStart w:id="180" w:name="_Toc215722292"/>
      <w:bookmarkStart w:id="181" w:name="_Toc216573554"/>
      <w:bookmarkStart w:id="182" w:name="_Toc216576945"/>
      <w:bookmarkStart w:id="183" w:name="_Toc216577763"/>
      <w:bookmarkStart w:id="184" w:name="_Toc216578619"/>
      <w:bookmarkStart w:id="185" w:name="_Toc216672095"/>
      <w:bookmarkStart w:id="186" w:name="_Toc216687335"/>
      <w:bookmarkEnd w:id="174"/>
      <w:r w:rsidRPr="00B6647E">
        <w:rPr>
          <w:rFonts w:cs="Arial"/>
          <w:sz w:val="20"/>
          <w:szCs w:val="20"/>
        </w:rPr>
        <w:t xml:space="preserve">Au niveau provincial, ce rapport est équilibré dans la province de Bubanza et plus élevé dans la province de Makamba (environ 103 hommes pour 100 femmes). Il est plus faible dans les provinces de Ngozi (environ 88 hommes pour 100 femmes) et dans les provinces de </w:t>
      </w:r>
      <w:r w:rsidRPr="00B6647E">
        <w:rPr>
          <w:rFonts w:cs="Arial"/>
          <w:bCs/>
          <w:color w:val="000000"/>
          <w:sz w:val="20"/>
          <w:szCs w:val="20"/>
          <w:lang w:eastAsia="fr-FR"/>
        </w:rPr>
        <w:t xml:space="preserve">Gitega, de </w:t>
      </w:r>
      <w:r w:rsidRPr="00B6647E">
        <w:rPr>
          <w:rFonts w:cs="Arial"/>
          <w:sz w:val="20"/>
          <w:szCs w:val="20"/>
        </w:rPr>
        <w:t>Kayanza et de Muyinga où ce rapport est d’environ 89 hommes pour 100 femmes.</w:t>
      </w:r>
    </w:p>
    <w:p w:rsidR="005B2022" w:rsidRPr="00B6647E" w:rsidRDefault="005B2022" w:rsidP="00DB0606">
      <w:pPr>
        <w:pStyle w:val="Lgende"/>
        <w:rPr>
          <w:rFonts w:ascii="Arial" w:hAnsi="Arial" w:cs="Arial"/>
          <w:b w:val="0"/>
        </w:rPr>
      </w:pPr>
    </w:p>
    <w:p w:rsidR="005B2022" w:rsidRPr="00B6647E" w:rsidRDefault="00A514B4" w:rsidP="00DB0606">
      <w:pPr>
        <w:pStyle w:val="Lgende"/>
        <w:keepNext/>
        <w:rPr>
          <w:rFonts w:ascii="Arial" w:hAnsi="Arial" w:cs="Arial"/>
        </w:rPr>
      </w:pPr>
      <w:r>
        <w:rPr>
          <w:rFonts w:ascii="Arial" w:hAnsi="Arial" w:cs="Arial"/>
        </w:rPr>
        <w:t>Tableau 1</w:t>
      </w:r>
      <w:r w:rsidR="005B2022" w:rsidRPr="00B6647E">
        <w:rPr>
          <w:rFonts w:ascii="Arial" w:hAnsi="Arial" w:cs="Arial"/>
        </w:rPr>
        <w:t>8: Répartition de la population agricole par province et par sexe du CM</w:t>
      </w:r>
    </w:p>
    <w:p w:rsidR="005B2022" w:rsidRPr="00B6647E" w:rsidRDefault="005B2022" w:rsidP="00DB0606">
      <w:pPr>
        <w:pStyle w:val="Corpsdutexte"/>
        <w:keepNext/>
        <w:spacing w:before="0" w:after="0"/>
        <w:rPr>
          <w:rFonts w:cs="Arial"/>
          <w:sz w:val="20"/>
          <w:szCs w:val="20"/>
        </w:rPr>
      </w:pPr>
      <w:r w:rsidRPr="00B6647E">
        <w:rPr>
          <w:rFonts w:cs="Arial"/>
          <w:noProof/>
          <w:sz w:val="20"/>
          <w:szCs w:val="20"/>
          <w:lang w:eastAsia="fr-FR"/>
        </w:rPr>
        <w:drawing>
          <wp:inline distT="0" distB="0" distL="0" distR="0">
            <wp:extent cx="3361300" cy="3333750"/>
            <wp:effectExtent l="19050" t="0" r="0" b="0"/>
            <wp:docPr id="4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3363311" cy="3335744"/>
                    </a:xfrm>
                    <a:prstGeom prst="rect">
                      <a:avLst/>
                    </a:prstGeom>
                    <a:noFill/>
                    <a:ln w="9525">
                      <a:noFill/>
                      <a:miter lim="800000"/>
                      <a:headEnd/>
                      <a:tailEnd/>
                    </a:ln>
                  </pic:spPr>
                </pic:pic>
              </a:graphicData>
            </a:graphic>
          </wp:inline>
        </w:drawing>
      </w:r>
    </w:p>
    <w:p w:rsidR="00DB0606" w:rsidRPr="00B6647E" w:rsidRDefault="00DB0606" w:rsidP="00DB0606">
      <w:pPr>
        <w:spacing w:line="240" w:lineRule="auto"/>
        <w:jc w:val="both"/>
        <w:rPr>
          <w:rFonts w:ascii="Arial" w:hAnsi="Arial" w:cs="Arial"/>
          <w:sz w:val="20"/>
          <w:szCs w:val="20"/>
        </w:rPr>
      </w:pPr>
      <w:r w:rsidRPr="00B6647E">
        <w:rPr>
          <w:rFonts w:ascii="Arial" w:hAnsi="Arial" w:cs="Arial"/>
          <w:sz w:val="20"/>
          <w:szCs w:val="20"/>
        </w:rPr>
        <w:t>Avec une population agricole estimée à 7.902.860 personnes le Burundi a une densité globale de 305,6 personnes agricoles au km2.</w:t>
      </w:r>
    </w:p>
    <w:p w:rsidR="00DB0606" w:rsidRPr="00B6647E" w:rsidRDefault="00DB0606" w:rsidP="00DB0606">
      <w:pPr>
        <w:spacing w:line="240" w:lineRule="auto"/>
        <w:jc w:val="both"/>
        <w:rPr>
          <w:rFonts w:ascii="Arial" w:hAnsi="Arial" w:cs="Arial"/>
          <w:sz w:val="20"/>
          <w:szCs w:val="20"/>
        </w:rPr>
      </w:pPr>
      <w:r w:rsidRPr="00B6647E">
        <w:rPr>
          <w:rFonts w:ascii="Arial" w:hAnsi="Arial" w:cs="Arial"/>
          <w:sz w:val="20"/>
          <w:szCs w:val="20"/>
        </w:rPr>
        <w:lastRenderedPageBreak/>
        <w:t xml:space="preserve">Les provinces avec des densités supérieures à la moyenne nationale sont : Kayanza (464,6), Ngozi (462,2), Bujumbura rural (456), Muramvya (446,6), (Kirundo (418,3), Muyinga (375,8), Gitega (335,7), Mwaro (360,6) et Bubanza (311,4). Cette densité est inférieure à 200 personnes au Km² dans les provinces de Cankuzo (130,3), de Rutana (186,9) et de Ruyigi (196,4). </w:t>
      </w:r>
    </w:p>
    <w:p w:rsidR="005B2022" w:rsidRPr="00B6647E" w:rsidRDefault="005B2022" w:rsidP="00A65E41">
      <w:pPr>
        <w:pStyle w:val="Titre3"/>
        <w:keepNext w:val="0"/>
        <w:numPr>
          <w:ilvl w:val="2"/>
          <w:numId w:val="1"/>
        </w:numPr>
        <w:spacing w:before="200" w:after="120"/>
        <w:ind w:left="0" w:firstLine="0"/>
        <w:rPr>
          <w:rFonts w:cs="Arial"/>
          <w:szCs w:val="20"/>
        </w:rPr>
      </w:pPr>
      <w:bookmarkStart w:id="187" w:name="_Toc322271293"/>
      <w:bookmarkStart w:id="188" w:name="_Toc333379455"/>
      <w:bookmarkStart w:id="189" w:name="_Toc354313845"/>
      <w:bookmarkEnd w:id="180"/>
      <w:bookmarkEnd w:id="181"/>
      <w:bookmarkEnd w:id="182"/>
      <w:bookmarkEnd w:id="183"/>
      <w:bookmarkEnd w:id="184"/>
      <w:bookmarkEnd w:id="185"/>
      <w:bookmarkEnd w:id="186"/>
      <w:r w:rsidRPr="00B6647E">
        <w:rPr>
          <w:rFonts w:cs="Arial"/>
          <w:szCs w:val="20"/>
        </w:rPr>
        <w:t>Répartition de la population agricole selon la connaissance du kirundi et autres</w:t>
      </w:r>
      <w:bookmarkEnd w:id="187"/>
      <w:r w:rsidRPr="00B6647E">
        <w:rPr>
          <w:rFonts w:cs="Arial"/>
          <w:szCs w:val="20"/>
        </w:rPr>
        <w:t xml:space="preserve"> langues</w:t>
      </w:r>
      <w:bookmarkEnd w:id="188"/>
      <w:bookmarkEnd w:id="189"/>
    </w:p>
    <w:p w:rsidR="005B2022" w:rsidRPr="00B6647E" w:rsidRDefault="005B2022" w:rsidP="00721CE7">
      <w:pPr>
        <w:spacing w:line="240" w:lineRule="auto"/>
        <w:jc w:val="both"/>
        <w:rPr>
          <w:rFonts w:ascii="Arial" w:hAnsi="Arial" w:cs="Arial"/>
          <w:sz w:val="20"/>
          <w:szCs w:val="20"/>
        </w:rPr>
      </w:pPr>
      <w:r w:rsidRPr="00B6647E">
        <w:rPr>
          <w:rFonts w:ascii="Arial" w:hAnsi="Arial" w:cs="Arial"/>
          <w:sz w:val="20"/>
          <w:szCs w:val="20"/>
        </w:rPr>
        <w:t xml:space="preserve">Sur l’ensemble de la population âgée de 10 ans et plus, il y a 60,4% qui savent lire et écrire le Kirundi contre 34,3% ne sachant ni lire ni écrire. Les hommes représentent 54,5% et les femmes 45,5% parmi la population sachant lire et écrire le Kirundi. En ce qui concerne les personnes qui ne savent ni lire ni écrire, la proportion des hommes est de 37,1% et celle des femmes de 62,9%.  </w:t>
      </w:r>
    </w:p>
    <w:p w:rsidR="005B2022" w:rsidRPr="00B6647E" w:rsidRDefault="005B2022" w:rsidP="00721CE7">
      <w:pPr>
        <w:spacing w:line="240" w:lineRule="auto"/>
        <w:jc w:val="both"/>
        <w:rPr>
          <w:rFonts w:ascii="Arial" w:hAnsi="Arial" w:cs="Arial"/>
          <w:sz w:val="20"/>
          <w:szCs w:val="20"/>
        </w:rPr>
      </w:pPr>
      <w:r w:rsidRPr="00B6647E">
        <w:rPr>
          <w:rFonts w:ascii="Arial" w:hAnsi="Arial" w:cs="Arial"/>
          <w:sz w:val="20"/>
          <w:szCs w:val="20"/>
        </w:rPr>
        <w:t xml:space="preserve">Cette situation est pratiquement inversée lorsqu’il s’agit de la population connaissant d’autres langues. En effet, 64,7% de cette population de 10 ans et plus ne sait ni lire ni écrire d’autres langues que le Kirundi, contre 29,3% qui savent lire et écrire d’autres langues. La population qui sait lire et écrire d’autres langues est répartie en 56,4% d’hommes et 43,6% de femmes et la situation est inversée parmi celle qui ne sait ni lire ni écrire (43,3% d’hommes et 56,7% de femmes). </w:t>
      </w:r>
    </w:p>
    <w:p w:rsidR="005B2022" w:rsidRPr="00B6647E" w:rsidRDefault="005B2022" w:rsidP="00DB0606">
      <w:pPr>
        <w:pStyle w:val="Lgende"/>
        <w:rPr>
          <w:rFonts w:ascii="Arial" w:hAnsi="Arial" w:cs="Arial"/>
        </w:rPr>
      </w:pPr>
      <w:r w:rsidRPr="00B6647E">
        <w:rPr>
          <w:rFonts w:ascii="Arial" w:hAnsi="Arial" w:cs="Arial"/>
        </w:rPr>
        <w:t xml:space="preserve">Tableau </w:t>
      </w:r>
      <w:r w:rsidR="0039155C" w:rsidRPr="00B6647E">
        <w:rPr>
          <w:rFonts w:ascii="Arial" w:hAnsi="Arial" w:cs="Arial"/>
        </w:rPr>
        <w:t>1</w:t>
      </w:r>
      <w:r w:rsidR="00A514B4">
        <w:rPr>
          <w:rFonts w:ascii="Arial" w:hAnsi="Arial" w:cs="Arial"/>
        </w:rPr>
        <w:t>9</w:t>
      </w:r>
      <w:r w:rsidRPr="00B6647E">
        <w:rPr>
          <w:rFonts w:ascii="Arial" w:hAnsi="Arial" w:cs="Arial"/>
        </w:rPr>
        <w:t>: Répartition de la population agricole de 10 ans et plus par sexe selon la connaissance de la langue</w:t>
      </w:r>
    </w:p>
    <w:p w:rsidR="005B2022" w:rsidRPr="00B6647E" w:rsidRDefault="005B2022" w:rsidP="00DB0606">
      <w:pPr>
        <w:spacing w:after="0" w:line="240" w:lineRule="auto"/>
        <w:rPr>
          <w:rFonts w:ascii="Arial" w:hAnsi="Arial" w:cs="Arial"/>
          <w:sz w:val="20"/>
          <w:szCs w:val="20"/>
        </w:rPr>
      </w:pPr>
      <w:r w:rsidRPr="00B6647E">
        <w:rPr>
          <w:rFonts w:ascii="Arial" w:hAnsi="Arial" w:cs="Arial"/>
          <w:noProof/>
          <w:sz w:val="20"/>
          <w:szCs w:val="20"/>
          <w:lang w:val="fr-FR" w:eastAsia="fr-FR"/>
        </w:rPr>
        <w:drawing>
          <wp:inline distT="0" distB="0" distL="0" distR="0">
            <wp:extent cx="5760720" cy="2326990"/>
            <wp:effectExtent l="19050" t="0" r="0" b="0"/>
            <wp:docPr id="4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srcRect/>
                    <a:stretch>
                      <a:fillRect/>
                    </a:stretch>
                  </pic:blipFill>
                  <pic:spPr bwMode="auto">
                    <a:xfrm>
                      <a:off x="0" y="0"/>
                      <a:ext cx="5760720" cy="2326990"/>
                    </a:xfrm>
                    <a:prstGeom prst="rect">
                      <a:avLst/>
                    </a:prstGeom>
                    <a:noFill/>
                    <a:ln w="9525">
                      <a:noFill/>
                      <a:miter lim="800000"/>
                      <a:headEnd/>
                      <a:tailEnd/>
                    </a:ln>
                  </pic:spPr>
                </pic:pic>
              </a:graphicData>
            </a:graphic>
          </wp:inline>
        </w:drawing>
      </w:r>
    </w:p>
    <w:p w:rsidR="005B2022" w:rsidRPr="00B6647E" w:rsidRDefault="005B2022" w:rsidP="00A65E41">
      <w:pPr>
        <w:pStyle w:val="Titre3"/>
        <w:keepNext w:val="0"/>
        <w:numPr>
          <w:ilvl w:val="2"/>
          <w:numId w:val="1"/>
        </w:numPr>
        <w:spacing w:before="200" w:after="120"/>
        <w:ind w:left="0" w:firstLine="0"/>
        <w:rPr>
          <w:rFonts w:cs="Arial"/>
          <w:szCs w:val="20"/>
        </w:rPr>
      </w:pPr>
      <w:bookmarkStart w:id="190" w:name="_Toc322271294"/>
      <w:bookmarkStart w:id="191" w:name="_Toc333379456"/>
      <w:bookmarkStart w:id="192" w:name="_Toc354313846"/>
      <w:r w:rsidRPr="00B6647E">
        <w:rPr>
          <w:rFonts w:cs="Arial"/>
          <w:szCs w:val="20"/>
        </w:rPr>
        <w:t>Répartition de la population agricole selon l’état matrimonial</w:t>
      </w:r>
      <w:bookmarkEnd w:id="190"/>
      <w:bookmarkEnd w:id="191"/>
      <w:bookmarkEnd w:id="192"/>
    </w:p>
    <w:p w:rsidR="005B2022" w:rsidRPr="00B6647E" w:rsidRDefault="005B2022" w:rsidP="006E7058">
      <w:pPr>
        <w:spacing w:after="240" w:line="240" w:lineRule="auto"/>
        <w:jc w:val="both"/>
        <w:rPr>
          <w:rFonts w:ascii="Arial" w:hAnsi="Arial" w:cs="Arial"/>
          <w:sz w:val="20"/>
          <w:szCs w:val="20"/>
        </w:rPr>
      </w:pPr>
      <w:r w:rsidRPr="00B6647E">
        <w:rPr>
          <w:rFonts w:ascii="Arial" w:hAnsi="Arial" w:cs="Arial"/>
          <w:sz w:val="20"/>
          <w:szCs w:val="20"/>
        </w:rPr>
        <w:t xml:space="preserve">Les résultats de l’enquête montrent que 46% de la population de 10 ans et plus sont célibataires, 44% sont mariés, 5,2% sont veufs et 2,1% sont séparés. On peut noter particulièrement la forte proportion de femmes parmi les personnes divorcées/séparées (87,5% de femmes sur un total d’environ 108.000 personnes) et veuves (91,7% de femmes sur 270.000 personnes). </w:t>
      </w:r>
    </w:p>
    <w:p w:rsidR="005B2022" w:rsidRPr="00B6647E" w:rsidRDefault="005B2022" w:rsidP="00DB0606">
      <w:pPr>
        <w:pStyle w:val="Lgende"/>
        <w:rPr>
          <w:rFonts w:ascii="Arial" w:hAnsi="Arial" w:cs="Arial"/>
        </w:rPr>
      </w:pPr>
      <w:r w:rsidRPr="00B6647E">
        <w:rPr>
          <w:rFonts w:ascii="Arial" w:hAnsi="Arial" w:cs="Arial"/>
        </w:rPr>
        <w:t xml:space="preserve">Tableau </w:t>
      </w:r>
      <w:r w:rsidR="00A514B4">
        <w:rPr>
          <w:rFonts w:ascii="Arial" w:hAnsi="Arial" w:cs="Arial"/>
        </w:rPr>
        <w:t>20</w:t>
      </w:r>
      <w:r w:rsidRPr="00B6647E">
        <w:rPr>
          <w:rFonts w:ascii="Arial" w:hAnsi="Arial" w:cs="Arial"/>
        </w:rPr>
        <w:t>: Répartition de la population agricole de 10 ans et plus par sexe selon l’état matrimonial</w:t>
      </w:r>
    </w:p>
    <w:p w:rsidR="005B2022" w:rsidRPr="00B6647E" w:rsidRDefault="005B2022" w:rsidP="00DB0606">
      <w:pPr>
        <w:spacing w:after="0" w:line="240" w:lineRule="auto"/>
        <w:rPr>
          <w:rFonts w:ascii="Arial" w:hAnsi="Arial" w:cs="Arial"/>
          <w:sz w:val="20"/>
          <w:szCs w:val="20"/>
        </w:rPr>
      </w:pPr>
      <w:r w:rsidRPr="00B6647E">
        <w:rPr>
          <w:rFonts w:ascii="Arial" w:hAnsi="Arial" w:cs="Arial"/>
          <w:noProof/>
          <w:sz w:val="20"/>
          <w:szCs w:val="20"/>
          <w:lang w:val="fr-FR" w:eastAsia="fr-FR"/>
        </w:rPr>
        <w:drawing>
          <wp:inline distT="0" distB="0" distL="0" distR="0">
            <wp:extent cx="3870369" cy="2062886"/>
            <wp:effectExtent l="19050" t="0" r="0" b="0"/>
            <wp:docPr id="5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srcRect/>
                    <a:stretch>
                      <a:fillRect/>
                    </a:stretch>
                  </pic:blipFill>
                  <pic:spPr bwMode="auto">
                    <a:xfrm>
                      <a:off x="0" y="0"/>
                      <a:ext cx="3878575" cy="2067260"/>
                    </a:xfrm>
                    <a:prstGeom prst="rect">
                      <a:avLst/>
                    </a:prstGeom>
                    <a:noFill/>
                    <a:ln w="9525">
                      <a:noFill/>
                      <a:miter lim="800000"/>
                      <a:headEnd/>
                      <a:tailEnd/>
                    </a:ln>
                  </pic:spPr>
                </pic:pic>
              </a:graphicData>
            </a:graphic>
          </wp:inline>
        </w:drawing>
      </w:r>
    </w:p>
    <w:p w:rsidR="005B2022" w:rsidRPr="00B6647E" w:rsidRDefault="005B2022" w:rsidP="00721CE7">
      <w:pPr>
        <w:pStyle w:val="Lgende"/>
        <w:keepNext/>
        <w:rPr>
          <w:rFonts w:ascii="Arial" w:hAnsi="Arial" w:cs="Arial"/>
        </w:rPr>
      </w:pPr>
      <w:r w:rsidRPr="00B6647E">
        <w:rPr>
          <w:rFonts w:ascii="Arial" w:hAnsi="Arial" w:cs="Arial"/>
        </w:rPr>
        <w:lastRenderedPageBreak/>
        <w:t>Graphique 04 : Répartition de la population agricole de 10 ans et plus par sexe selon l’état matrimonial</w:t>
      </w:r>
    </w:p>
    <w:p w:rsidR="005B2022" w:rsidRPr="00B6647E" w:rsidRDefault="005B2022" w:rsidP="00721CE7">
      <w:pPr>
        <w:keepNext/>
        <w:spacing w:line="240" w:lineRule="auto"/>
        <w:rPr>
          <w:rFonts w:ascii="Arial" w:hAnsi="Arial" w:cs="Arial"/>
          <w:sz w:val="20"/>
          <w:szCs w:val="20"/>
        </w:rPr>
      </w:pPr>
    </w:p>
    <w:p w:rsidR="005B2022" w:rsidRPr="00B6647E" w:rsidRDefault="005B2022" w:rsidP="00721CE7">
      <w:pPr>
        <w:keepNext/>
        <w:spacing w:line="240" w:lineRule="auto"/>
        <w:rPr>
          <w:rFonts w:ascii="Arial" w:hAnsi="Arial" w:cs="Arial"/>
          <w:sz w:val="20"/>
          <w:szCs w:val="20"/>
        </w:rPr>
      </w:pPr>
      <w:r w:rsidRPr="00B6647E">
        <w:rPr>
          <w:rFonts w:ascii="Arial" w:hAnsi="Arial" w:cs="Arial"/>
          <w:noProof/>
          <w:sz w:val="20"/>
          <w:szCs w:val="20"/>
          <w:lang w:val="fr-FR" w:eastAsia="fr-FR"/>
        </w:rPr>
        <w:drawing>
          <wp:inline distT="0" distB="0" distL="0" distR="0">
            <wp:extent cx="4594860" cy="2758440"/>
            <wp:effectExtent l="19050" t="0" r="0" b="0"/>
            <wp:docPr id="164"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cstate="print"/>
                    <a:srcRect/>
                    <a:stretch>
                      <a:fillRect/>
                    </a:stretch>
                  </pic:blipFill>
                  <pic:spPr bwMode="auto">
                    <a:xfrm>
                      <a:off x="0" y="0"/>
                      <a:ext cx="4594860" cy="2758440"/>
                    </a:xfrm>
                    <a:prstGeom prst="rect">
                      <a:avLst/>
                    </a:prstGeom>
                    <a:noFill/>
                  </pic:spPr>
                </pic:pic>
              </a:graphicData>
            </a:graphic>
          </wp:inline>
        </w:drawing>
      </w:r>
    </w:p>
    <w:p w:rsidR="005B2022" w:rsidRPr="00B6647E" w:rsidRDefault="004A2244" w:rsidP="00721CE7">
      <w:pPr>
        <w:spacing w:line="240" w:lineRule="auto"/>
        <w:rPr>
          <w:rFonts w:ascii="Arial" w:hAnsi="Arial" w:cs="Arial"/>
          <w:lang w:eastAsia="fr-FR"/>
        </w:rPr>
      </w:pPr>
      <w:r w:rsidRPr="00B6647E">
        <w:rPr>
          <w:rFonts w:ascii="Arial" w:hAnsi="Arial" w:cs="Arial"/>
          <w:lang w:eastAsia="fr-FR"/>
        </w:rPr>
        <w:t xml:space="preserve"> </w:t>
      </w:r>
    </w:p>
    <w:p w:rsidR="004C0784" w:rsidRPr="00B6647E" w:rsidRDefault="004C0784" w:rsidP="00721CE7">
      <w:pPr>
        <w:spacing w:line="240" w:lineRule="auto"/>
        <w:rPr>
          <w:rFonts w:ascii="Arial" w:eastAsia="Times New Roman" w:hAnsi="Arial" w:cs="Arial"/>
          <w:color w:val="365F91"/>
          <w:sz w:val="24"/>
          <w:szCs w:val="24"/>
          <w:lang w:eastAsia="fr-FR"/>
        </w:rPr>
      </w:pPr>
      <w:r w:rsidRPr="00B6647E">
        <w:rPr>
          <w:rFonts w:ascii="Arial" w:hAnsi="Arial" w:cs="Arial"/>
          <w:color w:val="365F91"/>
        </w:rPr>
        <w:br w:type="page"/>
      </w:r>
    </w:p>
    <w:p w:rsidR="00D84E72" w:rsidRPr="00B6647E" w:rsidRDefault="00B0237D" w:rsidP="00F80A9B">
      <w:pPr>
        <w:pStyle w:val="Titre1"/>
        <w:keepNext w:val="0"/>
        <w:numPr>
          <w:ilvl w:val="0"/>
          <w:numId w:val="1"/>
        </w:numPr>
        <w:tabs>
          <w:tab w:val="num" w:pos="432"/>
        </w:tabs>
        <w:spacing w:before="240"/>
        <w:ind w:left="432" w:hanging="432"/>
        <w:rPr>
          <w:rFonts w:cs="Arial"/>
          <w:color w:val="365F91"/>
        </w:rPr>
      </w:pPr>
      <w:bookmarkStart w:id="193" w:name="_Toc354313847"/>
      <w:r w:rsidRPr="00B6647E">
        <w:rPr>
          <w:rFonts w:cs="Arial"/>
          <w:color w:val="365F91"/>
        </w:rPr>
        <w:lastRenderedPageBreak/>
        <w:t>Superficie et t</w:t>
      </w:r>
      <w:r w:rsidR="00D84E72" w:rsidRPr="00B6647E">
        <w:rPr>
          <w:rFonts w:cs="Arial"/>
          <w:color w:val="365F91"/>
        </w:rPr>
        <w:t>ypologie des exploitations agricoles</w:t>
      </w:r>
      <w:bookmarkEnd w:id="193"/>
      <w:r w:rsidR="00D84E72" w:rsidRPr="00B6647E">
        <w:rPr>
          <w:rFonts w:cs="Arial"/>
          <w:color w:val="365F91"/>
        </w:rPr>
        <w:t xml:space="preserve"> </w:t>
      </w:r>
    </w:p>
    <w:p w:rsidR="00B252FE" w:rsidRPr="00B6647E" w:rsidRDefault="00DF50D8" w:rsidP="00A65E41">
      <w:pPr>
        <w:pStyle w:val="Paragraphedeliste"/>
        <w:spacing w:after="0" w:line="240" w:lineRule="auto"/>
        <w:ind w:left="0"/>
        <w:rPr>
          <w:rFonts w:ascii="Arial" w:hAnsi="Arial" w:cs="Arial"/>
          <w:sz w:val="20"/>
          <w:szCs w:val="20"/>
          <w:lang w:eastAsia="fr-FR"/>
        </w:rPr>
      </w:pPr>
      <w:r w:rsidRPr="00DF50D8">
        <w:rPr>
          <w:rFonts w:ascii="Arial" w:hAnsi="Arial" w:cs="Arial"/>
          <w:noProof/>
        </w:rPr>
        <w:pict>
          <v:shape id="_x0000_s1044" type="#_x0000_t32" style="position:absolute;margin-left:1.15pt;margin-top:4.8pt;width:453.55pt;height:0;z-index:25169715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4ufrAIAAJcFAAAOAAAAZHJzL2Uyb0RvYy54bWysVE2PmzAQvVfqf7B8Z4FACEFLVlkCvWzb&#10;lXarnh1sglWwke18rKr+945NQjfbS1UtB+SPmTdvZt749u7Ud+jAlOZS5Di8CTBiopaUi12Ovz1X&#10;XoqRNkRQ0knBcvzCNL5bffxwexwyNpOt7ChTCECEzo5Djltjhsz3dd2ynugbOTABl41UPTGwVTuf&#10;KnIE9L7zZ0GQ+Eep6KBkzbSG0814iVcOv2lYbb42jWYGdTkGbsb9lftv7d9f3ZJsp8jQ8vpMg/wH&#10;i55wAUEnqA0xBO0V/wuq57WSWjbmppa9L5uG18zlANmEwZtsnloyMJcLFEcPU5n0+8HWXw6PCnGa&#10;42WCkSA99Gi9N9KFRjNbn+OgMzArxKOyGdYn8TQ8yPqHRkIWLRE75oyfXwbwDa2Hf+ViN3qAKNvj&#10;Z0nBhgC+K9apUb2FhDKgk+vJy9QTdjKohsP5IgmCdI5RfbnzSXZxHJQ2n5jskV3kWBtF+K41hRQC&#10;Oi9V6MKQw4M2lhbJLg42qpAV7zongE6gY46jNAwC56Flx6m9tXZa7bZFp9CBgIaiZF4txyTh5rWZ&#10;kntBHVrLCC3Pa0N4N64heicsHnOyHCnB7mRg6c4hYyeZn8tgWaZlGnvxLCm9ONhsvHVVxF5ShYv5&#10;JtoUxSb8ZYmGcdZySpmwXC/yDeN/k8d5kEbhTQKequJfo7vyAdlrputqHiziKPUWi3nkxVEZePdp&#10;VXjrIkySRXlf3JdvmJYue/0+ZKdSWlZyb5h6aukRUW7VMEujJbw+lMO4R2mQBMsFRqTbwTtVG4WR&#10;kuY7N60Tr5Wdxbjq9SyOqmQ8J93QklEB8wA+p/LJ3NVmCj9W6tJku5vadE7+Ty1BFBcBuKGxczJO&#10;3FbSl0d1GSaYfud0fqns8/J6D+vX7+nqNwAAAP//AwBQSwMEFAAGAAgAAAAhABLqZCjcAAAABQEA&#10;AA8AAABkcnMvZG93bnJldi54bWxMjlFLwzAUhd+F/YdwB76ISzdLWWvTMRRxDBGs/oC0uTbF5qY0&#10;Wdv564170cfDOXzny3ez6diIg2stCVivImBItVUtNQI+3p9ut8Ccl6RkZwkFnNHBrlhc5TJTdqI3&#10;HEvfsAAhl0kB2vs+49zVGo10K9sjhe7TDkb6EIeGq0FOAW46vomihBvZUnjQsscHjfVXeTICpjE5&#10;vtxs+fx9fC3PTRUfHvVzLMT1ct7fA/M4+78x/OoHdSiCU2VPpBzrBGzuwlBAmgALbRqlMbDqknmR&#10;8//2xQ8AAAD//wMAUEsBAi0AFAAGAAgAAAAhALaDOJL+AAAA4QEAABMAAAAAAAAAAAAAAAAAAAAA&#10;AFtDb250ZW50X1R5cGVzXS54bWxQSwECLQAUAAYACAAAACEAOP0h/9YAAACUAQAACwAAAAAAAAAA&#10;AAAAAAAvAQAAX3JlbHMvLnJlbHNQSwECLQAUAAYACAAAACEAJvOLn6wCAACXBQAADgAAAAAAAAAA&#10;AAAAAAAuAgAAZHJzL2Uyb0RvYy54bWxQSwECLQAUAAYACAAAACEAEupkKNwAAAAFAQAADwAAAAAA&#10;AAAAAAAAAAAGBQAAZHJzL2Rvd25yZXYueG1sUEsFBgAAAAAEAAQA8wAAAA8GAAAAAA==&#10;" strokecolor="#365f91" strokeweight="3pt">
            <v:shadow color="#243f60" opacity=".5" offset="1pt"/>
          </v:shape>
        </w:pict>
      </w:r>
    </w:p>
    <w:p w:rsidR="00B0237D" w:rsidRPr="00B6647E" w:rsidRDefault="00B0237D" w:rsidP="00A65E41">
      <w:pPr>
        <w:pStyle w:val="Titre2"/>
        <w:keepNext w:val="0"/>
        <w:numPr>
          <w:ilvl w:val="1"/>
          <w:numId w:val="1"/>
        </w:numPr>
        <w:spacing w:before="240" w:after="200"/>
        <w:ind w:left="0" w:firstLine="0"/>
        <w:rPr>
          <w:rFonts w:cs="Arial"/>
          <w:u w:val="dotDash"/>
        </w:rPr>
      </w:pPr>
      <w:bookmarkStart w:id="194" w:name="_Toc354313848"/>
      <w:r w:rsidRPr="00B6647E">
        <w:rPr>
          <w:rFonts w:cs="Arial"/>
          <w:u w:val="dotDash"/>
        </w:rPr>
        <w:t>Superficie des exploitations</w:t>
      </w:r>
      <w:bookmarkEnd w:id="194"/>
    </w:p>
    <w:p w:rsidR="00044930" w:rsidRPr="00B6647E" w:rsidRDefault="00044930" w:rsidP="00A65E41">
      <w:pPr>
        <w:pStyle w:val="Titre3"/>
        <w:keepNext w:val="0"/>
        <w:numPr>
          <w:ilvl w:val="2"/>
          <w:numId w:val="1"/>
        </w:numPr>
        <w:spacing w:before="200" w:after="120"/>
        <w:ind w:left="0" w:firstLine="0"/>
        <w:rPr>
          <w:rFonts w:cs="Arial"/>
          <w:szCs w:val="20"/>
        </w:rPr>
      </w:pPr>
      <w:bookmarkStart w:id="195" w:name="_Toc354313849"/>
      <w:r w:rsidRPr="00B6647E">
        <w:rPr>
          <w:rFonts w:cs="Arial"/>
          <w:szCs w:val="20"/>
        </w:rPr>
        <w:t>Superficie totale</w:t>
      </w:r>
      <w:bookmarkEnd w:id="195"/>
    </w:p>
    <w:p w:rsidR="00F3137D" w:rsidRPr="00B6647E" w:rsidRDefault="00B252FE" w:rsidP="00F80A9B">
      <w:pPr>
        <w:spacing w:line="240" w:lineRule="auto"/>
        <w:jc w:val="both"/>
        <w:rPr>
          <w:rFonts w:ascii="Arial" w:hAnsi="Arial" w:cs="Arial"/>
          <w:sz w:val="20"/>
          <w:szCs w:val="20"/>
          <w:lang w:eastAsia="fr-FR"/>
        </w:rPr>
      </w:pPr>
      <w:r w:rsidRPr="00B6647E">
        <w:rPr>
          <w:rFonts w:ascii="Arial" w:hAnsi="Arial" w:cs="Arial"/>
          <w:sz w:val="20"/>
          <w:szCs w:val="20"/>
          <w:lang w:eastAsia="fr-FR"/>
        </w:rPr>
        <w:t>La superficie totale des exploitations a été estimée en 2012 à 803.422 ha. Elle est composée principalement de 623.242 ha de superficie physique cultivée pendant les saisons A, B et C, soit 77,6% de la superficie totale de</w:t>
      </w:r>
      <w:r w:rsidR="001D3008" w:rsidRPr="00B6647E">
        <w:rPr>
          <w:rFonts w:ascii="Arial" w:hAnsi="Arial" w:cs="Arial"/>
          <w:sz w:val="20"/>
          <w:szCs w:val="20"/>
          <w:lang w:eastAsia="fr-FR"/>
        </w:rPr>
        <w:t xml:space="preserve">s </w:t>
      </w:r>
      <w:r w:rsidRPr="00B6647E">
        <w:rPr>
          <w:rFonts w:ascii="Arial" w:hAnsi="Arial" w:cs="Arial"/>
          <w:sz w:val="20"/>
          <w:szCs w:val="20"/>
          <w:lang w:eastAsia="fr-FR"/>
        </w:rPr>
        <w:t>exploitation</w:t>
      </w:r>
      <w:r w:rsidR="001D3008" w:rsidRPr="00B6647E">
        <w:rPr>
          <w:rFonts w:ascii="Arial" w:hAnsi="Arial" w:cs="Arial"/>
          <w:sz w:val="20"/>
          <w:szCs w:val="20"/>
          <w:lang w:eastAsia="fr-FR"/>
        </w:rPr>
        <w:t>s</w:t>
      </w:r>
      <w:r w:rsidRPr="00B6647E">
        <w:rPr>
          <w:rFonts w:ascii="Arial" w:hAnsi="Arial" w:cs="Arial"/>
          <w:sz w:val="20"/>
          <w:szCs w:val="20"/>
          <w:lang w:eastAsia="fr-FR"/>
        </w:rPr>
        <w:t xml:space="preserve">. </w:t>
      </w:r>
    </w:p>
    <w:p w:rsidR="00B252FE" w:rsidRPr="00B6647E" w:rsidRDefault="00B252FE" w:rsidP="00F80A9B">
      <w:pPr>
        <w:spacing w:line="240" w:lineRule="auto"/>
        <w:jc w:val="both"/>
        <w:rPr>
          <w:rFonts w:ascii="Arial" w:hAnsi="Arial" w:cs="Arial"/>
          <w:sz w:val="20"/>
          <w:szCs w:val="20"/>
          <w:lang w:eastAsia="fr-FR"/>
        </w:rPr>
      </w:pPr>
      <w:r w:rsidRPr="00B6647E">
        <w:rPr>
          <w:rFonts w:ascii="Arial" w:hAnsi="Arial" w:cs="Arial"/>
          <w:sz w:val="20"/>
          <w:szCs w:val="20"/>
          <w:lang w:eastAsia="fr-FR"/>
        </w:rPr>
        <w:t xml:space="preserve">Les autres composantes sont : Les jachères avec 63.612 ha (7,9% de la superficie totale des exploitations), </w:t>
      </w:r>
      <w:r w:rsidR="00F80A9B" w:rsidRPr="00B6647E">
        <w:rPr>
          <w:rFonts w:ascii="Arial" w:hAnsi="Arial" w:cs="Arial"/>
          <w:sz w:val="20"/>
          <w:szCs w:val="20"/>
          <w:lang w:eastAsia="fr-FR"/>
        </w:rPr>
        <w:t>les prairies</w:t>
      </w:r>
      <w:r w:rsidRPr="00B6647E">
        <w:rPr>
          <w:rFonts w:ascii="Arial" w:hAnsi="Arial" w:cs="Arial"/>
          <w:sz w:val="20"/>
          <w:szCs w:val="20"/>
          <w:lang w:eastAsia="fr-FR"/>
        </w:rPr>
        <w:t xml:space="preserve"> et pâturages occupant 59.584 ha (7,4%), les boisements </w:t>
      </w:r>
      <w:r w:rsidR="00F80A9B" w:rsidRPr="00B6647E">
        <w:rPr>
          <w:rFonts w:ascii="Arial" w:hAnsi="Arial" w:cs="Arial"/>
          <w:sz w:val="20"/>
          <w:szCs w:val="20"/>
          <w:lang w:eastAsia="fr-FR"/>
        </w:rPr>
        <w:t>sur 56.871 ha (7,1%) et les étangs avec 114 ha ne représentent que 0,01% de la superficie totale des exploitations.</w:t>
      </w:r>
    </w:p>
    <w:p w:rsidR="00D66C7C" w:rsidRPr="00B6647E" w:rsidRDefault="0039155C" w:rsidP="0039155C">
      <w:pPr>
        <w:pStyle w:val="Lgende"/>
        <w:spacing w:before="200" w:after="120"/>
        <w:rPr>
          <w:rFonts w:ascii="Arial" w:hAnsi="Arial" w:cs="Arial"/>
        </w:rPr>
      </w:pPr>
      <w:r w:rsidRPr="00B6647E">
        <w:rPr>
          <w:rFonts w:ascii="Arial" w:hAnsi="Arial" w:cs="Arial"/>
        </w:rPr>
        <w:t xml:space="preserve">Tableau </w:t>
      </w:r>
      <w:r w:rsidR="00CC4FFD">
        <w:rPr>
          <w:rFonts w:ascii="Arial" w:hAnsi="Arial" w:cs="Arial"/>
        </w:rPr>
        <w:t>2</w:t>
      </w:r>
      <w:r w:rsidRPr="00B6647E">
        <w:rPr>
          <w:rFonts w:ascii="Arial" w:hAnsi="Arial" w:cs="Arial"/>
        </w:rPr>
        <w:t>1</w:t>
      </w:r>
      <w:r w:rsidR="00D66C7C" w:rsidRPr="00B6647E">
        <w:rPr>
          <w:rFonts w:ascii="Arial" w:hAnsi="Arial" w:cs="Arial"/>
        </w:rPr>
        <w:t> : superficie totale des exploitations par composante et par province</w:t>
      </w:r>
    </w:p>
    <w:p w:rsidR="007D26E2" w:rsidRPr="00B6647E" w:rsidRDefault="00A71860" w:rsidP="00A71860">
      <w:pPr>
        <w:spacing w:line="240" w:lineRule="auto"/>
        <w:rPr>
          <w:rFonts w:ascii="Arial" w:hAnsi="Arial" w:cs="Arial"/>
          <w:sz w:val="20"/>
          <w:szCs w:val="20"/>
          <w:lang w:eastAsia="fr-FR"/>
        </w:rPr>
      </w:pPr>
      <w:r w:rsidRPr="00B6647E">
        <w:rPr>
          <w:noProof/>
          <w:szCs w:val="20"/>
          <w:lang w:val="fr-FR" w:eastAsia="fr-FR"/>
        </w:rPr>
        <w:drawing>
          <wp:inline distT="0" distB="0" distL="0" distR="0">
            <wp:extent cx="5731510" cy="3907455"/>
            <wp:effectExtent l="19050" t="0" r="2540" b="0"/>
            <wp:docPr id="22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5731510" cy="3907455"/>
                    </a:xfrm>
                    <a:prstGeom prst="rect">
                      <a:avLst/>
                    </a:prstGeom>
                    <a:noFill/>
                    <a:ln w="9525">
                      <a:noFill/>
                      <a:miter lim="800000"/>
                      <a:headEnd/>
                      <a:tailEnd/>
                    </a:ln>
                  </pic:spPr>
                </pic:pic>
              </a:graphicData>
            </a:graphic>
          </wp:inline>
        </w:drawing>
      </w:r>
    </w:p>
    <w:p w:rsidR="00F3137D" w:rsidRPr="00B6647E" w:rsidRDefault="00F3137D" w:rsidP="00F3137D">
      <w:pPr>
        <w:spacing w:line="240" w:lineRule="auto"/>
        <w:jc w:val="both"/>
        <w:rPr>
          <w:rFonts w:ascii="Arial" w:hAnsi="Arial" w:cs="Arial"/>
          <w:sz w:val="20"/>
          <w:szCs w:val="20"/>
          <w:lang w:eastAsia="fr-FR"/>
        </w:rPr>
      </w:pPr>
      <w:r w:rsidRPr="00B6647E">
        <w:rPr>
          <w:rFonts w:ascii="Arial" w:hAnsi="Arial" w:cs="Arial"/>
          <w:sz w:val="20"/>
          <w:szCs w:val="20"/>
          <w:lang w:eastAsia="fr-FR"/>
        </w:rPr>
        <w:t>Au niveau provincial, les plus grandes superficies ont été enregistrées dans Makamba (79.383 ha, soit 9,9% de l’ensemble des exploitations), Kirundo (78.828 ha, soit 9,8%), Ruyigi (73.683 ha, soit 9,2%), Bururi (73.586 ha, soit 9,2%) et Muyinga (67.189 ha, soit 8,4%).</w:t>
      </w:r>
    </w:p>
    <w:p w:rsidR="00F3137D" w:rsidRPr="00B6647E" w:rsidRDefault="00F3137D" w:rsidP="00F3137D">
      <w:pPr>
        <w:spacing w:after="120" w:line="240" w:lineRule="auto"/>
        <w:jc w:val="both"/>
        <w:rPr>
          <w:rFonts w:ascii="Arial" w:hAnsi="Arial" w:cs="Arial"/>
          <w:sz w:val="20"/>
          <w:szCs w:val="20"/>
        </w:rPr>
      </w:pPr>
      <w:r w:rsidRPr="00B6647E">
        <w:rPr>
          <w:rFonts w:ascii="Arial" w:hAnsi="Arial" w:cs="Arial"/>
          <w:sz w:val="20"/>
          <w:szCs w:val="20"/>
        </w:rPr>
        <w:t>La superficie moyenne des exploitations par ménage a été estimée à 0,516 ha au cours de la campagne agricole 2011-2012. Cette superficie moyenne est composée de 0,4 ha de superficie physique totale cultivée pendant les trois saisons, de 0,041 ha occupés par des jachères, de 0,038 ha de prairies et pâturages, de 0,037 ha de boisements et à peine un mètre carré d’étang piscicole.</w:t>
      </w:r>
    </w:p>
    <w:p w:rsidR="00F3137D" w:rsidRPr="00B6647E" w:rsidRDefault="00F3137D" w:rsidP="00F3137D">
      <w:pPr>
        <w:spacing w:after="120" w:line="240" w:lineRule="auto"/>
        <w:jc w:val="both"/>
        <w:rPr>
          <w:rFonts w:ascii="Arial" w:hAnsi="Arial" w:cs="Arial"/>
          <w:sz w:val="20"/>
          <w:szCs w:val="20"/>
        </w:rPr>
      </w:pPr>
      <w:r w:rsidRPr="00B6647E">
        <w:rPr>
          <w:rFonts w:ascii="Arial" w:hAnsi="Arial" w:cs="Arial"/>
          <w:sz w:val="20"/>
          <w:szCs w:val="20"/>
        </w:rPr>
        <w:t>On note qu’il y</w:t>
      </w:r>
      <w:r w:rsidR="007A1DC3">
        <w:rPr>
          <w:rFonts w:ascii="Arial" w:hAnsi="Arial" w:cs="Arial"/>
          <w:sz w:val="20"/>
          <w:szCs w:val="20"/>
        </w:rPr>
        <w:t xml:space="preserve"> </w:t>
      </w:r>
      <w:r w:rsidRPr="00B6647E">
        <w:rPr>
          <w:rFonts w:ascii="Arial" w:hAnsi="Arial" w:cs="Arial"/>
          <w:sz w:val="20"/>
          <w:szCs w:val="20"/>
        </w:rPr>
        <w:t>a quatre provinces qui ont des superficies moyennes des exploitations par ménages supérieures à la moyenne nationale : Cankuzo (1,07 ha), Makamba (1,01 ha), Ruyigi (0,849 ha) et Bururi (0,687 ha). Deux ont des superficies pratiquement égales à la moyenne nationale : Kayanza (0,521 ha) et Kirundo (0,519 ha).</w:t>
      </w:r>
    </w:p>
    <w:p w:rsidR="00C12594" w:rsidRPr="00B6647E" w:rsidRDefault="00C12594" w:rsidP="00F3137D">
      <w:pPr>
        <w:spacing w:line="240" w:lineRule="auto"/>
        <w:jc w:val="both"/>
        <w:rPr>
          <w:rFonts w:ascii="Arial" w:hAnsi="Arial" w:cs="Arial"/>
          <w:sz w:val="20"/>
          <w:szCs w:val="20"/>
          <w:lang w:eastAsia="fr-FR"/>
        </w:rPr>
      </w:pPr>
    </w:p>
    <w:p w:rsidR="00763734" w:rsidRPr="00B6647E" w:rsidRDefault="00763734" w:rsidP="00F3137D">
      <w:pPr>
        <w:spacing w:line="240" w:lineRule="auto"/>
        <w:jc w:val="both"/>
        <w:rPr>
          <w:rFonts w:ascii="Arial" w:hAnsi="Arial" w:cs="Arial"/>
          <w:b/>
          <w:sz w:val="20"/>
          <w:szCs w:val="20"/>
          <w:lang w:eastAsia="fr-FR"/>
        </w:rPr>
      </w:pPr>
    </w:p>
    <w:p w:rsidR="00F3137D" w:rsidRPr="00B6647E" w:rsidRDefault="00F3137D" w:rsidP="00F3137D">
      <w:pPr>
        <w:spacing w:line="240" w:lineRule="auto"/>
        <w:jc w:val="both"/>
        <w:rPr>
          <w:rFonts w:ascii="Arial" w:hAnsi="Arial" w:cs="Arial"/>
          <w:b/>
          <w:sz w:val="20"/>
          <w:szCs w:val="20"/>
          <w:lang w:eastAsia="fr-FR"/>
        </w:rPr>
      </w:pPr>
      <w:r w:rsidRPr="00B6647E">
        <w:rPr>
          <w:rFonts w:ascii="Arial" w:hAnsi="Arial" w:cs="Arial"/>
          <w:b/>
          <w:sz w:val="20"/>
          <w:szCs w:val="20"/>
          <w:lang w:eastAsia="fr-FR"/>
        </w:rPr>
        <w:lastRenderedPageBreak/>
        <w:t xml:space="preserve">Graphique </w:t>
      </w:r>
      <w:r w:rsidR="005F5570" w:rsidRPr="00B6647E">
        <w:rPr>
          <w:rFonts w:ascii="Arial" w:hAnsi="Arial" w:cs="Arial"/>
          <w:b/>
          <w:sz w:val="20"/>
          <w:szCs w:val="20"/>
          <w:lang w:eastAsia="fr-FR"/>
        </w:rPr>
        <w:t>05</w:t>
      </w:r>
      <w:r w:rsidRPr="00B6647E">
        <w:rPr>
          <w:rFonts w:ascii="Arial" w:hAnsi="Arial" w:cs="Arial"/>
          <w:b/>
          <w:sz w:val="20"/>
          <w:szCs w:val="20"/>
          <w:lang w:eastAsia="fr-FR"/>
        </w:rPr>
        <w:t> : Superficies totales des composantes des exploitations</w:t>
      </w:r>
    </w:p>
    <w:p w:rsidR="00F3137D" w:rsidRPr="00B6647E" w:rsidRDefault="00F3137D" w:rsidP="00F3137D">
      <w:pPr>
        <w:spacing w:line="240" w:lineRule="auto"/>
        <w:rPr>
          <w:rFonts w:ascii="Arial" w:hAnsi="Arial" w:cs="Arial"/>
          <w:lang w:eastAsia="fr-FR"/>
        </w:rPr>
      </w:pPr>
      <w:r w:rsidRPr="00B6647E">
        <w:rPr>
          <w:noProof/>
          <w:lang w:val="fr-FR" w:eastAsia="fr-FR"/>
        </w:rPr>
        <w:drawing>
          <wp:inline distT="0" distB="0" distL="0" distR="0">
            <wp:extent cx="5763358" cy="3067050"/>
            <wp:effectExtent l="19050" t="0" r="8792" b="0"/>
            <wp:docPr id="18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5763358" cy="3067050"/>
                    </a:xfrm>
                    <a:prstGeom prst="rect">
                      <a:avLst/>
                    </a:prstGeom>
                    <a:noFill/>
                    <a:ln w="9525">
                      <a:noFill/>
                      <a:miter lim="800000"/>
                      <a:headEnd/>
                      <a:tailEnd/>
                    </a:ln>
                  </pic:spPr>
                </pic:pic>
              </a:graphicData>
            </a:graphic>
          </wp:inline>
        </w:drawing>
      </w:r>
    </w:p>
    <w:p w:rsidR="00C12594" w:rsidRPr="00B6647E" w:rsidRDefault="00C12594" w:rsidP="00C12594">
      <w:pPr>
        <w:spacing w:after="120" w:line="240" w:lineRule="auto"/>
        <w:jc w:val="both"/>
        <w:rPr>
          <w:rFonts w:ascii="Arial" w:hAnsi="Arial" w:cs="Arial"/>
          <w:sz w:val="20"/>
          <w:szCs w:val="20"/>
        </w:rPr>
      </w:pPr>
      <w:r w:rsidRPr="00B6647E">
        <w:rPr>
          <w:rFonts w:ascii="Arial" w:hAnsi="Arial" w:cs="Arial"/>
          <w:sz w:val="20"/>
          <w:szCs w:val="20"/>
        </w:rPr>
        <w:t>Au bas de l’échelle des superficies moyennes des exploitations par ménage, on trouve les provinces de : Bubanza (0,329 ha), Bujumbura rural (0,332 ha), Muramvya (0,337 ha), Ngozi (0,37  ha), Gitega (0,373 ha) et Mwaro (0,373 ha).</w:t>
      </w:r>
    </w:p>
    <w:p w:rsidR="00AF1508" w:rsidRPr="00B6647E" w:rsidRDefault="00AF1508" w:rsidP="0039155C">
      <w:pPr>
        <w:pStyle w:val="Lgende"/>
        <w:spacing w:before="200" w:after="120"/>
        <w:rPr>
          <w:rFonts w:ascii="Arial" w:hAnsi="Arial" w:cs="Arial"/>
        </w:rPr>
      </w:pPr>
      <w:r w:rsidRPr="00B6647E">
        <w:rPr>
          <w:rFonts w:ascii="Arial" w:hAnsi="Arial" w:cs="Arial"/>
        </w:rPr>
        <w:t xml:space="preserve">Tableau </w:t>
      </w:r>
      <w:r w:rsidR="00CC4FFD">
        <w:rPr>
          <w:rFonts w:ascii="Arial" w:hAnsi="Arial" w:cs="Arial"/>
        </w:rPr>
        <w:t>22</w:t>
      </w:r>
      <w:r w:rsidRPr="00B6647E">
        <w:rPr>
          <w:rFonts w:ascii="Arial" w:hAnsi="Arial" w:cs="Arial"/>
        </w:rPr>
        <w:t xml:space="preserve"> : Superficie moyenne </w:t>
      </w:r>
      <w:r w:rsidR="001C47B7" w:rsidRPr="00B6647E">
        <w:rPr>
          <w:rFonts w:ascii="Arial" w:hAnsi="Arial" w:cs="Arial"/>
        </w:rPr>
        <w:t xml:space="preserve">par ménage </w:t>
      </w:r>
      <w:r w:rsidRPr="00B6647E">
        <w:rPr>
          <w:rFonts w:ascii="Arial" w:hAnsi="Arial" w:cs="Arial"/>
        </w:rPr>
        <w:t>des composantes des exploitations</w:t>
      </w:r>
    </w:p>
    <w:p w:rsidR="007D26E2" w:rsidRPr="00B6647E" w:rsidRDefault="001533FF" w:rsidP="00B972FA">
      <w:pPr>
        <w:jc w:val="both"/>
        <w:rPr>
          <w:rFonts w:ascii="Arial" w:hAnsi="Arial" w:cs="Arial"/>
          <w:i/>
        </w:rPr>
      </w:pPr>
      <w:r w:rsidRPr="00B6647E">
        <w:rPr>
          <w:noProof/>
          <w:lang w:val="fr-FR" w:eastAsia="fr-FR"/>
        </w:rPr>
        <w:drawing>
          <wp:inline distT="0" distB="0" distL="0" distR="0">
            <wp:extent cx="5543550" cy="4324350"/>
            <wp:effectExtent l="19050" t="0" r="0" b="0"/>
            <wp:docPr id="2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srcRect/>
                    <a:stretch>
                      <a:fillRect/>
                    </a:stretch>
                  </pic:blipFill>
                  <pic:spPr bwMode="auto">
                    <a:xfrm>
                      <a:off x="0" y="0"/>
                      <a:ext cx="5543550" cy="4324350"/>
                    </a:xfrm>
                    <a:prstGeom prst="rect">
                      <a:avLst/>
                    </a:prstGeom>
                    <a:noFill/>
                    <a:ln w="9525">
                      <a:noFill/>
                      <a:miter lim="800000"/>
                      <a:headEnd/>
                      <a:tailEnd/>
                    </a:ln>
                  </pic:spPr>
                </pic:pic>
              </a:graphicData>
            </a:graphic>
          </wp:inline>
        </w:drawing>
      </w:r>
    </w:p>
    <w:p w:rsidR="00C12594" w:rsidRPr="00B6647E" w:rsidRDefault="00C12594" w:rsidP="00A65E41">
      <w:pPr>
        <w:pStyle w:val="Titre3"/>
        <w:keepNext w:val="0"/>
        <w:numPr>
          <w:ilvl w:val="2"/>
          <w:numId w:val="1"/>
        </w:numPr>
        <w:spacing w:before="200" w:after="120"/>
        <w:ind w:left="0" w:firstLine="0"/>
        <w:rPr>
          <w:rFonts w:cs="Arial"/>
          <w:szCs w:val="20"/>
        </w:rPr>
      </w:pPr>
      <w:bookmarkStart w:id="196" w:name="_Toc354313850"/>
      <w:r w:rsidRPr="00B6647E">
        <w:rPr>
          <w:rFonts w:cs="Arial"/>
          <w:szCs w:val="20"/>
        </w:rPr>
        <w:lastRenderedPageBreak/>
        <w:t>Superficie totale physique cultivée</w:t>
      </w:r>
      <w:bookmarkEnd w:id="196"/>
    </w:p>
    <w:p w:rsidR="00C12594" w:rsidRPr="00B6647E" w:rsidRDefault="00C12594" w:rsidP="00C12594">
      <w:pPr>
        <w:spacing w:after="120" w:line="240" w:lineRule="auto"/>
        <w:jc w:val="both"/>
        <w:rPr>
          <w:rFonts w:ascii="Arial" w:hAnsi="Arial" w:cs="Arial"/>
          <w:sz w:val="20"/>
          <w:szCs w:val="20"/>
        </w:rPr>
      </w:pPr>
      <w:r w:rsidRPr="00B6647E">
        <w:rPr>
          <w:rFonts w:ascii="Arial" w:hAnsi="Arial" w:cs="Arial"/>
          <w:sz w:val="20"/>
          <w:szCs w:val="20"/>
        </w:rPr>
        <w:t xml:space="preserve">Au cours de la campagne agricole 2011-2012, les superficies physiques cultivées ont été </w:t>
      </w:r>
      <w:r w:rsidR="003B0F80" w:rsidRPr="00B6647E">
        <w:rPr>
          <w:rFonts w:ascii="Arial" w:hAnsi="Arial" w:cs="Arial"/>
          <w:sz w:val="20"/>
          <w:szCs w:val="20"/>
        </w:rPr>
        <w:t>estimées</w:t>
      </w:r>
      <w:r w:rsidRPr="00B6647E">
        <w:rPr>
          <w:rFonts w:ascii="Arial" w:hAnsi="Arial" w:cs="Arial"/>
          <w:sz w:val="20"/>
          <w:szCs w:val="20"/>
        </w:rPr>
        <w:t xml:space="preserve"> à 623.242 ha. Les superficies physiques moyennes cultivées par ménage sont supérieures à la moyenne nationale (0,4 ha) dans les provinces de Makamba (0,732 ha), Ruyigi (0,69 ha), Cankuzo (0,618 ha), Kirundo (0,501 ha), Muyinga (0,416 ha) et Karuzi (0,415 ha). Elles sont inférieures à la moyenne nationale dans dix provinces parmi lesquelles les plus petites superficies ont été enregistrées dans Bubanza (0,255 ha), Bujumbura rural (0,244 ha) et Muramvya (0,249 ha), Mwaro (0,279 ha) et Ngozi (0,296 ha).</w:t>
      </w:r>
    </w:p>
    <w:p w:rsidR="00C12594" w:rsidRPr="00B6647E" w:rsidRDefault="00C12594" w:rsidP="00A65E41">
      <w:pPr>
        <w:pStyle w:val="Titre3"/>
        <w:keepNext w:val="0"/>
        <w:numPr>
          <w:ilvl w:val="2"/>
          <w:numId w:val="1"/>
        </w:numPr>
        <w:spacing w:before="200" w:after="120"/>
        <w:ind w:left="0" w:firstLine="0"/>
        <w:rPr>
          <w:rFonts w:cs="Arial"/>
          <w:szCs w:val="20"/>
        </w:rPr>
      </w:pPr>
      <w:bookmarkStart w:id="197" w:name="_Toc354313851"/>
      <w:r w:rsidRPr="00B6647E">
        <w:rPr>
          <w:rFonts w:cs="Arial"/>
          <w:szCs w:val="20"/>
        </w:rPr>
        <w:t>Superficie en jachère</w:t>
      </w:r>
      <w:bookmarkEnd w:id="197"/>
    </w:p>
    <w:p w:rsidR="00C12594" w:rsidRPr="00B6647E" w:rsidRDefault="00C12594" w:rsidP="00C12594">
      <w:pPr>
        <w:spacing w:after="120" w:line="240" w:lineRule="auto"/>
        <w:jc w:val="both"/>
        <w:rPr>
          <w:rFonts w:ascii="Arial" w:hAnsi="Arial" w:cs="Arial"/>
          <w:sz w:val="20"/>
          <w:szCs w:val="20"/>
        </w:rPr>
      </w:pPr>
      <w:r w:rsidRPr="00B6647E">
        <w:rPr>
          <w:rFonts w:ascii="Arial" w:hAnsi="Arial" w:cs="Arial"/>
          <w:sz w:val="20"/>
          <w:szCs w:val="20"/>
        </w:rPr>
        <w:t>Les superficies occupées par les jachères (63.612 ha au total) ont été principalement estimées dans les provinces de Makamba (19.874 ha correspondant à 31,2% du total des jachères), Ruyigi (10.098 ha, soit 15,9%), Cankuzo (9.043 ha, soit 14,2%) et dans une moindre mesure à Bujumbura rural (5.621 ha, soit 8,8%) et Bubanza (4.053 ha, 6,4%). A l’opposé, Mwaro (245 ha), Kirundo (522 ha), Ngozi (743 ha), Muramvya (886 ha), Gitega (949 ha) et Karuzi (1.096 ha) ont des superficies en jachère qui représentent moins de 2% de la superficie totale mis en jachère.</w:t>
      </w:r>
    </w:p>
    <w:p w:rsidR="00C12594" w:rsidRPr="00B6647E" w:rsidRDefault="00C12594" w:rsidP="00A65E41">
      <w:pPr>
        <w:pStyle w:val="Titre3"/>
        <w:keepNext w:val="0"/>
        <w:numPr>
          <w:ilvl w:val="2"/>
          <w:numId w:val="1"/>
        </w:numPr>
        <w:spacing w:before="200" w:after="120"/>
        <w:ind w:left="0" w:firstLine="0"/>
        <w:rPr>
          <w:rFonts w:cs="Arial"/>
          <w:szCs w:val="20"/>
        </w:rPr>
      </w:pPr>
      <w:bookmarkStart w:id="198" w:name="_Toc354313852"/>
      <w:r w:rsidRPr="00B6647E">
        <w:rPr>
          <w:rFonts w:cs="Arial"/>
          <w:szCs w:val="20"/>
        </w:rPr>
        <w:t>Superficie des prairies et pâturages</w:t>
      </w:r>
      <w:bookmarkEnd w:id="198"/>
    </w:p>
    <w:p w:rsidR="00C12594" w:rsidRPr="00B6647E" w:rsidRDefault="00C12594" w:rsidP="00C12594">
      <w:pPr>
        <w:spacing w:line="240" w:lineRule="auto"/>
        <w:jc w:val="both"/>
        <w:rPr>
          <w:rFonts w:ascii="Arial" w:hAnsi="Arial" w:cs="Arial"/>
          <w:sz w:val="20"/>
          <w:szCs w:val="20"/>
          <w:lang w:eastAsia="fr-FR"/>
        </w:rPr>
      </w:pPr>
      <w:r w:rsidRPr="00B6647E">
        <w:rPr>
          <w:rFonts w:ascii="Arial" w:hAnsi="Arial" w:cs="Arial"/>
          <w:sz w:val="20"/>
          <w:szCs w:val="20"/>
          <w:lang w:eastAsia="fr-FR"/>
        </w:rPr>
        <w:t>Au niveau des prairies et pâturages, sur une superficie totale de 59.584 ha, la province de Bururi vient nettement en tête avec ses 27.147 ha représentant 45,6% de la superficie totale des prairies et pâturages. Ensuite viennent loin derrière et dans l’ordre : Cankuzo (11.779 ha, soit 19,8% du total de la superficie des prairies et pâturages), Ngozi (3.888 ha, soit 6,5%), Muyinga (3.059 ha, soit 5,1%) et Kayanza (3.017 ha, soit 5,1%).A contrario, Bubanza (11 ha), Makamba (70 ha), Cibitoke (269 ha), Karuzi (342 ha) et Gitega (510 ha) ont des superficies de prairies et pâturages qui représentent moins d’un pour cent de la superficie totale des prairies et pâturages.</w:t>
      </w:r>
    </w:p>
    <w:p w:rsidR="00C12594" w:rsidRPr="00B6647E" w:rsidRDefault="00C12594" w:rsidP="00C12594">
      <w:pPr>
        <w:spacing w:line="240" w:lineRule="auto"/>
        <w:jc w:val="both"/>
        <w:rPr>
          <w:rFonts w:ascii="Arial" w:hAnsi="Arial" w:cs="Arial"/>
          <w:b/>
          <w:sz w:val="20"/>
          <w:szCs w:val="20"/>
          <w:lang w:eastAsia="fr-FR"/>
        </w:rPr>
      </w:pPr>
      <w:r w:rsidRPr="00B6647E">
        <w:rPr>
          <w:rFonts w:ascii="Arial" w:hAnsi="Arial" w:cs="Arial"/>
          <w:b/>
          <w:sz w:val="20"/>
          <w:szCs w:val="20"/>
          <w:lang w:eastAsia="fr-FR"/>
        </w:rPr>
        <w:t xml:space="preserve">Graphique </w:t>
      </w:r>
      <w:r w:rsidR="005F5570" w:rsidRPr="00B6647E">
        <w:rPr>
          <w:rFonts w:ascii="Arial" w:hAnsi="Arial" w:cs="Arial"/>
          <w:b/>
          <w:sz w:val="20"/>
          <w:szCs w:val="20"/>
          <w:lang w:eastAsia="fr-FR"/>
        </w:rPr>
        <w:t>06</w:t>
      </w:r>
      <w:r w:rsidRPr="00B6647E">
        <w:rPr>
          <w:rFonts w:ascii="Arial" w:hAnsi="Arial" w:cs="Arial"/>
          <w:b/>
          <w:sz w:val="20"/>
          <w:szCs w:val="20"/>
          <w:lang w:eastAsia="fr-FR"/>
        </w:rPr>
        <w:t> : Superficie moyenne des exploitations par ménage et par province</w:t>
      </w:r>
      <w:r w:rsidR="007A1DC3">
        <w:rPr>
          <w:rFonts w:ascii="Arial" w:hAnsi="Arial" w:cs="Arial"/>
          <w:b/>
          <w:sz w:val="20"/>
          <w:szCs w:val="20"/>
          <w:lang w:eastAsia="fr-FR"/>
        </w:rPr>
        <w:t xml:space="preserve"> (ha)</w:t>
      </w:r>
    </w:p>
    <w:p w:rsidR="00A72919" w:rsidRPr="00B6647E" w:rsidRDefault="002C0A07" w:rsidP="00B972FA">
      <w:pPr>
        <w:jc w:val="both"/>
        <w:rPr>
          <w:rFonts w:ascii="Arial" w:hAnsi="Arial" w:cs="Arial"/>
          <w:i/>
        </w:rPr>
      </w:pPr>
      <w:r w:rsidRPr="00B6647E">
        <w:rPr>
          <w:noProof/>
          <w:lang w:val="fr-FR" w:eastAsia="fr-FR"/>
        </w:rPr>
        <w:drawing>
          <wp:inline distT="0" distB="0" distL="0" distR="0">
            <wp:extent cx="5731510" cy="3532745"/>
            <wp:effectExtent l="19050" t="0" r="2540" b="0"/>
            <wp:docPr id="22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srcRect/>
                    <a:stretch>
                      <a:fillRect/>
                    </a:stretch>
                  </pic:blipFill>
                  <pic:spPr bwMode="auto">
                    <a:xfrm>
                      <a:off x="0" y="0"/>
                      <a:ext cx="5731510" cy="3532745"/>
                    </a:xfrm>
                    <a:prstGeom prst="rect">
                      <a:avLst/>
                    </a:prstGeom>
                    <a:noFill/>
                    <a:ln w="9525">
                      <a:noFill/>
                      <a:miter lim="800000"/>
                      <a:headEnd/>
                      <a:tailEnd/>
                    </a:ln>
                  </pic:spPr>
                </pic:pic>
              </a:graphicData>
            </a:graphic>
          </wp:inline>
        </w:drawing>
      </w:r>
    </w:p>
    <w:p w:rsidR="00C12594" w:rsidRPr="00B6647E" w:rsidRDefault="00C12594" w:rsidP="00A65E41">
      <w:pPr>
        <w:pStyle w:val="Titre3"/>
        <w:keepNext w:val="0"/>
        <w:numPr>
          <w:ilvl w:val="2"/>
          <w:numId w:val="1"/>
        </w:numPr>
        <w:spacing w:before="200" w:after="120"/>
        <w:ind w:left="0" w:firstLine="0"/>
        <w:rPr>
          <w:rFonts w:cs="Arial"/>
          <w:szCs w:val="20"/>
        </w:rPr>
      </w:pPr>
      <w:bookmarkStart w:id="199" w:name="_Toc354313853"/>
      <w:r w:rsidRPr="00B6647E">
        <w:rPr>
          <w:rFonts w:cs="Arial"/>
          <w:szCs w:val="20"/>
        </w:rPr>
        <w:t>Superficie des boisements</w:t>
      </w:r>
      <w:bookmarkEnd w:id="199"/>
    </w:p>
    <w:p w:rsidR="00C12594" w:rsidRPr="00B6647E" w:rsidRDefault="00C12594" w:rsidP="00C12594">
      <w:pPr>
        <w:spacing w:line="240" w:lineRule="auto"/>
        <w:jc w:val="both"/>
        <w:rPr>
          <w:rFonts w:ascii="Arial" w:hAnsi="Arial" w:cs="Arial"/>
          <w:sz w:val="20"/>
          <w:szCs w:val="20"/>
          <w:lang w:eastAsia="fr-FR"/>
        </w:rPr>
      </w:pPr>
      <w:r w:rsidRPr="00B6647E">
        <w:rPr>
          <w:rFonts w:ascii="Arial" w:hAnsi="Arial" w:cs="Arial"/>
          <w:sz w:val="20"/>
          <w:szCs w:val="20"/>
          <w:lang w:eastAsia="fr-FR"/>
        </w:rPr>
        <w:t xml:space="preserve">Sur une superficie totale de 56.871 ha occupée par les boisements, les provinces de Bururi (11.175 ha, soit 19,7% de la superficie totale des boisements) et Kayanza (10.553 ha, soit 18,6%) ont les plus grandes superficies. Viennent ensuite dans l’ordre : Gitega (7.069 ha, soit 12,4%), Ngozi (5.473 ha, soit 9,6%) et Muramvya (3.647 ha, soit 6,4%). Les provinces de Cankuzo (753 ha), Bujumbura rural </w:t>
      </w:r>
      <w:r w:rsidRPr="00B6647E">
        <w:rPr>
          <w:rFonts w:ascii="Arial" w:hAnsi="Arial" w:cs="Arial"/>
          <w:sz w:val="20"/>
          <w:szCs w:val="20"/>
          <w:lang w:eastAsia="fr-FR"/>
        </w:rPr>
        <w:lastRenderedPageBreak/>
        <w:t>(778 ha), Bubanza (910 ha), Ruyigi (1.012 ha) et Cibitoke (1.076 ha) ont enregistré les plus petites superficies totales des boisements, chacune avec moins de 2% de l’ensemble des boisements.</w:t>
      </w:r>
    </w:p>
    <w:p w:rsidR="00C12594" w:rsidRPr="00B6647E" w:rsidRDefault="00C12594" w:rsidP="00C61D89">
      <w:pPr>
        <w:pStyle w:val="Titre3"/>
        <w:keepNext w:val="0"/>
        <w:numPr>
          <w:ilvl w:val="2"/>
          <w:numId w:val="1"/>
        </w:numPr>
        <w:spacing w:before="200" w:after="120"/>
        <w:ind w:left="0" w:firstLine="0"/>
        <w:rPr>
          <w:rFonts w:cs="Arial"/>
          <w:szCs w:val="20"/>
        </w:rPr>
      </w:pPr>
      <w:bookmarkStart w:id="200" w:name="_Toc354313854"/>
      <w:r w:rsidRPr="00B6647E">
        <w:rPr>
          <w:rFonts w:cs="Arial"/>
          <w:szCs w:val="20"/>
        </w:rPr>
        <w:t>Superficie des étangs piscicoles</w:t>
      </w:r>
      <w:bookmarkEnd w:id="200"/>
    </w:p>
    <w:p w:rsidR="00C12594" w:rsidRPr="00B6647E" w:rsidRDefault="00C12594" w:rsidP="00C12594">
      <w:pPr>
        <w:spacing w:line="240" w:lineRule="auto"/>
        <w:jc w:val="both"/>
        <w:rPr>
          <w:rFonts w:ascii="Arial" w:hAnsi="Arial" w:cs="Arial"/>
          <w:sz w:val="20"/>
          <w:szCs w:val="20"/>
          <w:lang w:eastAsia="fr-FR"/>
        </w:rPr>
      </w:pPr>
      <w:r w:rsidRPr="00B6647E">
        <w:rPr>
          <w:rFonts w:ascii="Arial" w:hAnsi="Arial" w:cs="Arial"/>
          <w:sz w:val="20"/>
          <w:szCs w:val="20"/>
          <w:lang w:eastAsia="fr-FR"/>
        </w:rPr>
        <w:t>Sur une superficie total estimée à 114 ha, les étangs piscicoles n’ont été observés que dans les provinces de Bujumbura rural (42 ha), Ruyigi (28 ha), Makamba (26 ha) Rutana (13 ha) et Bubanza (5 ha).</w:t>
      </w:r>
    </w:p>
    <w:p w:rsidR="0044561E" w:rsidRPr="00B6647E" w:rsidRDefault="0044561E" w:rsidP="0044561E">
      <w:pPr>
        <w:pStyle w:val="Titre3"/>
        <w:keepNext w:val="0"/>
        <w:numPr>
          <w:ilvl w:val="2"/>
          <w:numId w:val="1"/>
        </w:numPr>
        <w:spacing w:before="200" w:after="120"/>
        <w:ind w:left="0" w:firstLine="0"/>
        <w:rPr>
          <w:rFonts w:cs="Arial"/>
          <w:szCs w:val="20"/>
        </w:rPr>
      </w:pPr>
      <w:bookmarkStart w:id="201" w:name="_Toc354313855"/>
      <w:r w:rsidRPr="00B6647E">
        <w:rPr>
          <w:rFonts w:cs="Arial"/>
          <w:szCs w:val="20"/>
        </w:rPr>
        <w:t>Taux d’exploitation des sols</w:t>
      </w:r>
      <w:bookmarkEnd w:id="201"/>
    </w:p>
    <w:p w:rsidR="0044561E" w:rsidRPr="00B6647E" w:rsidRDefault="007433D4" w:rsidP="007433D4">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t>Au niveau national, l</w:t>
      </w:r>
      <w:r w:rsidR="0044561E" w:rsidRPr="00B6647E">
        <w:rPr>
          <w:rFonts w:ascii="Arial" w:hAnsi="Arial" w:cs="Arial"/>
          <w:sz w:val="20"/>
          <w:szCs w:val="20"/>
          <w:lang w:val="fr-FR" w:eastAsia="fr-FR"/>
        </w:rPr>
        <w:t>e taux d’exploitat</w:t>
      </w:r>
      <w:r w:rsidRPr="00B6647E">
        <w:rPr>
          <w:rFonts w:ascii="Arial" w:hAnsi="Arial" w:cs="Arial"/>
          <w:sz w:val="20"/>
          <w:szCs w:val="20"/>
          <w:lang w:val="fr-FR" w:eastAsia="fr-FR"/>
        </w:rPr>
        <w:t>i</w:t>
      </w:r>
      <w:r w:rsidR="0044561E" w:rsidRPr="00B6647E">
        <w:rPr>
          <w:rFonts w:ascii="Arial" w:hAnsi="Arial" w:cs="Arial"/>
          <w:sz w:val="20"/>
          <w:szCs w:val="20"/>
          <w:lang w:val="fr-FR" w:eastAsia="fr-FR"/>
        </w:rPr>
        <w:t xml:space="preserve">on des sols </w:t>
      </w:r>
      <w:r w:rsidRPr="00B6647E">
        <w:rPr>
          <w:rFonts w:ascii="Arial" w:hAnsi="Arial" w:cs="Arial"/>
          <w:sz w:val="20"/>
          <w:szCs w:val="20"/>
          <w:lang w:eastAsia="fr-FR"/>
        </w:rPr>
        <w:t>(la superficie totale des exploitations de la province sur la superficie totale de la province)</w:t>
      </w:r>
      <w:r w:rsidRPr="00B6647E">
        <w:rPr>
          <w:rFonts w:ascii="Arial" w:hAnsi="Arial" w:cs="Arial"/>
          <w:sz w:val="20"/>
          <w:szCs w:val="20"/>
          <w:lang w:val="fr-FR" w:eastAsia="fr-FR"/>
        </w:rPr>
        <w:t xml:space="preserve"> est</w:t>
      </w:r>
      <w:r w:rsidR="0044561E" w:rsidRPr="00B6647E">
        <w:rPr>
          <w:rFonts w:ascii="Arial" w:hAnsi="Arial" w:cs="Arial"/>
          <w:sz w:val="20"/>
          <w:szCs w:val="20"/>
          <w:lang w:val="fr-FR" w:eastAsia="fr-FR"/>
        </w:rPr>
        <w:t xml:space="preserve"> estimé </w:t>
      </w:r>
      <w:r w:rsidRPr="00B6647E">
        <w:rPr>
          <w:rFonts w:ascii="Arial" w:hAnsi="Arial" w:cs="Arial"/>
          <w:sz w:val="20"/>
          <w:szCs w:val="20"/>
          <w:lang w:val="fr-FR" w:eastAsia="fr-FR"/>
        </w:rPr>
        <w:t>à 31,1%. Il est supérieur à 20% dans toutes les provinces sauf à Rutana (16,6%).</w:t>
      </w:r>
    </w:p>
    <w:p w:rsidR="00236A90" w:rsidRPr="00B6647E" w:rsidRDefault="00236A90" w:rsidP="00236A90">
      <w:pPr>
        <w:pStyle w:val="Lgende"/>
        <w:spacing w:before="200" w:after="120"/>
        <w:rPr>
          <w:rFonts w:ascii="Arial" w:hAnsi="Arial" w:cs="Arial"/>
        </w:rPr>
      </w:pPr>
      <w:r w:rsidRPr="00B6647E">
        <w:rPr>
          <w:rFonts w:ascii="Arial" w:hAnsi="Arial" w:cs="Arial"/>
        </w:rPr>
        <w:t xml:space="preserve">Tableau </w:t>
      </w:r>
      <w:r w:rsidR="00CC4FFD">
        <w:rPr>
          <w:rFonts w:ascii="Arial" w:hAnsi="Arial" w:cs="Arial"/>
        </w:rPr>
        <w:t>23</w:t>
      </w:r>
      <w:r w:rsidRPr="00B6647E">
        <w:rPr>
          <w:rFonts w:ascii="Arial" w:hAnsi="Arial" w:cs="Arial"/>
        </w:rPr>
        <w:t> : Taux d’exploitation des sols par province</w:t>
      </w:r>
    </w:p>
    <w:p w:rsidR="0044561E" w:rsidRDefault="00460F10" w:rsidP="007A1DC3">
      <w:pPr>
        <w:spacing w:line="240" w:lineRule="auto"/>
        <w:jc w:val="both"/>
        <w:rPr>
          <w:rFonts w:ascii="Arial" w:hAnsi="Arial" w:cs="Arial"/>
          <w:sz w:val="20"/>
          <w:szCs w:val="20"/>
          <w:lang w:eastAsia="fr-FR"/>
        </w:rPr>
      </w:pPr>
      <w:r w:rsidRPr="00460F10">
        <w:rPr>
          <w:noProof/>
          <w:szCs w:val="20"/>
          <w:lang w:val="fr-FR" w:eastAsia="fr-FR"/>
        </w:rPr>
        <w:drawing>
          <wp:inline distT="0" distB="0" distL="0" distR="0">
            <wp:extent cx="3143250" cy="4191000"/>
            <wp:effectExtent l="19050" t="0" r="0" b="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3143250" cy="4191000"/>
                    </a:xfrm>
                    <a:prstGeom prst="rect">
                      <a:avLst/>
                    </a:prstGeom>
                    <a:noFill/>
                    <a:ln w="9525">
                      <a:noFill/>
                      <a:miter lim="800000"/>
                      <a:headEnd/>
                      <a:tailEnd/>
                    </a:ln>
                  </pic:spPr>
                </pic:pic>
              </a:graphicData>
            </a:graphic>
          </wp:inline>
        </w:drawing>
      </w:r>
    </w:p>
    <w:p w:rsidR="007A1DC3" w:rsidRPr="00B6647E" w:rsidRDefault="007A1DC3" w:rsidP="007A1DC3">
      <w:pPr>
        <w:spacing w:line="240" w:lineRule="auto"/>
        <w:jc w:val="both"/>
        <w:rPr>
          <w:rFonts w:ascii="Arial" w:hAnsi="Arial" w:cs="Arial"/>
          <w:sz w:val="20"/>
          <w:szCs w:val="20"/>
          <w:lang w:eastAsia="fr-FR"/>
        </w:rPr>
      </w:pPr>
    </w:p>
    <w:p w:rsidR="00236A90" w:rsidRPr="00B6647E" w:rsidRDefault="007433D4" w:rsidP="00C12594">
      <w:pPr>
        <w:spacing w:line="240" w:lineRule="auto"/>
        <w:jc w:val="both"/>
        <w:rPr>
          <w:rFonts w:ascii="Arial" w:hAnsi="Arial" w:cs="Arial"/>
          <w:sz w:val="20"/>
          <w:szCs w:val="20"/>
          <w:lang w:eastAsia="fr-FR"/>
        </w:rPr>
      </w:pPr>
      <w:r w:rsidRPr="00B6647E">
        <w:rPr>
          <w:rFonts w:ascii="Arial" w:hAnsi="Arial" w:cs="Arial"/>
          <w:sz w:val="20"/>
          <w:szCs w:val="20"/>
          <w:lang w:eastAsia="fr-FR"/>
        </w:rPr>
        <w:t>Le taux d’exploitation du sol le plus élevé a été estimé dans la</w:t>
      </w:r>
      <w:r w:rsidR="00CD4955" w:rsidRPr="00B6647E">
        <w:rPr>
          <w:rFonts w:ascii="Arial" w:hAnsi="Arial" w:cs="Arial"/>
          <w:sz w:val="20"/>
          <w:szCs w:val="20"/>
          <w:lang w:eastAsia="fr-FR"/>
        </w:rPr>
        <w:t xml:space="preserve"> province de Kayanza (50,5%</w:t>
      </w:r>
      <w:r w:rsidRPr="00B6647E">
        <w:rPr>
          <w:rFonts w:ascii="Arial" w:hAnsi="Arial" w:cs="Arial"/>
          <w:sz w:val="20"/>
          <w:szCs w:val="20"/>
          <w:lang w:eastAsia="fr-FR"/>
        </w:rPr>
        <w:t xml:space="preserve">. Viennent ensuite dans l’ordre : </w:t>
      </w:r>
      <w:r w:rsidR="00CD4955" w:rsidRPr="00B6647E">
        <w:rPr>
          <w:rFonts w:ascii="Arial" w:hAnsi="Arial" w:cs="Arial"/>
          <w:sz w:val="20"/>
          <w:szCs w:val="20"/>
          <w:lang w:eastAsia="fr-FR"/>
        </w:rPr>
        <w:t>Kirundo (46,3%)</w:t>
      </w:r>
      <w:r w:rsidRPr="00B6647E">
        <w:rPr>
          <w:rFonts w:ascii="Arial" w:hAnsi="Arial" w:cs="Arial"/>
          <w:sz w:val="20"/>
          <w:szCs w:val="20"/>
          <w:lang w:eastAsia="fr-FR"/>
        </w:rPr>
        <w:t>, Makamba (40,5%), Muyinga (36,6%), Ngozi (34,3%), Ruyigi (31,5%), Karuzi (30,1%)</w:t>
      </w:r>
      <w:r w:rsidR="00CD4955" w:rsidRPr="00B6647E">
        <w:rPr>
          <w:rFonts w:ascii="Arial" w:hAnsi="Arial" w:cs="Arial"/>
          <w:sz w:val="20"/>
          <w:szCs w:val="20"/>
          <w:lang w:eastAsia="fr-FR"/>
        </w:rPr>
        <w:t xml:space="preserve">. </w:t>
      </w:r>
    </w:p>
    <w:p w:rsidR="0050509F" w:rsidRPr="00B6647E" w:rsidRDefault="00CD4955" w:rsidP="00C12594">
      <w:pPr>
        <w:spacing w:line="240" w:lineRule="auto"/>
        <w:jc w:val="both"/>
        <w:rPr>
          <w:rFonts w:ascii="Arial" w:hAnsi="Arial" w:cs="Arial"/>
          <w:sz w:val="20"/>
          <w:szCs w:val="20"/>
          <w:lang w:eastAsia="fr-FR"/>
        </w:rPr>
      </w:pPr>
      <w:r w:rsidRPr="00B6647E">
        <w:rPr>
          <w:rFonts w:ascii="Arial" w:hAnsi="Arial" w:cs="Arial"/>
          <w:sz w:val="20"/>
          <w:szCs w:val="20"/>
          <w:lang w:eastAsia="fr-FR"/>
        </w:rPr>
        <w:t>A l’opposé les provinces de Rutana (16,6%) et Bubanza (20,3%)</w:t>
      </w:r>
      <w:r w:rsidR="00236A90" w:rsidRPr="00B6647E">
        <w:rPr>
          <w:rFonts w:ascii="Arial" w:hAnsi="Arial" w:cs="Arial"/>
          <w:sz w:val="20"/>
          <w:szCs w:val="20"/>
          <w:lang w:eastAsia="fr-FR"/>
        </w:rPr>
        <w:t>, Cibitoke (24,2%), Mwaro (25,6%), Cankuzo (26%)</w:t>
      </w:r>
      <w:r w:rsidRPr="00B6647E">
        <w:rPr>
          <w:rFonts w:ascii="Arial" w:hAnsi="Arial" w:cs="Arial"/>
          <w:sz w:val="20"/>
          <w:szCs w:val="20"/>
          <w:lang w:eastAsia="fr-FR"/>
        </w:rPr>
        <w:t xml:space="preserve"> ont les taux les plus faibles.</w:t>
      </w:r>
    </w:p>
    <w:p w:rsidR="00236A90" w:rsidRPr="00B6647E" w:rsidRDefault="00236A90">
      <w:pPr>
        <w:rPr>
          <w:rFonts w:ascii="Arial" w:hAnsi="Arial" w:cs="Arial"/>
          <w:b/>
          <w:sz w:val="20"/>
          <w:szCs w:val="20"/>
          <w:lang w:eastAsia="fr-FR"/>
        </w:rPr>
      </w:pPr>
      <w:r w:rsidRPr="00B6647E">
        <w:rPr>
          <w:rFonts w:ascii="Arial" w:hAnsi="Arial" w:cs="Arial"/>
          <w:b/>
          <w:sz w:val="20"/>
          <w:szCs w:val="20"/>
          <w:lang w:eastAsia="fr-FR"/>
        </w:rPr>
        <w:br w:type="page"/>
      </w:r>
    </w:p>
    <w:p w:rsidR="0050509F" w:rsidRPr="007A1DC3" w:rsidRDefault="0050509F" w:rsidP="00C12594">
      <w:pPr>
        <w:spacing w:line="240" w:lineRule="auto"/>
        <w:jc w:val="both"/>
        <w:rPr>
          <w:rFonts w:ascii="Arial" w:hAnsi="Arial" w:cs="Arial"/>
          <w:b/>
          <w:sz w:val="20"/>
          <w:szCs w:val="20"/>
          <w:lang w:eastAsia="fr-FR"/>
        </w:rPr>
      </w:pPr>
      <w:r w:rsidRPr="007A1DC3">
        <w:rPr>
          <w:rFonts w:ascii="Arial" w:hAnsi="Arial" w:cs="Arial"/>
          <w:b/>
          <w:sz w:val="20"/>
          <w:szCs w:val="20"/>
          <w:lang w:eastAsia="fr-FR"/>
        </w:rPr>
        <w:lastRenderedPageBreak/>
        <w:t xml:space="preserve">Carte </w:t>
      </w:r>
      <w:r w:rsidR="00613D0F" w:rsidRPr="007A1DC3">
        <w:rPr>
          <w:rFonts w:ascii="Arial" w:hAnsi="Arial" w:cs="Arial"/>
          <w:b/>
          <w:sz w:val="20"/>
          <w:szCs w:val="20"/>
          <w:lang w:eastAsia="fr-FR"/>
        </w:rPr>
        <w:t>05</w:t>
      </w:r>
      <w:r w:rsidRPr="007A1DC3">
        <w:rPr>
          <w:rFonts w:ascii="Arial" w:hAnsi="Arial" w:cs="Arial"/>
          <w:b/>
          <w:sz w:val="20"/>
          <w:szCs w:val="20"/>
          <w:lang w:eastAsia="fr-FR"/>
        </w:rPr>
        <w:t xml:space="preserve"> : </w:t>
      </w:r>
      <w:r w:rsidR="00674D4B" w:rsidRPr="007A1DC3">
        <w:rPr>
          <w:rFonts w:ascii="Arial" w:hAnsi="Arial" w:cs="Arial"/>
          <w:b/>
          <w:sz w:val="20"/>
          <w:szCs w:val="20"/>
          <w:lang w:eastAsia="fr-FR"/>
        </w:rPr>
        <w:t xml:space="preserve">Taux d’exploitation du sol </w:t>
      </w:r>
      <w:r w:rsidR="00890447" w:rsidRPr="007A1DC3">
        <w:rPr>
          <w:rFonts w:ascii="Arial" w:hAnsi="Arial" w:cs="Arial"/>
          <w:b/>
          <w:sz w:val="20"/>
          <w:szCs w:val="20"/>
          <w:lang w:eastAsia="fr-FR"/>
        </w:rPr>
        <w:t>par province</w:t>
      </w:r>
    </w:p>
    <w:p w:rsidR="0050509F" w:rsidRPr="007A1DC3" w:rsidRDefault="0050509F" w:rsidP="00C12594">
      <w:pPr>
        <w:spacing w:line="240" w:lineRule="auto"/>
        <w:jc w:val="both"/>
        <w:rPr>
          <w:rFonts w:ascii="Arial" w:hAnsi="Arial" w:cs="Arial"/>
          <w:sz w:val="20"/>
          <w:szCs w:val="20"/>
          <w:lang w:eastAsia="fr-FR"/>
        </w:rPr>
      </w:pPr>
    </w:p>
    <w:p w:rsidR="00890447" w:rsidRPr="007A1DC3" w:rsidRDefault="00A012BB" w:rsidP="00C12594">
      <w:pPr>
        <w:spacing w:line="240" w:lineRule="auto"/>
        <w:jc w:val="both"/>
        <w:rPr>
          <w:rFonts w:ascii="Arial" w:hAnsi="Arial" w:cs="Arial"/>
          <w:sz w:val="20"/>
          <w:szCs w:val="20"/>
          <w:lang w:eastAsia="fr-FR"/>
        </w:rPr>
      </w:pPr>
      <w:r w:rsidRPr="007A1DC3">
        <w:rPr>
          <w:rFonts w:ascii="Arial" w:hAnsi="Arial" w:cs="Arial"/>
          <w:noProof/>
          <w:sz w:val="20"/>
          <w:szCs w:val="20"/>
          <w:lang w:val="fr-FR" w:eastAsia="fr-FR"/>
        </w:rPr>
        <w:drawing>
          <wp:inline distT="0" distB="0" distL="0" distR="0">
            <wp:extent cx="5843905" cy="4076700"/>
            <wp:effectExtent l="19050" t="0" r="4445" b="0"/>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l="5152" t="6170" r="5107" b="5399"/>
                    <a:stretch>
                      <a:fillRect/>
                    </a:stretch>
                  </pic:blipFill>
                  <pic:spPr bwMode="auto">
                    <a:xfrm>
                      <a:off x="0" y="0"/>
                      <a:ext cx="5843905" cy="4076700"/>
                    </a:xfrm>
                    <a:prstGeom prst="rect">
                      <a:avLst/>
                    </a:prstGeom>
                    <a:noFill/>
                    <a:ln w="9525">
                      <a:noFill/>
                      <a:miter lim="800000"/>
                      <a:headEnd/>
                      <a:tailEnd/>
                    </a:ln>
                  </pic:spPr>
                </pic:pic>
              </a:graphicData>
            </a:graphic>
          </wp:inline>
        </w:drawing>
      </w:r>
    </w:p>
    <w:p w:rsidR="00B0237D" w:rsidRPr="00B6647E" w:rsidRDefault="00B0237D" w:rsidP="00A65E41">
      <w:pPr>
        <w:pStyle w:val="Titre2"/>
        <w:keepNext w:val="0"/>
        <w:numPr>
          <w:ilvl w:val="1"/>
          <w:numId w:val="1"/>
        </w:numPr>
        <w:spacing w:before="240" w:after="200"/>
        <w:ind w:left="0" w:firstLine="0"/>
        <w:rPr>
          <w:rFonts w:cs="Arial"/>
          <w:u w:val="dotDash"/>
        </w:rPr>
      </w:pPr>
      <w:bookmarkStart w:id="202" w:name="_Toc354313856"/>
      <w:r w:rsidRPr="00B6647E">
        <w:rPr>
          <w:rFonts w:cs="Arial"/>
          <w:u w:val="dotDash"/>
        </w:rPr>
        <w:t>Typologie des exploitations</w:t>
      </w:r>
      <w:bookmarkEnd w:id="202"/>
    </w:p>
    <w:p w:rsidR="000F4A59" w:rsidRPr="008A233A" w:rsidRDefault="000F4A59" w:rsidP="008A233A">
      <w:pPr>
        <w:spacing w:line="240" w:lineRule="auto"/>
        <w:jc w:val="both"/>
        <w:rPr>
          <w:rFonts w:ascii="Arial" w:hAnsi="Arial" w:cs="Arial"/>
          <w:sz w:val="20"/>
          <w:szCs w:val="20"/>
        </w:rPr>
      </w:pPr>
      <w:r w:rsidRPr="008A233A">
        <w:rPr>
          <w:rFonts w:ascii="Arial" w:hAnsi="Arial" w:cs="Arial"/>
          <w:sz w:val="20"/>
          <w:szCs w:val="20"/>
        </w:rPr>
        <w:t>L’exploitation agricole occupe une place importante pour appréhender les performances de l’agriculture.</w:t>
      </w:r>
      <w:r w:rsidR="008A233A" w:rsidRPr="008A233A">
        <w:rPr>
          <w:rFonts w:ascii="Arial" w:hAnsi="Arial" w:cs="Arial"/>
          <w:sz w:val="20"/>
          <w:szCs w:val="20"/>
        </w:rPr>
        <w:t xml:space="preserve"> L’analyse des données de l’enquête nous a permis de dégager une typologie des ménages agricoles du Bur</w:t>
      </w:r>
      <w:r w:rsidR="008A233A">
        <w:rPr>
          <w:rFonts w:ascii="Arial" w:hAnsi="Arial" w:cs="Arial"/>
          <w:sz w:val="20"/>
          <w:szCs w:val="20"/>
        </w:rPr>
        <w:t>undi. Dans</w:t>
      </w:r>
      <w:r w:rsidR="008A233A" w:rsidRPr="008A233A">
        <w:rPr>
          <w:rFonts w:ascii="Arial" w:hAnsi="Arial" w:cs="Arial"/>
          <w:sz w:val="20"/>
          <w:szCs w:val="20"/>
        </w:rPr>
        <w:t xml:space="preserve"> la moitié des cas, </w:t>
      </w:r>
      <w:r w:rsidR="008A233A">
        <w:rPr>
          <w:rFonts w:ascii="Arial" w:hAnsi="Arial" w:cs="Arial"/>
          <w:sz w:val="20"/>
          <w:szCs w:val="20"/>
        </w:rPr>
        <w:t>le ménage est</w:t>
      </w:r>
      <w:r w:rsidR="008A233A" w:rsidRPr="008A233A">
        <w:rPr>
          <w:rFonts w:ascii="Arial" w:hAnsi="Arial" w:cs="Arial"/>
          <w:sz w:val="20"/>
          <w:szCs w:val="20"/>
        </w:rPr>
        <w:t xml:space="preserve"> constitué d’environ </w:t>
      </w:r>
      <w:r w:rsidR="008A233A">
        <w:rPr>
          <w:rFonts w:ascii="Arial" w:hAnsi="Arial" w:cs="Arial"/>
          <w:sz w:val="20"/>
          <w:szCs w:val="20"/>
        </w:rPr>
        <w:t>cinq</w:t>
      </w:r>
      <w:r w:rsidR="008A233A" w:rsidRPr="008A233A">
        <w:rPr>
          <w:rFonts w:ascii="Arial" w:hAnsi="Arial" w:cs="Arial"/>
          <w:sz w:val="20"/>
          <w:szCs w:val="20"/>
        </w:rPr>
        <w:t xml:space="preserve"> personnes et </w:t>
      </w:r>
      <w:r w:rsidR="008A233A">
        <w:rPr>
          <w:rFonts w:ascii="Arial" w:hAnsi="Arial" w:cs="Arial"/>
          <w:sz w:val="20"/>
          <w:szCs w:val="20"/>
        </w:rPr>
        <w:t>est</w:t>
      </w:r>
      <w:r w:rsidR="008A233A" w:rsidRPr="008A233A">
        <w:rPr>
          <w:rFonts w:ascii="Arial" w:hAnsi="Arial" w:cs="Arial"/>
          <w:sz w:val="20"/>
          <w:szCs w:val="20"/>
        </w:rPr>
        <w:t xml:space="preserve"> dirigé par un chef de ménage, homme ou femme, âgé d’environ 40 ans. Le ménage travaille sur une exploitation de 0,5 ha et possède un caprin.</w:t>
      </w:r>
      <w:r w:rsidRPr="008A233A">
        <w:rPr>
          <w:rFonts w:ascii="Arial" w:hAnsi="Arial" w:cs="Arial"/>
          <w:sz w:val="20"/>
          <w:szCs w:val="20"/>
        </w:rPr>
        <w:t xml:space="preserve"> L’exploitation de cette terre est, dans la plupart des cas, la culture associée avec trois (parfois plus) variétés de cultures dans un même champ, principalement du manioc, de la banane, de la patate douce, du haricot.</w:t>
      </w:r>
    </w:p>
    <w:p w:rsidR="00CC64C7" w:rsidRPr="00B6647E" w:rsidRDefault="00CC64C7" w:rsidP="00A65E41">
      <w:pPr>
        <w:pStyle w:val="Titre3"/>
        <w:keepNext w:val="0"/>
        <w:numPr>
          <w:ilvl w:val="2"/>
          <w:numId w:val="1"/>
        </w:numPr>
        <w:spacing w:before="200" w:after="120"/>
        <w:ind w:left="0" w:firstLine="0"/>
        <w:rPr>
          <w:rFonts w:cs="Arial"/>
          <w:szCs w:val="20"/>
        </w:rPr>
      </w:pPr>
      <w:bookmarkStart w:id="203" w:name="_Toc354313857"/>
      <w:r w:rsidRPr="00B6647E">
        <w:rPr>
          <w:rFonts w:cs="Arial"/>
          <w:szCs w:val="20"/>
        </w:rPr>
        <w:t>Méthodologie</w:t>
      </w:r>
      <w:bookmarkEnd w:id="203"/>
    </w:p>
    <w:p w:rsidR="009166E0" w:rsidRPr="00B6647E" w:rsidRDefault="00F45B7C" w:rsidP="000F4A59">
      <w:pPr>
        <w:spacing w:after="120" w:line="240" w:lineRule="auto"/>
        <w:jc w:val="both"/>
        <w:rPr>
          <w:rFonts w:ascii="Arial" w:hAnsi="Arial" w:cs="Arial"/>
          <w:sz w:val="20"/>
          <w:szCs w:val="20"/>
        </w:rPr>
      </w:pPr>
      <w:r w:rsidRPr="00B6647E">
        <w:rPr>
          <w:rFonts w:ascii="Arial" w:hAnsi="Arial" w:cs="Arial"/>
          <w:sz w:val="20"/>
          <w:szCs w:val="20"/>
        </w:rPr>
        <w:t xml:space="preserve">Sur la base des données issue de l’enquête nationale agricole 2011-2012 du Burundi, </w:t>
      </w:r>
      <w:r w:rsidR="003F79AF" w:rsidRPr="00B6647E">
        <w:rPr>
          <w:rFonts w:ascii="Arial" w:hAnsi="Arial" w:cs="Arial"/>
          <w:sz w:val="20"/>
          <w:szCs w:val="20"/>
        </w:rPr>
        <w:t xml:space="preserve">il a été </w:t>
      </w:r>
      <w:r w:rsidR="00C84928" w:rsidRPr="00B6647E">
        <w:rPr>
          <w:rFonts w:ascii="Arial" w:hAnsi="Arial" w:cs="Arial"/>
          <w:sz w:val="20"/>
          <w:szCs w:val="20"/>
        </w:rPr>
        <w:t>constitué un fichier panel des ménages sur les trois saisons décrit par des variables quantitatives (</w:t>
      </w:r>
      <w:r w:rsidR="001674E5" w:rsidRPr="00B6647E">
        <w:rPr>
          <w:rFonts w:ascii="Arial" w:hAnsi="Arial" w:cs="Arial"/>
          <w:sz w:val="20"/>
          <w:szCs w:val="20"/>
        </w:rPr>
        <w:t>âge du chef de ménage, taille du ménage</w:t>
      </w:r>
      <w:r w:rsidR="00C84928" w:rsidRPr="00B6647E">
        <w:rPr>
          <w:rFonts w:ascii="Arial" w:hAnsi="Arial" w:cs="Arial"/>
          <w:sz w:val="20"/>
          <w:szCs w:val="20"/>
        </w:rPr>
        <w:t>, superficie cultivée pour chaque saison, superficie de l’exploitation, nombre de têtes des différentes espèces de cheptel) et des variables qualitatives (</w:t>
      </w:r>
      <w:r w:rsidR="001674E5" w:rsidRPr="00B6647E">
        <w:rPr>
          <w:rFonts w:ascii="Arial" w:hAnsi="Arial" w:cs="Arial"/>
          <w:sz w:val="20"/>
          <w:szCs w:val="20"/>
        </w:rPr>
        <w:t xml:space="preserve">sexe du chef de ménage, adhésion à une organisation professionnelle, encadrement, crédit, association de cultures, pêche, apiculture, sylviculture). </w:t>
      </w:r>
      <w:r w:rsidR="00260753" w:rsidRPr="00B6647E">
        <w:rPr>
          <w:rFonts w:ascii="Arial" w:hAnsi="Arial" w:cs="Arial"/>
          <w:sz w:val="20"/>
          <w:szCs w:val="20"/>
        </w:rPr>
        <w:t>C</w:t>
      </w:r>
      <w:r w:rsidR="009166E0" w:rsidRPr="00B6647E">
        <w:rPr>
          <w:rFonts w:ascii="Arial" w:hAnsi="Arial" w:cs="Arial"/>
          <w:sz w:val="20"/>
          <w:szCs w:val="20"/>
        </w:rPr>
        <w:t xml:space="preserve">e fichier </w:t>
      </w:r>
      <w:r w:rsidR="00260753" w:rsidRPr="00B6647E">
        <w:rPr>
          <w:rFonts w:ascii="Arial" w:hAnsi="Arial" w:cs="Arial"/>
          <w:sz w:val="20"/>
          <w:szCs w:val="20"/>
        </w:rPr>
        <w:t xml:space="preserve">a été </w:t>
      </w:r>
      <w:r w:rsidR="009166E0" w:rsidRPr="00B6647E">
        <w:rPr>
          <w:rFonts w:ascii="Arial" w:hAnsi="Arial" w:cs="Arial"/>
          <w:sz w:val="20"/>
          <w:szCs w:val="20"/>
        </w:rPr>
        <w:t>utilisé pour l’analyse</w:t>
      </w:r>
      <w:r w:rsidR="00260753" w:rsidRPr="00B6647E">
        <w:rPr>
          <w:rFonts w:ascii="Arial" w:hAnsi="Arial" w:cs="Arial"/>
          <w:sz w:val="20"/>
          <w:szCs w:val="20"/>
        </w:rPr>
        <w:t xml:space="preserve"> des typologies, il </w:t>
      </w:r>
      <w:r w:rsidR="009166E0" w:rsidRPr="00B6647E">
        <w:rPr>
          <w:rFonts w:ascii="Arial" w:hAnsi="Arial" w:cs="Arial"/>
          <w:sz w:val="20"/>
          <w:szCs w:val="20"/>
        </w:rPr>
        <w:t>compte 22</w:t>
      </w:r>
      <w:r w:rsidR="008D172E" w:rsidRPr="00B6647E">
        <w:rPr>
          <w:rFonts w:ascii="Arial" w:hAnsi="Arial" w:cs="Arial"/>
          <w:sz w:val="20"/>
          <w:szCs w:val="20"/>
        </w:rPr>
        <w:t>46</w:t>
      </w:r>
      <w:r w:rsidR="009166E0" w:rsidRPr="00B6647E">
        <w:rPr>
          <w:rFonts w:ascii="Arial" w:hAnsi="Arial" w:cs="Arial"/>
          <w:sz w:val="20"/>
          <w:szCs w:val="20"/>
        </w:rPr>
        <w:t xml:space="preserve"> ménages (8</w:t>
      </w:r>
      <w:r w:rsidR="008D172E" w:rsidRPr="00B6647E">
        <w:rPr>
          <w:rFonts w:ascii="Arial" w:hAnsi="Arial" w:cs="Arial"/>
          <w:sz w:val="20"/>
          <w:szCs w:val="20"/>
        </w:rPr>
        <w:t>7,7</w:t>
      </w:r>
      <w:r w:rsidR="009166E0" w:rsidRPr="00B6647E">
        <w:rPr>
          <w:rFonts w:ascii="Arial" w:hAnsi="Arial" w:cs="Arial"/>
          <w:sz w:val="20"/>
          <w:szCs w:val="20"/>
        </w:rPr>
        <w:t>% de l’échantillon) a</w:t>
      </w:r>
      <w:r w:rsidR="001674E5" w:rsidRPr="00B6647E">
        <w:rPr>
          <w:rFonts w:ascii="Arial" w:hAnsi="Arial" w:cs="Arial"/>
          <w:sz w:val="20"/>
          <w:szCs w:val="20"/>
        </w:rPr>
        <w:t xml:space="preserve">près </w:t>
      </w:r>
      <w:r w:rsidR="009166E0" w:rsidRPr="00B6647E">
        <w:rPr>
          <w:rFonts w:ascii="Arial" w:hAnsi="Arial" w:cs="Arial"/>
          <w:sz w:val="20"/>
          <w:szCs w:val="20"/>
        </w:rPr>
        <w:t>l’élimination des ménages non communs aux trois saisons</w:t>
      </w:r>
      <w:r w:rsidR="00260753" w:rsidRPr="00B6647E">
        <w:rPr>
          <w:rFonts w:ascii="Arial" w:hAnsi="Arial" w:cs="Arial"/>
          <w:sz w:val="20"/>
          <w:szCs w:val="20"/>
        </w:rPr>
        <w:t xml:space="preserve"> et de six ménages </w:t>
      </w:r>
      <w:r w:rsidR="008D172E" w:rsidRPr="00B6647E">
        <w:rPr>
          <w:rFonts w:ascii="Arial" w:hAnsi="Arial" w:cs="Arial"/>
          <w:sz w:val="20"/>
          <w:szCs w:val="20"/>
        </w:rPr>
        <w:t>dont la</w:t>
      </w:r>
      <w:r w:rsidR="00260753" w:rsidRPr="00B6647E">
        <w:rPr>
          <w:rFonts w:ascii="Arial" w:hAnsi="Arial" w:cs="Arial"/>
          <w:sz w:val="20"/>
          <w:szCs w:val="20"/>
        </w:rPr>
        <w:t xml:space="preserve"> superficie totale de leur</w:t>
      </w:r>
      <w:r w:rsidR="008D172E" w:rsidRPr="00B6647E">
        <w:rPr>
          <w:rFonts w:ascii="Arial" w:hAnsi="Arial" w:cs="Arial"/>
          <w:sz w:val="20"/>
          <w:szCs w:val="20"/>
        </w:rPr>
        <w:t>s</w:t>
      </w:r>
      <w:r w:rsidR="00260753" w:rsidRPr="00B6647E">
        <w:rPr>
          <w:rFonts w:ascii="Arial" w:hAnsi="Arial" w:cs="Arial"/>
          <w:sz w:val="20"/>
          <w:szCs w:val="20"/>
        </w:rPr>
        <w:t xml:space="preserve"> exploitions </w:t>
      </w:r>
      <w:r w:rsidR="008D172E" w:rsidRPr="00B6647E">
        <w:rPr>
          <w:rFonts w:ascii="Arial" w:hAnsi="Arial" w:cs="Arial"/>
          <w:sz w:val="20"/>
          <w:szCs w:val="20"/>
        </w:rPr>
        <w:t xml:space="preserve">est </w:t>
      </w:r>
      <w:r w:rsidR="00260753" w:rsidRPr="00B6647E">
        <w:rPr>
          <w:rFonts w:ascii="Arial" w:hAnsi="Arial" w:cs="Arial"/>
          <w:sz w:val="20"/>
          <w:szCs w:val="20"/>
        </w:rPr>
        <w:t>supérieure ou égale à 30 ha.</w:t>
      </w:r>
    </w:p>
    <w:p w:rsidR="00F45B7C" w:rsidRPr="00B6647E" w:rsidRDefault="008F668B" w:rsidP="000F4A59">
      <w:pPr>
        <w:spacing w:after="120"/>
        <w:jc w:val="both"/>
        <w:rPr>
          <w:rFonts w:ascii="Arial" w:hAnsi="Arial" w:cs="Arial"/>
          <w:sz w:val="20"/>
          <w:szCs w:val="20"/>
        </w:rPr>
      </w:pPr>
      <w:r w:rsidRPr="00B6647E">
        <w:rPr>
          <w:rFonts w:ascii="Arial" w:hAnsi="Arial" w:cs="Arial"/>
          <w:sz w:val="20"/>
          <w:szCs w:val="20"/>
        </w:rPr>
        <w:t>La classification a été effectué sur les logiciels XLSTAT et SPSS en appliquant les étapes d’analyse suivante :</w:t>
      </w:r>
    </w:p>
    <w:p w:rsidR="008F668B" w:rsidRPr="00B6647E" w:rsidRDefault="008F668B" w:rsidP="00320D68">
      <w:pPr>
        <w:pStyle w:val="Paragraphedeliste"/>
        <w:numPr>
          <w:ilvl w:val="0"/>
          <w:numId w:val="13"/>
        </w:numPr>
        <w:spacing w:after="40" w:line="240" w:lineRule="auto"/>
        <w:contextualSpacing w:val="0"/>
        <w:jc w:val="both"/>
        <w:rPr>
          <w:rFonts w:ascii="Arial" w:hAnsi="Arial" w:cs="Arial"/>
          <w:sz w:val="20"/>
          <w:szCs w:val="20"/>
        </w:rPr>
      </w:pPr>
      <w:r w:rsidRPr="00B6647E">
        <w:rPr>
          <w:rFonts w:ascii="Arial" w:hAnsi="Arial" w:cs="Arial"/>
          <w:sz w:val="20"/>
          <w:szCs w:val="20"/>
        </w:rPr>
        <w:t xml:space="preserve">Analyse en composante principale (ACP) </w:t>
      </w:r>
      <w:r w:rsidR="00CF519A" w:rsidRPr="00B6647E">
        <w:rPr>
          <w:rFonts w:ascii="Arial" w:hAnsi="Arial" w:cs="Arial"/>
          <w:sz w:val="20"/>
          <w:szCs w:val="20"/>
        </w:rPr>
        <w:t xml:space="preserve">sur les </w:t>
      </w:r>
      <w:r w:rsidR="00107A27" w:rsidRPr="00B6647E">
        <w:rPr>
          <w:rFonts w:ascii="Arial" w:hAnsi="Arial" w:cs="Arial"/>
          <w:sz w:val="20"/>
          <w:szCs w:val="20"/>
        </w:rPr>
        <w:t>variables</w:t>
      </w:r>
      <w:r w:rsidRPr="00B6647E">
        <w:rPr>
          <w:rFonts w:ascii="Arial" w:hAnsi="Arial" w:cs="Arial"/>
          <w:sz w:val="20"/>
          <w:szCs w:val="20"/>
        </w:rPr>
        <w:t xml:space="preserve"> </w:t>
      </w:r>
      <w:r w:rsidR="00107A27" w:rsidRPr="00B6647E">
        <w:rPr>
          <w:rFonts w:ascii="Arial" w:hAnsi="Arial" w:cs="Arial"/>
          <w:sz w:val="20"/>
          <w:szCs w:val="20"/>
        </w:rPr>
        <w:t>quantitatives ;</w:t>
      </w:r>
    </w:p>
    <w:p w:rsidR="00F76FCD" w:rsidRPr="00B6647E" w:rsidRDefault="00F76FCD" w:rsidP="00320D68">
      <w:pPr>
        <w:pStyle w:val="Paragraphedeliste"/>
        <w:numPr>
          <w:ilvl w:val="0"/>
          <w:numId w:val="13"/>
        </w:numPr>
        <w:spacing w:after="40" w:line="240" w:lineRule="auto"/>
        <w:contextualSpacing w:val="0"/>
        <w:jc w:val="both"/>
        <w:rPr>
          <w:rFonts w:ascii="Arial" w:hAnsi="Arial" w:cs="Arial"/>
          <w:sz w:val="20"/>
          <w:szCs w:val="20"/>
        </w:rPr>
      </w:pPr>
      <w:r w:rsidRPr="00B6647E">
        <w:rPr>
          <w:rFonts w:ascii="Arial" w:hAnsi="Arial" w:cs="Arial"/>
          <w:sz w:val="20"/>
          <w:szCs w:val="20"/>
        </w:rPr>
        <w:t>Analyse des correspondances multiples (ACM) utilisant comme variables actives les qualitatives avec les mêmes variables illustratives que l’ACP.</w:t>
      </w:r>
    </w:p>
    <w:p w:rsidR="00107A27" w:rsidRPr="00B6647E" w:rsidRDefault="00107A27" w:rsidP="00320D68">
      <w:pPr>
        <w:pStyle w:val="Paragraphedeliste"/>
        <w:numPr>
          <w:ilvl w:val="0"/>
          <w:numId w:val="13"/>
        </w:numPr>
        <w:spacing w:after="40" w:line="240" w:lineRule="auto"/>
        <w:contextualSpacing w:val="0"/>
        <w:jc w:val="both"/>
        <w:rPr>
          <w:rFonts w:ascii="Arial" w:hAnsi="Arial" w:cs="Arial"/>
          <w:sz w:val="20"/>
          <w:szCs w:val="20"/>
        </w:rPr>
      </w:pPr>
      <w:r w:rsidRPr="00B6647E">
        <w:rPr>
          <w:rFonts w:ascii="Arial" w:hAnsi="Arial" w:cs="Arial"/>
          <w:sz w:val="20"/>
          <w:szCs w:val="20"/>
        </w:rPr>
        <w:lastRenderedPageBreak/>
        <w:t xml:space="preserve">Classification </w:t>
      </w:r>
      <w:r w:rsidR="00CF519A" w:rsidRPr="00B6647E">
        <w:rPr>
          <w:rFonts w:ascii="Arial" w:hAnsi="Arial" w:cs="Arial"/>
          <w:sz w:val="20"/>
          <w:szCs w:val="20"/>
        </w:rPr>
        <w:t xml:space="preserve">ascendante </w:t>
      </w:r>
      <w:r w:rsidRPr="00B6647E">
        <w:rPr>
          <w:rFonts w:ascii="Arial" w:hAnsi="Arial" w:cs="Arial"/>
          <w:sz w:val="20"/>
          <w:szCs w:val="20"/>
        </w:rPr>
        <w:t>hiérarchique</w:t>
      </w:r>
      <w:r w:rsidR="00CF519A" w:rsidRPr="00B6647E">
        <w:rPr>
          <w:rFonts w:ascii="Arial" w:hAnsi="Arial" w:cs="Arial"/>
          <w:sz w:val="20"/>
          <w:szCs w:val="20"/>
        </w:rPr>
        <w:t xml:space="preserve"> (CAH) ;</w:t>
      </w:r>
    </w:p>
    <w:p w:rsidR="00107A27" w:rsidRPr="00B6647E" w:rsidRDefault="00107A27" w:rsidP="00320D68">
      <w:pPr>
        <w:pStyle w:val="Paragraphedeliste"/>
        <w:numPr>
          <w:ilvl w:val="0"/>
          <w:numId w:val="13"/>
        </w:numPr>
        <w:spacing w:after="40" w:line="240" w:lineRule="auto"/>
        <w:contextualSpacing w:val="0"/>
        <w:jc w:val="both"/>
        <w:rPr>
          <w:rFonts w:ascii="Arial" w:hAnsi="Arial" w:cs="Arial"/>
          <w:sz w:val="20"/>
          <w:szCs w:val="20"/>
        </w:rPr>
      </w:pPr>
      <w:r w:rsidRPr="00B6647E">
        <w:rPr>
          <w:rFonts w:ascii="Arial" w:hAnsi="Arial" w:cs="Arial"/>
          <w:sz w:val="20"/>
          <w:szCs w:val="20"/>
        </w:rPr>
        <w:t>Coupure de l’arbre et description des classes</w:t>
      </w:r>
      <w:r w:rsidR="00CF519A" w:rsidRPr="00B6647E">
        <w:rPr>
          <w:rFonts w:ascii="Arial" w:hAnsi="Arial" w:cs="Arial"/>
          <w:sz w:val="20"/>
          <w:szCs w:val="20"/>
        </w:rPr>
        <w:t> ;</w:t>
      </w:r>
    </w:p>
    <w:p w:rsidR="00107A27" w:rsidRPr="00B6647E" w:rsidRDefault="00107A27" w:rsidP="00320D68">
      <w:pPr>
        <w:pStyle w:val="Paragraphedeliste"/>
        <w:numPr>
          <w:ilvl w:val="0"/>
          <w:numId w:val="13"/>
        </w:numPr>
        <w:spacing w:after="40" w:line="240" w:lineRule="auto"/>
        <w:contextualSpacing w:val="0"/>
        <w:jc w:val="both"/>
        <w:rPr>
          <w:rFonts w:ascii="Arial" w:hAnsi="Arial" w:cs="Arial"/>
          <w:sz w:val="20"/>
          <w:szCs w:val="20"/>
        </w:rPr>
      </w:pPr>
      <w:r w:rsidRPr="00B6647E">
        <w:rPr>
          <w:rFonts w:ascii="Arial" w:hAnsi="Arial" w:cs="Arial"/>
          <w:sz w:val="20"/>
          <w:szCs w:val="20"/>
        </w:rPr>
        <w:t>Caractérisation des classes de typologies</w:t>
      </w:r>
      <w:r w:rsidR="00CF519A" w:rsidRPr="00B6647E">
        <w:rPr>
          <w:rFonts w:ascii="Arial" w:hAnsi="Arial" w:cs="Arial"/>
          <w:sz w:val="20"/>
          <w:szCs w:val="20"/>
        </w:rPr>
        <w:t>.</w:t>
      </w:r>
    </w:p>
    <w:p w:rsidR="00CF519A" w:rsidRPr="00B6647E" w:rsidRDefault="00CF519A" w:rsidP="00F76FCD">
      <w:pPr>
        <w:spacing w:before="120" w:after="120" w:line="240" w:lineRule="auto"/>
        <w:jc w:val="both"/>
        <w:rPr>
          <w:rFonts w:ascii="Arial" w:hAnsi="Arial" w:cs="Arial"/>
          <w:sz w:val="20"/>
          <w:szCs w:val="20"/>
        </w:rPr>
      </w:pPr>
      <w:r w:rsidRPr="00B6647E">
        <w:rPr>
          <w:rFonts w:ascii="Arial" w:hAnsi="Arial" w:cs="Arial"/>
          <w:sz w:val="20"/>
          <w:szCs w:val="20"/>
        </w:rPr>
        <w:t>L’ACP a permis de retenir huit variables d’analyse : âge du chef de ménage, taille du ménage, superficie cultivé en saison A, superficie cultivée pendant la saison B, superficie cultivée au cours de la saison C, superficie totale de l’exploitation, nombre de bovins, nombre de caprins.</w:t>
      </w:r>
    </w:p>
    <w:p w:rsidR="00F45B7C" w:rsidRPr="00B6647E" w:rsidRDefault="00587FF0" w:rsidP="00F76FCD">
      <w:pPr>
        <w:spacing w:after="120" w:line="240" w:lineRule="auto"/>
        <w:jc w:val="both"/>
        <w:rPr>
          <w:rFonts w:ascii="Arial" w:hAnsi="Arial" w:cs="Arial"/>
          <w:sz w:val="20"/>
          <w:szCs w:val="20"/>
        </w:rPr>
      </w:pPr>
      <w:r w:rsidRPr="00B6647E">
        <w:rPr>
          <w:rFonts w:ascii="Arial" w:hAnsi="Arial" w:cs="Arial"/>
          <w:sz w:val="20"/>
          <w:szCs w:val="20"/>
        </w:rPr>
        <w:t xml:space="preserve">La CAH a permis de regrouper les exploitations agricoles suivant leur proximité les unes par rapport aux autres à partir des </w:t>
      </w:r>
      <w:r w:rsidR="00FF6494" w:rsidRPr="00B6647E">
        <w:rPr>
          <w:rFonts w:ascii="Arial" w:hAnsi="Arial" w:cs="Arial"/>
          <w:sz w:val="20"/>
          <w:szCs w:val="20"/>
        </w:rPr>
        <w:t>variables</w:t>
      </w:r>
      <w:r w:rsidRPr="00B6647E">
        <w:rPr>
          <w:rFonts w:ascii="Arial" w:hAnsi="Arial" w:cs="Arial"/>
          <w:sz w:val="20"/>
          <w:szCs w:val="20"/>
        </w:rPr>
        <w:t xml:space="preserve"> retenues par l’ACP.</w:t>
      </w:r>
      <w:r w:rsidR="003223C3" w:rsidRPr="00B6647E">
        <w:rPr>
          <w:rFonts w:ascii="Arial" w:hAnsi="Arial" w:cs="Arial"/>
          <w:sz w:val="20"/>
          <w:szCs w:val="20"/>
        </w:rPr>
        <w:t xml:space="preserve"> LA classification a été effectuée à partir des coordonnées des exploitations sur les trois premières composantes.</w:t>
      </w:r>
    </w:p>
    <w:p w:rsidR="00CC64C7" w:rsidRPr="00B6647E" w:rsidRDefault="00CC64C7" w:rsidP="00A65E41">
      <w:pPr>
        <w:pStyle w:val="Titre3"/>
        <w:keepNext w:val="0"/>
        <w:numPr>
          <w:ilvl w:val="2"/>
          <w:numId w:val="1"/>
        </w:numPr>
        <w:spacing w:before="200" w:after="120"/>
        <w:ind w:left="0" w:firstLine="0"/>
        <w:rPr>
          <w:rFonts w:cs="Arial"/>
          <w:szCs w:val="20"/>
        </w:rPr>
      </w:pPr>
      <w:bookmarkStart w:id="204" w:name="_Toc354313858"/>
      <w:r w:rsidRPr="00B6647E">
        <w:rPr>
          <w:rFonts w:cs="Arial"/>
          <w:szCs w:val="20"/>
        </w:rPr>
        <w:t>Résultats</w:t>
      </w:r>
      <w:r w:rsidR="00F5577F" w:rsidRPr="00B6647E">
        <w:rPr>
          <w:rFonts w:cs="Arial"/>
          <w:szCs w:val="20"/>
        </w:rPr>
        <w:t xml:space="preserve"> et descriptions des classes</w:t>
      </w:r>
      <w:bookmarkEnd w:id="204"/>
    </w:p>
    <w:p w:rsidR="00587FF0" w:rsidRPr="00B6647E" w:rsidRDefault="001C44B3" w:rsidP="00F76FCD">
      <w:pPr>
        <w:spacing w:after="120" w:line="240" w:lineRule="auto"/>
        <w:jc w:val="both"/>
        <w:rPr>
          <w:rFonts w:ascii="Arial" w:hAnsi="Arial" w:cs="Arial"/>
          <w:sz w:val="20"/>
          <w:szCs w:val="20"/>
        </w:rPr>
      </w:pPr>
      <w:r w:rsidRPr="00B6647E">
        <w:rPr>
          <w:rFonts w:ascii="Arial" w:hAnsi="Arial" w:cs="Arial"/>
          <w:sz w:val="20"/>
          <w:szCs w:val="20"/>
        </w:rPr>
        <w:t>Quatre classes</w:t>
      </w:r>
      <w:r w:rsidR="005628A7" w:rsidRPr="00B6647E">
        <w:rPr>
          <w:rFonts w:ascii="Arial" w:hAnsi="Arial" w:cs="Arial"/>
          <w:sz w:val="20"/>
          <w:szCs w:val="20"/>
        </w:rPr>
        <w:t xml:space="preserve"> ont été </w:t>
      </w:r>
      <w:r w:rsidR="00936AE8" w:rsidRPr="00B6647E">
        <w:rPr>
          <w:rFonts w:ascii="Arial" w:hAnsi="Arial" w:cs="Arial"/>
          <w:sz w:val="20"/>
          <w:szCs w:val="20"/>
        </w:rPr>
        <w:t>identifié</w:t>
      </w:r>
      <w:r w:rsidRPr="00B6647E">
        <w:rPr>
          <w:rFonts w:ascii="Arial" w:hAnsi="Arial" w:cs="Arial"/>
          <w:sz w:val="20"/>
          <w:szCs w:val="20"/>
        </w:rPr>
        <w:t>e</w:t>
      </w:r>
      <w:r w:rsidR="00936AE8" w:rsidRPr="00B6647E">
        <w:rPr>
          <w:rFonts w:ascii="Arial" w:hAnsi="Arial" w:cs="Arial"/>
          <w:sz w:val="20"/>
          <w:szCs w:val="20"/>
        </w:rPr>
        <w:t>s</w:t>
      </w:r>
      <w:r w:rsidR="005628A7" w:rsidRPr="00B6647E">
        <w:rPr>
          <w:rFonts w:ascii="Arial" w:hAnsi="Arial" w:cs="Arial"/>
          <w:sz w:val="20"/>
          <w:szCs w:val="20"/>
        </w:rPr>
        <w:t xml:space="preserve"> par </w:t>
      </w:r>
      <w:r w:rsidR="00936AE8" w:rsidRPr="00B6647E">
        <w:rPr>
          <w:rFonts w:ascii="Arial" w:hAnsi="Arial" w:cs="Arial"/>
          <w:sz w:val="20"/>
          <w:szCs w:val="20"/>
        </w:rPr>
        <w:t>ces différentes analyses : l</w:t>
      </w:r>
      <w:r w:rsidRPr="00B6647E">
        <w:rPr>
          <w:rFonts w:ascii="Arial" w:hAnsi="Arial" w:cs="Arial"/>
          <w:sz w:val="20"/>
          <w:szCs w:val="20"/>
        </w:rPr>
        <w:t>a classe des</w:t>
      </w:r>
      <w:r w:rsidR="00D60385" w:rsidRPr="00B6647E">
        <w:rPr>
          <w:rFonts w:ascii="Arial" w:hAnsi="Arial" w:cs="Arial"/>
          <w:sz w:val="20"/>
          <w:szCs w:val="20"/>
        </w:rPr>
        <w:t xml:space="preserve"> </w:t>
      </w:r>
      <w:r w:rsidRPr="00B6647E">
        <w:rPr>
          <w:rFonts w:ascii="Arial" w:hAnsi="Arial" w:cs="Arial"/>
          <w:sz w:val="20"/>
          <w:szCs w:val="20"/>
        </w:rPr>
        <w:t>petites exploitations (31,6%), la classe des exploitations moyennes (50,9%), la classe des exploitations intermédiaires (13,7%) et la classe des grandes exploitations (3,8%).</w:t>
      </w:r>
    </w:p>
    <w:p w:rsidR="00936AE8" w:rsidRPr="00B6647E" w:rsidRDefault="00936AE8" w:rsidP="00F76FCD">
      <w:pPr>
        <w:pStyle w:val="Paragraphedeliste"/>
        <w:spacing w:after="120" w:line="240" w:lineRule="auto"/>
        <w:ind w:left="0"/>
        <w:contextualSpacing w:val="0"/>
        <w:rPr>
          <w:rFonts w:ascii="Arial" w:hAnsi="Arial" w:cs="Arial"/>
          <w:b/>
          <w:sz w:val="20"/>
          <w:szCs w:val="20"/>
        </w:rPr>
      </w:pPr>
      <w:r w:rsidRPr="00B6647E">
        <w:rPr>
          <w:rFonts w:ascii="Arial" w:hAnsi="Arial" w:cs="Arial"/>
          <w:b/>
          <w:sz w:val="20"/>
          <w:szCs w:val="20"/>
        </w:rPr>
        <w:t xml:space="preserve">Graphique </w:t>
      </w:r>
      <w:r w:rsidR="005F5570" w:rsidRPr="00B6647E">
        <w:rPr>
          <w:rFonts w:ascii="Arial" w:hAnsi="Arial" w:cs="Arial"/>
          <w:b/>
          <w:sz w:val="20"/>
          <w:szCs w:val="20"/>
        </w:rPr>
        <w:t>07</w:t>
      </w:r>
      <w:r w:rsidRPr="00B6647E">
        <w:rPr>
          <w:rFonts w:ascii="Arial" w:hAnsi="Arial" w:cs="Arial"/>
          <w:b/>
          <w:sz w:val="20"/>
          <w:szCs w:val="20"/>
        </w:rPr>
        <w:t> : Répartition des exploitations dan</w:t>
      </w:r>
      <w:r w:rsidR="008A233A">
        <w:rPr>
          <w:rFonts w:ascii="Arial" w:hAnsi="Arial" w:cs="Arial"/>
          <w:b/>
          <w:sz w:val="20"/>
          <w:szCs w:val="20"/>
        </w:rPr>
        <w:t>s</w:t>
      </w:r>
      <w:r w:rsidRPr="00B6647E">
        <w:rPr>
          <w:rFonts w:ascii="Arial" w:hAnsi="Arial" w:cs="Arial"/>
          <w:b/>
          <w:sz w:val="20"/>
          <w:szCs w:val="20"/>
        </w:rPr>
        <w:t xml:space="preserve"> les différents groupes</w:t>
      </w:r>
    </w:p>
    <w:p w:rsidR="00936AE8" w:rsidRPr="00B6647E" w:rsidRDefault="001C44B3" w:rsidP="00F80A9B">
      <w:pPr>
        <w:pStyle w:val="Paragraphedeliste"/>
        <w:spacing w:after="0" w:line="240" w:lineRule="auto"/>
        <w:ind w:left="0"/>
        <w:rPr>
          <w:rFonts w:ascii="Arial" w:hAnsi="Arial" w:cs="Arial"/>
          <w:sz w:val="20"/>
          <w:szCs w:val="20"/>
        </w:rPr>
      </w:pPr>
      <w:r w:rsidRPr="00B6647E">
        <w:rPr>
          <w:noProof/>
          <w:szCs w:val="20"/>
          <w:lang w:val="fr-FR" w:eastAsia="fr-FR"/>
        </w:rPr>
        <w:drawing>
          <wp:inline distT="0" distB="0" distL="0" distR="0">
            <wp:extent cx="5762625" cy="4112745"/>
            <wp:effectExtent l="19050" t="0" r="9525" b="0"/>
            <wp:docPr id="1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5762625" cy="4112745"/>
                    </a:xfrm>
                    <a:prstGeom prst="rect">
                      <a:avLst/>
                    </a:prstGeom>
                    <a:noFill/>
                    <a:ln w="9525">
                      <a:noFill/>
                      <a:miter lim="800000"/>
                      <a:headEnd/>
                      <a:tailEnd/>
                    </a:ln>
                  </pic:spPr>
                </pic:pic>
              </a:graphicData>
            </a:graphic>
          </wp:inline>
        </w:drawing>
      </w:r>
    </w:p>
    <w:p w:rsidR="001C5F10" w:rsidRPr="00B6647E" w:rsidRDefault="001C5F10" w:rsidP="004149DA">
      <w:pPr>
        <w:pStyle w:val="Paragraphedeliste"/>
        <w:spacing w:after="0" w:line="240" w:lineRule="auto"/>
        <w:ind w:left="0"/>
        <w:jc w:val="both"/>
        <w:rPr>
          <w:rFonts w:ascii="Arial" w:hAnsi="Arial" w:cs="Arial"/>
          <w:sz w:val="20"/>
          <w:szCs w:val="20"/>
        </w:rPr>
      </w:pPr>
    </w:p>
    <w:p w:rsidR="00936AE8" w:rsidRPr="00B6647E" w:rsidRDefault="00D60385" w:rsidP="004149DA">
      <w:pPr>
        <w:pStyle w:val="Paragraphedeliste"/>
        <w:spacing w:after="0" w:line="240" w:lineRule="auto"/>
        <w:ind w:left="0"/>
        <w:jc w:val="both"/>
        <w:rPr>
          <w:rFonts w:ascii="Arial" w:hAnsi="Arial" w:cs="Arial"/>
          <w:sz w:val="20"/>
          <w:szCs w:val="20"/>
        </w:rPr>
      </w:pPr>
      <w:r w:rsidRPr="00B6647E">
        <w:rPr>
          <w:rFonts w:ascii="Arial" w:hAnsi="Arial" w:cs="Arial"/>
          <w:b/>
          <w:sz w:val="20"/>
          <w:szCs w:val="20"/>
        </w:rPr>
        <w:t>Classe 1 :</w:t>
      </w:r>
      <w:r w:rsidRPr="00B6647E">
        <w:rPr>
          <w:rFonts w:ascii="Arial" w:hAnsi="Arial" w:cs="Arial"/>
          <w:sz w:val="20"/>
          <w:szCs w:val="20"/>
        </w:rPr>
        <w:t xml:space="preserve"> </w:t>
      </w:r>
      <w:r w:rsidR="00822EEE" w:rsidRPr="00B6647E">
        <w:rPr>
          <w:rFonts w:ascii="Arial" w:hAnsi="Arial" w:cs="Arial"/>
          <w:sz w:val="20"/>
          <w:szCs w:val="20"/>
        </w:rPr>
        <w:t>Petites e</w:t>
      </w:r>
      <w:r w:rsidRPr="00B6647E">
        <w:rPr>
          <w:rFonts w:ascii="Arial" w:hAnsi="Arial" w:cs="Arial"/>
          <w:sz w:val="20"/>
          <w:szCs w:val="20"/>
        </w:rPr>
        <w:t xml:space="preserve">xploitations. Cette classe de 491.863 exploitations </w:t>
      </w:r>
      <w:r w:rsidR="00606806" w:rsidRPr="00B6647E">
        <w:rPr>
          <w:rFonts w:ascii="Arial" w:hAnsi="Arial" w:cs="Arial"/>
          <w:sz w:val="20"/>
          <w:szCs w:val="20"/>
        </w:rPr>
        <w:t>représente</w:t>
      </w:r>
      <w:r w:rsidRPr="00B6647E">
        <w:rPr>
          <w:rFonts w:ascii="Arial" w:hAnsi="Arial" w:cs="Arial"/>
          <w:sz w:val="20"/>
          <w:szCs w:val="20"/>
        </w:rPr>
        <w:t xml:space="preserve"> 31,6% de l’ensemble des exploitations. </w:t>
      </w:r>
      <w:r w:rsidR="004D784F" w:rsidRPr="00B6647E">
        <w:rPr>
          <w:rFonts w:ascii="Arial" w:hAnsi="Arial" w:cs="Arial"/>
          <w:sz w:val="20"/>
          <w:szCs w:val="20"/>
        </w:rPr>
        <w:t>La taille des exploitations de cette classe est inférieure à la moyenne nationale (</w:t>
      </w:r>
      <w:r w:rsidR="00777C94" w:rsidRPr="00B6647E">
        <w:rPr>
          <w:rFonts w:ascii="Arial" w:hAnsi="Arial" w:cs="Arial"/>
          <w:sz w:val="20"/>
          <w:szCs w:val="20"/>
        </w:rPr>
        <w:t xml:space="preserve">4,2 contre </w:t>
      </w:r>
      <w:r w:rsidR="004D784F" w:rsidRPr="00B6647E">
        <w:rPr>
          <w:rFonts w:ascii="Arial" w:hAnsi="Arial" w:cs="Arial"/>
          <w:sz w:val="20"/>
          <w:szCs w:val="20"/>
        </w:rPr>
        <w:t xml:space="preserve">5,1 personnes). Elles sont dirigées à 75,1% par des hommes et 24,9% par des femmes. </w:t>
      </w:r>
      <w:r w:rsidRPr="00B6647E">
        <w:rPr>
          <w:rFonts w:ascii="Arial" w:hAnsi="Arial" w:cs="Arial"/>
          <w:sz w:val="20"/>
          <w:szCs w:val="20"/>
        </w:rPr>
        <w:t>Elles disposent en moyenne de 0,196 ha</w:t>
      </w:r>
      <w:r w:rsidR="00606806" w:rsidRPr="00B6647E">
        <w:rPr>
          <w:rFonts w:ascii="Arial" w:hAnsi="Arial" w:cs="Arial"/>
          <w:sz w:val="20"/>
          <w:szCs w:val="20"/>
        </w:rPr>
        <w:t xml:space="preserve"> et ont cultivé en moyenne 0,119 ha en saison A, 0,127 ha pendant la saison B et 0,099 ha au cours de la saisie C.</w:t>
      </w:r>
      <w:r w:rsidR="00871D94" w:rsidRPr="00B6647E">
        <w:rPr>
          <w:rFonts w:ascii="Arial" w:hAnsi="Arial" w:cs="Arial"/>
          <w:sz w:val="20"/>
          <w:szCs w:val="20"/>
        </w:rPr>
        <w:t xml:space="preserve"> </w:t>
      </w:r>
      <w:r w:rsidR="00112427" w:rsidRPr="00B6647E">
        <w:rPr>
          <w:rFonts w:ascii="Arial" w:hAnsi="Arial" w:cs="Arial"/>
          <w:sz w:val="20"/>
          <w:szCs w:val="20"/>
        </w:rPr>
        <w:t xml:space="preserve">Ces exploitations possèdent en moyenne </w:t>
      </w:r>
      <w:r w:rsidR="00012150" w:rsidRPr="00B6647E">
        <w:rPr>
          <w:rFonts w:ascii="Arial" w:hAnsi="Arial" w:cs="Arial"/>
          <w:sz w:val="20"/>
          <w:szCs w:val="20"/>
        </w:rPr>
        <w:t>un</w:t>
      </w:r>
      <w:r w:rsidR="00112427" w:rsidRPr="00B6647E">
        <w:rPr>
          <w:rFonts w:ascii="Arial" w:hAnsi="Arial" w:cs="Arial"/>
          <w:sz w:val="20"/>
          <w:szCs w:val="20"/>
        </w:rPr>
        <w:t xml:space="preserve"> caprin pour </w:t>
      </w:r>
      <w:r w:rsidR="00D86B37" w:rsidRPr="00B6647E">
        <w:rPr>
          <w:rFonts w:ascii="Arial" w:hAnsi="Arial" w:cs="Arial"/>
          <w:sz w:val="20"/>
          <w:szCs w:val="20"/>
        </w:rPr>
        <w:t>chacune</w:t>
      </w:r>
      <w:r w:rsidR="00112427" w:rsidRPr="00B6647E">
        <w:rPr>
          <w:rFonts w:ascii="Arial" w:hAnsi="Arial" w:cs="Arial"/>
          <w:sz w:val="20"/>
          <w:szCs w:val="20"/>
        </w:rPr>
        <w:t xml:space="preserve"> d’entre elles.</w:t>
      </w:r>
      <w:r w:rsidR="00871D94" w:rsidRPr="00B6647E">
        <w:rPr>
          <w:rFonts w:ascii="Arial" w:hAnsi="Arial" w:cs="Arial"/>
          <w:sz w:val="20"/>
          <w:szCs w:val="20"/>
        </w:rPr>
        <w:t xml:space="preserve"> </w:t>
      </w:r>
      <w:r w:rsidR="004149DA" w:rsidRPr="00B6647E">
        <w:rPr>
          <w:rFonts w:ascii="Arial" w:hAnsi="Arial" w:cs="Arial"/>
          <w:sz w:val="20"/>
          <w:szCs w:val="20"/>
        </w:rPr>
        <w:t>Au cours de la saison B</w:t>
      </w:r>
      <w:r w:rsidR="003E4F9E" w:rsidRPr="00B6647E">
        <w:rPr>
          <w:rStyle w:val="Appelnotedebasdep"/>
          <w:rFonts w:ascii="Arial" w:hAnsi="Arial" w:cs="Arial"/>
          <w:sz w:val="20"/>
          <w:szCs w:val="20"/>
        </w:rPr>
        <w:footnoteReference w:id="23"/>
      </w:r>
      <w:r w:rsidR="004149DA" w:rsidRPr="00B6647E">
        <w:rPr>
          <w:rFonts w:ascii="Arial" w:hAnsi="Arial" w:cs="Arial"/>
          <w:sz w:val="20"/>
          <w:szCs w:val="20"/>
        </w:rPr>
        <w:t xml:space="preserve">, </w:t>
      </w:r>
      <w:r w:rsidR="00871D94" w:rsidRPr="00B6647E">
        <w:rPr>
          <w:rFonts w:ascii="Arial" w:hAnsi="Arial" w:cs="Arial"/>
          <w:sz w:val="20"/>
          <w:szCs w:val="20"/>
        </w:rPr>
        <w:t xml:space="preserve">3,4% d’entre </w:t>
      </w:r>
      <w:r w:rsidR="00B55F93" w:rsidRPr="00B6647E">
        <w:rPr>
          <w:rFonts w:ascii="Arial" w:hAnsi="Arial" w:cs="Arial"/>
          <w:sz w:val="20"/>
          <w:szCs w:val="20"/>
        </w:rPr>
        <w:t xml:space="preserve">elles </w:t>
      </w:r>
      <w:r w:rsidR="00BF07AB" w:rsidRPr="00B6647E">
        <w:rPr>
          <w:rFonts w:ascii="Arial" w:hAnsi="Arial" w:cs="Arial"/>
          <w:sz w:val="20"/>
          <w:szCs w:val="20"/>
        </w:rPr>
        <w:t>ont adhéré</w:t>
      </w:r>
      <w:r w:rsidR="00871D94" w:rsidRPr="00B6647E">
        <w:rPr>
          <w:rFonts w:ascii="Arial" w:hAnsi="Arial" w:cs="Arial"/>
          <w:sz w:val="20"/>
          <w:szCs w:val="20"/>
        </w:rPr>
        <w:t xml:space="preserve"> à une organisation professionnelle</w:t>
      </w:r>
      <w:r w:rsidR="00A441C7" w:rsidRPr="00B6647E">
        <w:rPr>
          <w:rFonts w:ascii="Arial" w:hAnsi="Arial" w:cs="Arial"/>
          <w:sz w:val="20"/>
          <w:szCs w:val="20"/>
        </w:rPr>
        <w:t xml:space="preserve"> (OP)</w:t>
      </w:r>
      <w:r w:rsidR="004149DA" w:rsidRPr="00B6647E">
        <w:rPr>
          <w:rFonts w:ascii="Arial" w:hAnsi="Arial" w:cs="Arial"/>
          <w:sz w:val="20"/>
          <w:szCs w:val="20"/>
        </w:rPr>
        <w:t>,</w:t>
      </w:r>
      <w:r w:rsidR="00871D94" w:rsidRPr="00B6647E">
        <w:rPr>
          <w:rFonts w:ascii="Arial" w:hAnsi="Arial" w:cs="Arial"/>
          <w:sz w:val="20"/>
          <w:szCs w:val="20"/>
        </w:rPr>
        <w:t xml:space="preserve"> 1,4% ont </w:t>
      </w:r>
      <w:r w:rsidR="00BF07AB" w:rsidRPr="00B6647E">
        <w:rPr>
          <w:rFonts w:ascii="Arial" w:hAnsi="Arial" w:cs="Arial"/>
          <w:sz w:val="20"/>
          <w:szCs w:val="20"/>
        </w:rPr>
        <w:t xml:space="preserve">été </w:t>
      </w:r>
      <w:r w:rsidR="00871D94" w:rsidRPr="00B6647E">
        <w:rPr>
          <w:rFonts w:ascii="Arial" w:hAnsi="Arial" w:cs="Arial"/>
          <w:sz w:val="20"/>
          <w:szCs w:val="20"/>
        </w:rPr>
        <w:t>encadrées, 2,7% ont obtenu un crédit au cours des trois dernières années et 22,1% ont employé une main</w:t>
      </w:r>
      <w:r w:rsidR="004149DA" w:rsidRPr="00B6647E">
        <w:rPr>
          <w:rFonts w:ascii="Arial" w:hAnsi="Arial" w:cs="Arial"/>
          <w:sz w:val="20"/>
          <w:szCs w:val="20"/>
        </w:rPr>
        <w:t>-</w:t>
      </w:r>
      <w:r w:rsidR="00871D94" w:rsidRPr="00B6647E">
        <w:rPr>
          <w:rFonts w:ascii="Arial" w:hAnsi="Arial" w:cs="Arial"/>
          <w:sz w:val="20"/>
          <w:szCs w:val="20"/>
        </w:rPr>
        <w:t>d’</w:t>
      </w:r>
      <w:r w:rsidR="000D1D97" w:rsidRPr="00B6647E">
        <w:rPr>
          <w:rFonts w:ascii="Arial" w:hAnsi="Arial" w:cs="Arial"/>
          <w:sz w:val="20"/>
          <w:szCs w:val="20"/>
        </w:rPr>
        <w:t>œuvre</w:t>
      </w:r>
      <w:r w:rsidR="00871D94" w:rsidRPr="00B6647E">
        <w:rPr>
          <w:rFonts w:ascii="Arial" w:hAnsi="Arial" w:cs="Arial"/>
          <w:sz w:val="20"/>
          <w:szCs w:val="20"/>
        </w:rPr>
        <w:t xml:space="preserve"> rémunérée</w:t>
      </w:r>
      <w:r w:rsidR="00BF07AB" w:rsidRPr="00B6647E">
        <w:rPr>
          <w:rFonts w:ascii="Arial" w:hAnsi="Arial" w:cs="Arial"/>
          <w:sz w:val="20"/>
          <w:szCs w:val="20"/>
        </w:rPr>
        <w:t>.</w:t>
      </w:r>
      <w:r w:rsidR="003E4F9E" w:rsidRPr="00B6647E">
        <w:rPr>
          <w:rFonts w:ascii="Arial" w:hAnsi="Arial" w:cs="Arial"/>
          <w:sz w:val="20"/>
          <w:szCs w:val="20"/>
        </w:rPr>
        <w:t xml:space="preserve"> </w:t>
      </w:r>
      <w:r w:rsidR="00AD7285" w:rsidRPr="00B6647E">
        <w:rPr>
          <w:rFonts w:ascii="Arial" w:hAnsi="Arial" w:cs="Arial"/>
          <w:sz w:val="20"/>
          <w:szCs w:val="20"/>
        </w:rPr>
        <w:t>Elles</w:t>
      </w:r>
      <w:r w:rsidR="00877A1F" w:rsidRPr="00B6647E">
        <w:rPr>
          <w:rFonts w:ascii="Arial" w:hAnsi="Arial" w:cs="Arial"/>
          <w:sz w:val="20"/>
          <w:szCs w:val="20"/>
        </w:rPr>
        <w:t xml:space="preserve"> </w:t>
      </w:r>
      <w:r w:rsidR="00BF07AB" w:rsidRPr="00B6647E">
        <w:rPr>
          <w:rFonts w:ascii="Arial" w:hAnsi="Arial" w:cs="Arial"/>
          <w:sz w:val="20"/>
          <w:szCs w:val="20"/>
        </w:rPr>
        <w:t>ont pratiqué</w:t>
      </w:r>
      <w:r w:rsidR="00877A1F" w:rsidRPr="00B6647E">
        <w:rPr>
          <w:rFonts w:ascii="Arial" w:hAnsi="Arial" w:cs="Arial"/>
          <w:sz w:val="20"/>
          <w:szCs w:val="20"/>
        </w:rPr>
        <w:t xml:space="preserve"> la </w:t>
      </w:r>
      <w:r w:rsidR="00C2398A" w:rsidRPr="00B6647E">
        <w:rPr>
          <w:rFonts w:ascii="Arial" w:hAnsi="Arial" w:cs="Arial"/>
          <w:sz w:val="20"/>
          <w:szCs w:val="20"/>
        </w:rPr>
        <w:t>pêche</w:t>
      </w:r>
      <w:r w:rsidR="00877A1F" w:rsidRPr="00B6647E">
        <w:rPr>
          <w:rFonts w:ascii="Arial" w:hAnsi="Arial" w:cs="Arial"/>
          <w:sz w:val="20"/>
          <w:szCs w:val="20"/>
        </w:rPr>
        <w:t xml:space="preserve"> (</w:t>
      </w:r>
      <w:r w:rsidR="003E4F9E" w:rsidRPr="00B6647E">
        <w:rPr>
          <w:rFonts w:ascii="Arial" w:hAnsi="Arial" w:cs="Arial"/>
          <w:sz w:val="20"/>
          <w:szCs w:val="20"/>
        </w:rPr>
        <w:t>2,3%</w:t>
      </w:r>
      <w:r w:rsidR="00877A1F" w:rsidRPr="00B6647E">
        <w:rPr>
          <w:rFonts w:ascii="Arial" w:hAnsi="Arial" w:cs="Arial"/>
          <w:sz w:val="20"/>
          <w:szCs w:val="20"/>
        </w:rPr>
        <w:t>), l’apiculture (</w:t>
      </w:r>
      <w:r w:rsidR="003E4F9E" w:rsidRPr="00B6647E">
        <w:rPr>
          <w:rFonts w:ascii="Arial" w:hAnsi="Arial" w:cs="Arial"/>
          <w:sz w:val="20"/>
          <w:szCs w:val="20"/>
        </w:rPr>
        <w:t>1,1%</w:t>
      </w:r>
      <w:r w:rsidR="00877A1F" w:rsidRPr="00B6647E">
        <w:rPr>
          <w:rFonts w:ascii="Arial" w:hAnsi="Arial" w:cs="Arial"/>
          <w:sz w:val="20"/>
          <w:szCs w:val="20"/>
        </w:rPr>
        <w:t>) et la sylviculture (</w:t>
      </w:r>
      <w:r w:rsidR="003E4F9E" w:rsidRPr="00B6647E">
        <w:rPr>
          <w:rFonts w:ascii="Arial" w:hAnsi="Arial" w:cs="Arial"/>
          <w:sz w:val="20"/>
          <w:szCs w:val="20"/>
        </w:rPr>
        <w:t>6,8%</w:t>
      </w:r>
      <w:r w:rsidR="00BF07AB" w:rsidRPr="00B6647E">
        <w:rPr>
          <w:rFonts w:ascii="Arial" w:hAnsi="Arial" w:cs="Arial"/>
          <w:sz w:val="20"/>
          <w:szCs w:val="20"/>
        </w:rPr>
        <w:t xml:space="preserve"> </w:t>
      </w:r>
      <w:r w:rsidR="00C2398A" w:rsidRPr="00B6647E">
        <w:rPr>
          <w:rFonts w:ascii="Arial" w:hAnsi="Arial" w:cs="Arial"/>
          <w:sz w:val="20"/>
          <w:szCs w:val="20"/>
        </w:rPr>
        <w:t xml:space="preserve">très faible </w:t>
      </w:r>
      <w:r w:rsidR="00877A1F" w:rsidRPr="00B6647E">
        <w:rPr>
          <w:rFonts w:ascii="Arial" w:hAnsi="Arial" w:cs="Arial"/>
          <w:sz w:val="20"/>
          <w:szCs w:val="20"/>
        </w:rPr>
        <w:t>par rapport aux autres classes</w:t>
      </w:r>
      <w:r w:rsidR="003E4F9E" w:rsidRPr="00B6647E">
        <w:rPr>
          <w:rFonts w:ascii="Arial" w:hAnsi="Arial" w:cs="Arial"/>
          <w:sz w:val="20"/>
          <w:szCs w:val="20"/>
        </w:rPr>
        <w:t>.</w:t>
      </w:r>
    </w:p>
    <w:p w:rsidR="00253E12" w:rsidRPr="00B6647E" w:rsidRDefault="00253E12" w:rsidP="00F80A9B">
      <w:pPr>
        <w:pStyle w:val="Paragraphedeliste"/>
        <w:spacing w:after="0" w:line="240" w:lineRule="auto"/>
        <w:ind w:left="0"/>
        <w:rPr>
          <w:rFonts w:ascii="Arial" w:hAnsi="Arial" w:cs="Arial"/>
          <w:sz w:val="20"/>
          <w:szCs w:val="20"/>
        </w:rPr>
      </w:pPr>
    </w:p>
    <w:p w:rsidR="00187348" w:rsidRPr="00B6647E" w:rsidRDefault="00CA2D64" w:rsidP="00246A4F">
      <w:pPr>
        <w:pStyle w:val="Paragraphedeliste"/>
        <w:spacing w:after="0" w:line="240" w:lineRule="auto"/>
        <w:ind w:left="0"/>
        <w:jc w:val="both"/>
        <w:rPr>
          <w:rFonts w:ascii="Arial" w:hAnsi="Arial" w:cs="Arial"/>
          <w:sz w:val="20"/>
          <w:szCs w:val="20"/>
        </w:rPr>
      </w:pPr>
      <w:r w:rsidRPr="00B6647E">
        <w:rPr>
          <w:rFonts w:ascii="Arial" w:hAnsi="Arial" w:cs="Arial"/>
          <w:b/>
          <w:sz w:val="20"/>
          <w:szCs w:val="20"/>
        </w:rPr>
        <w:lastRenderedPageBreak/>
        <w:t xml:space="preserve">Classe </w:t>
      </w:r>
      <w:r w:rsidR="00187348" w:rsidRPr="00B6647E">
        <w:rPr>
          <w:rFonts w:ascii="Arial" w:hAnsi="Arial" w:cs="Arial"/>
          <w:b/>
          <w:sz w:val="20"/>
          <w:szCs w:val="20"/>
        </w:rPr>
        <w:t>2</w:t>
      </w:r>
      <w:r w:rsidRPr="00B6647E">
        <w:rPr>
          <w:rFonts w:ascii="Arial" w:hAnsi="Arial" w:cs="Arial"/>
          <w:b/>
          <w:sz w:val="20"/>
          <w:szCs w:val="20"/>
        </w:rPr>
        <w:t> :</w:t>
      </w:r>
      <w:r w:rsidRPr="00B6647E">
        <w:rPr>
          <w:rFonts w:ascii="Arial" w:hAnsi="Arial" w:cs="Arial"/>
          <w:sz w:val="20"/>
          <w:szCs w:val="20"/>
        </w:rPr>
        <w:t xml:space="preserve"> Exploitations moyenne</w:t>
      </w:r>
      <w:r w:rsidR="00822EEE" w:rsidRPr="00B6647E">
        <w:rPr>
          <w:rFonts w:ascii="Arial" w:hAnsi="Arial" w:cs="Arial"/>
          <w:sz w:val="20"/>
          <w:szCs w:val="20"/>
        </w:rPr>
        <w:t>s</w:t>
      </w:r>
      <w:r w:rsidR="00187348" w:rsidRPr="00B6647E">
        <w:rPr>
          <w:rFonts w:ascii="Arial" w:hAnsi="Arial" w:cs="Arial"/>
          <w:sz w:val="20"/>
          <w:szCs w:val="20"/>
        </w:rPr>
        <w:t xml:space="preserve">. Cette classe </w:t>
      </w:r>
      <w:r w:rsidR="00777C94" w:rsidRPr="00B6647E">
        <w:rPr>
          <w:rFonts w:ascii="Arial" w:hAnsi="Arial" w:cs="Arial"/>
          <w:sz w:val="20"/>
          <w:szCs w:val="20"/>
        </w:rPr>
        <w:t>totalise</w:t>
      </w:r>
      <w:r w:rsidR="00187348" w:rsidRPr="00B6647E">
        <w:rPr>
          <w:rFonts w:ascii="Arial" w:hAnsi="Arial" w:cs="Arial"/>
          <w:sz w:val="20"/>
          <w:szCs w:val="20"/>
        </w:rPr>
        <w:t xml:space="preserve"> </w:t>
      </w:r>
      <w:r w:rsidR="00590C65" w:rsidRPr="00B6647E">
        <w:rPr>
          <w:rFonts w:ascii="Arial" w:hAnsi="Arial" w:cs="Arial"/>
          <w:sz w:val="20"/>
          <w:szCs w:val="20"/>
        </w:rPr>
        <w:t>la moitié de l’ensemble des exploitations (</w:t>
      </w:r>
      <w:r w:rsidR="00777C94" w:rsidRPr="00B6647E">
        <w:rPr>
          <w:rFonts w:ascii="Arial" w:hAnsi="Arial" w:cs="Arial"/>
          <w:sz w:val="20"/>
          <w:szCs w:val="20"/>
        </w:rPr>
        <w:t>792.</w:t>
      </w:r>
      <w:r w:rsidR="00187348" w:rsidRPr="00B6647E">
        <w:rPr>
          <w:rFonts w:ascii="Arial" w:hAnsi="Arial" w:cs="Arial"/>
          <w:sz w:val="20"/>
          <w:szCs w:val="20"/>
        </w:rPr>
        <w:t>491.863 exploitations</w:t>
      </w:r>
      <w:r w:rsidR="00590C65" w:rsidRPr="00B6647E">
        <w:rPr>
          <w:rFonts w:ascii="Arial" w:hAnsi="Arial" w:cs="Arial"/>
          <w:sz w:val="20"/>
          <w:szCs w:val="20"/>
        </w:rPr>
        <w:t>, soit 50,9</w:t>
      </w:r>
      <w:r w:rsidR="00187348" w:rsidRPr="00B6647E">
        <w:rPr>
          <w:rFonts w:ascii="Arial" w:hAnsi="Arial" w:cs="Arial"/>
          <w:sz w:val="20"/>
          <w:szCs w:val="20"/>
        </w:rPr>
        <w:t>%</w:t>
      </w:r>
      <w:r w:rsidR="00777C94" w:rsidRPr="00B6647E">
        <w:rPr>
          <w:rFonts w:ascii="Arial" w:hAnsi="Arial" w:cs="Arial"/>
          <w:sz w:val="20"/>
          <w:szCs w:val="20"/>
        </w:rPr>
        <w:t>)</w:t>
      </w:r>
      <w:r w:rsidR="00187348" w:rsidRPr="00B6647E">
        <w:rPr>
          <w:rFonts w:ascii="Arial" w:hAnsi="Arial" w:cs="Arial"/>
          <w:sz w:val="20"/>
          <w:szCs w:val="20"/>
        </w:rPr>
        <w:t xml:space="preserve">. </w:t>
      </w:r>
      <w:r w:rsidR="008A233A">
        <w:rPr>
          <w:rFonts w:ascii="Arial" w:hAnsi="Arial" w:cs="Arial"/>
          <w:sz w:val="20"/>
          <w:szCs w:val="20"/>
        </w:rPr>
        <w:t>C</w:t>
      </w:r>
      <w:r w:rsidR="00BF07AB" w:rsidRPr="00B6647E">
        <w:rPr>
          <w:rFonts w:ascii="Arial" w:hAnsi="Arial" w:cs="Arial"/>
          <w:sz w:val="20"/>
          <w:szCs w:val="20"/>
        </w:rPr>
        <w:t>es</w:t>
      </w:r>
      <w:r w:rsidR="00187348" w:rsidRPr="00B6647E">
        <w:rPr>
          <w:rFonts w:ascii="Arial" w:hAnsi="Arial" w:cs="Arial"/>
          <w:sz w:val="20"/>
          <w:szCs w:val="20"/>
        </w:rPr>
        <w:t xml:space="preserve"> exploitations </w:t>
      </w:r>
      <w:r w:rsidR="00BF07AB" w:rsidRPr="00B6647E">
        <w:rPr>
          <w:rFonts w:ascii="Arial" w:hAnsi="Arial" w:cs="Arial"/>
          <w:sz w:val="20"/>
          <w:szCs w:val="20"/>
        </w:rPr>
        <w:t>ont une taille</w:t>
      </w:r>
      <w:r w:rsidR="00187348" w:rsidRPr="00B6647E">
        <w:rPr>
          <w:rFonts w:ascii="Arial" w:hAnsi="Arial" w:cs="Arial"/>
          <w:sz w:val="20"/>
          <w:szCs w:val="20"/>
        </w:rPr>
        <w:t xml:space="preserve"> </w:t>
      </w:r>
      <w:r w:rsidR="006435D6" w:rsidRPr="00B6647E">
        <w:rPr>
          <w:rFonts w:ascii="Arial" w:hAnsi="Arial" w:cs="Arial"/>
          <w:sz w:val="20"/>
          <w:szCs w:val="20"/>
        </w:rPr>
        <w:t xml:space="preserve">proche de la </w:t>
      </w:r>
      <w:r w:rsidR="00187348" w:rsidRPr="00B6647E">
        <w:rPr>
          <w:rFonts w:ascii="Arial" w:hAnsi="Arial" w:cs="Arial"/>
          <w:sz w:val="20"/>
          <w:szCs w:val="20"/>
        </w:rPr>
        <w:t>moyenne nationale (5,</w:t>
      </w:r>
      <w:r w:rsidR="006435D6" w:rsidRPr="00B6647E">
        <w:rPr>
          <w:rFonts w:ascii="Arial" w:hAnsi="Arial" w:cs="Arial"/>
          <w:sz w:val="20"/>
          <w:szCs w:val="20"/>
        </w:rPr>
        <w:t>2</w:t>
      </w:r>
      <w:r w:rsidR="00187348" w:rsidRPr="00B6647E">
        <w:rPr>
          <w:rFonts w:ascii="Arial" w:hAnsi="Arial" w:cs="Arial"/>
          <w:sz w:val="20"/>
          <w:szCs w:val="20"/>
        </w:rPr>
        <w:t xml:space="preserve"> personnes</w:t>
      </w:r>
      <w:r w:rsidR="00BF07AB" w:rsidRPr="00B6647E">
        <w:rPr>
          <w:rFonts w:ascii="Arial" w:hAnsi="Arial" w:cs="Arial"/>
          <w:sz w:val="20"/>
          <w:szCs w:val="20"/>
        </w:rPr>
        <w:t xml:space="preserve"> contre 5,1 pour la moyenne nationale</w:t>
      </w:r>
      <w:r w:rsidR="00187348" w:rsidRPr="00B6647E">
        <w:rPr>
          <w:rFonts w:ascii="Arial" w:hAnsi="Arial" w:cs="Arial"/>
          <w:sz w:val="20"/>
          <w:szCs w:val="20"/>
        </w:rPr>
        <w:t>). Elles sont dirigées à 7</w:t>
      </w:r>
      <w:r w:rsidR="00045A81" w:rsidRPr="00B6647E">
        <w:rPr>
          <w:rFonts w:ascii="Arial" w:hAnsi="Arial" w:cs="Arial"/>
          <w:sz w:val="20"/>
          <w:szCs w:val="20"/>
        </w:rPr>
        <w:t>8</w:t>
      </w:r>
      <w:r w:rsidR="00187348" w:rsidRPr="00B6647E">
        <w:rPr>
          <w:rFonts w:ascii="Arial" w:hAnsi="Arial" w:cs="Arial"/>
          <w:sz w:val="20"/>
          <w:szCs w:val="20"/>
        </w:rPr>
        <w:t>,</w:t>
      </w:r>
      <w:r w:rsidR="00045A81" w:rsidRPr="00B6647E">
        <w:rPr>
          <w:rFonts w:ascii="Arial" w:hAnsi="Arial" w:cs="Arial"/>
          <w:sz w:val="20"/>
          <w:szCs w:val="20"/>
        </w:rPr>
        <w:t>5</w:t>
      </w:r>
      <w:r w:rsidR="00187348" w:rsidRPr="00B6647E">
        <w:rPr>
          <w:rFonts w:ascii="Arial" w:hAnsi="Arial" w:cs="Arial"/>
          <w:sz w:val="20"/>
          <w:szCs w:val="20"/>
        </w:rPr>
        <w:t>% par des hommes et 2</w:t>
      </w:r>
      <w:r w:rsidR="009D3D15" w:rsidRPr="00B6647E">
        <w:rPr>
          <w:rFonts w:ascii="Arial" w:hAnsi="Arial" w:cs="Arial"/>
          <w:sz w:val="20"/>
          <w:szCs w:val="20"/>
        </w:rPr>
        <w:t>1</w:t>
      </w:r>
      <w:r w:rsidR="00187348" w:rsidRPr="00B6647E">
        <w:rPr>
          <w:rFonts w:ascii="Arial" w:hAnsi="Arial" w:cs="Arial"/>
          <w:sz w:val="20"/>
          <w:szCs w:val="20"/>
        </w:rPr>
        <w:t>,</w:t>
      </w:r>
      <w:r w:rsidR="009D3D15" w:rsidRPr="00B6647E">
        <w:rPr>
          <w:rFonts w:ascii="Arial" w:hAnsi="Arial" w:cs="Arial"/>
          <w:sz w:val="20"/>
          <w:szCs w:val="20"/>
        </w:rPr>
        <w:t>5</w:t>
      </w:r>
      <w:r w:rsidR="00187348" w:rsidRPr="00B6647E">
        <w:rPr>
          <w:rFonts w:ascii="Arial" w:hAnsi="Arial" w:cs="Arial"/>
          <w:sz w:val="20"/>
          <w:szCs w:val="20"/>
        </w:rPr>
        <w:t xml:space="preserve">% par des femmes. </w:t>
      </w:r>
      <w:r w:rsidR="00E00775" w:rsidRPr="00B6647E">
        <w:rPr>
          <w:rFonts w:ascii="Arial" w:hAnsi="Arial" w:cs="Arial"/>
          <w:sz w:val="20"/>
          <w:szCs w:val="20"/>
        </w:rPr>
        <w:t xml:space="preserve">Leurs </w:t>
      </w:r>
      <w:r w:rsidR="000458A4" w:rsidRPr="00B6647E">
        <w:rPr>
          <w:rFonts w:ascii="Arial" w:hAnsi="Arial" w:cs="Arial"/>
          <w:sz w:val="20"/>
          <w:szCs w:val="20"/>
        </w:rPr>
        <w:t>superficies</w:t>
      </w:r>
      <w:r w:rsidR="00E00775" w:rsidRPr="00B6647E">
        <w:rPr>
          <w:rFonts w:ascii="Arial" w:hAnsi="Arial" w:cs="Arial"/>
          <w:sz w:val="20"/>
          <w:szCs w:val="20"/>
        </w:rPr>
        <w:t xml:space="preserve"> sont estimées en </w:t>
      </w:r>
      <w:r w:rsidR="00187348" w:rsidRPr="00B6647E">
        <w:rPr>
          <w:rFonts w:ascii="Arial" w:hAnsi="Arial" w:cs="Arial"/>
          <w:sz w:val="20"/>
          <w:szCs w:val="20"/>
        </w:rPr>
        <w:t xml:space="preserve">moyenne </w:t>
      </w:r>
      <w:r w:rsidR="00E00775" w:rsidRPr="00B6647E">
        <w:rPr>
          <w:rFonts w:ascii="Arial" w:hAnsi="Arial" w:cs="Arial"/>
          <w:sz w:val="20"/>
          <w:szCs w:val="20"/>
        </w:rPr>
        <w:t>à</w:t>
      </w:r>
      <w:r w:rsidR="00187348" w:rsidRPr="00B6647E">
        <w:rPr>
          <w:rFonts w:ascii="Arial" w:hAnsi="Arial" w:cs="Arial"/>
          <w:sz w:val="20"/>
          <w:szCs w:val="20"/>
        </w:rPr>
        <w:t xml:space="preserve"> 0,</w:t>
      </w:r>
      <w:r w:rsidR="00E00775" w:rsidRPr="00B6647E">
        <w:rPr>
          <w:rFonts w:ascii="Arial" w:hAnsi="Arial" w:cs="Arial"/>
          <w:sz w:val="20"/>
          <w:szCs w:val="20"/>
        </w:rPr>
        <w:t>538</w:t>
      </w:r>
      <w:r w:rsidR="00187348" w:rsidRPr="00B6647E">
        <w:rPr>
          <w:rFonts w:ascii="Arial" w:hAnsi="Arial" w:cs="Arial"/>
          <w:sz w:val="20"/>
          <w:szCs w:val="20"/>
        </w:rPr>
        <w:t xml:space="preserve"> ha et </w:t>
      </w:r>
      <w:r w:rsidR="00E00775" w:rsidRPr="00B6647E">
        <w:rPr>
          <w:rFonts w:ascii="Arial" w:hAnsi="Arial" w:cs="Arial"/>
          <w:sz w:val="20"/>
          <w:szCs w:val="20"/>
        </w:rPr>
        <w:t xml:space="preserve">elles </w:t>
      </w:r>
      <w:r w:rsidR="00187348" w:rsidRPr="00B6647E">
        <w:rPr>
          <w:rFonts w:ascii="Arial" w:hAnsi="Arial" w:cs="Arial"/>
          <w:sz w:val="20"/>
          <w:szCs w:val="20"/>
        </w:rPr>
        <w:t>ont cultivé en moyenne 0,</w:t>
      </w:r>
      <w:r w:rsidR="00E00775" w:rsidRPr="00B6647E">
        <w:rPr>
          <w:rFonts w:ascii="Arial" w:hAnsi="Arial" w:cs="Arial"/>
          <w:sz w:val="20"/>
          <w:szCs w:val="20"/>
        </w:rPr>
        <w:t>286</w:t>
      </w:r>
      <w:r w:rsidR="00187348" w:rsidRPr="00B6647E">
        <w:rPr>
          <w:rFonts w:ascii="Arial" w:hAnsi="Arial" w:cs="Arial"/>
          <w:sz w:val="20"/>
          <w:szCs w:val="20"/>
        </w:rPr>
        <w:t xml:space="preserve"> ha en saison A, 0,</w:t>
      </w:r>
      <w:r w:rsidR="00E00775" w:rsidRPr="00B6647E">
        <w:rPr>
          <w:rFonts w:ascii="Arial" w:hAnsi="Arial" w:cs="Arial"/>
          <w:sz w:val="20"/>
          <w:szCs w:val="20"/>
        </w:rPr>
        <w:t>293</w:t>
      </w:r>
      <w:r w:rsidR="00187348" w:rsidRPr="00B6647E">
        <w:rPr>
          <w:rFonts w:ascii="Arial" w:hAnsi="Arial" w:cs="Arial"/>
          <w:sz w:val="20"/>
          <w:szCs w:val="20"/>
        </w:rPr>
        <w:t xml:space="preserve"> ha pendant la saison B et 0,</w:t>
      </w:r>
      <w:r w:rsidR="00E00775" w:rsidRPr="00B6647E">
        <w:rPr>
          <w:rFonts w:ascii="Arial" w:hAnsi="Arial" w:cs="Arial"/>
          <w:sz w:val="20"/>
          <w:szCs w:val="20"/>
        </w:rPr>
        <w:t>244</w:t>
      </w:r>
      <w:r w:rsidR="00187348" w:rsidRPr="00B6647E">
        <w:rPr>
          <w:rFonts w:ascii="Arial" w:hAnsi="Arial" w:cs="Arial"/>
          <w:sz w:val="20"/>
          <w:szCs w:val="20"/>
        </w:rPr>
        <w:t xml:space="preserve"> ha au cours de la saisie C.</w:t>
      </w:r>
      <w:r w:rsidR="00246A4F" w:rsidRPr="00B6647E">
        <w:rPr>
          <w:rFonts w:ascii="Arial" w:hAnsi="Arial" w:cs="Arial"/>
          <w:sz w:val="20"/>
          <w:szCs w:val="20"/>
        </w:rPr>
        <w:t xml:space="preserve"> </w:t>
      </w:r>
      <w:r w:rsidR="00112427" w:rsidRPr="00B6647E">
        <w:rPr>
          <w:rFonts w:ascii="Arial" w:hAnsi="Arial" w:cs="Arial"/>
          <w:sz w:val="20"/>
          <w:szCs w:val="20"/>
        </w:rPr>
        <w:t>Ces exploitations</w:t>
      </w:r>
      <w:r w:rsidR="00187348" w:rsidRPr="00B6647E">
        <w:rPr>
          <w:rFonts w:ascii="Arial" w:hAnsi="Arial" w:cs="Arial"/>
          <w:sz w:val="20"/>
          <w:szCs w:val="20"/>
        </w:rPr>
        <w:t xml:space="preserve"> possèdent en moyenne </w:t>
      </w:r>
      <w:r w:rsidR="00112427" w:rsidRPr="00B6647E">
        <w:rPr>
          <w:rFonts w:ascii="Arial" w:hAnsi="Arial" w:cs="Arial"/>
          <w:sz w:val="20"/>
          <w:szCs w:val="20"/>
        </w:rPr>
        <w:t>d</w:t>
      </w:r>
      <w:r w:rsidR="00012150" w:rsidRPr="00B6647E">
        <w:rPr>
          <w:rFonts w:ascii="Arial" w:hAnsi="Arial" w:cs="Arial"/>
          <w:sz w:val="20"/>
          <w:szCs w:val="20"/>
        </w:rPr>
        <w:t>eux</w:t>
      </w:r>
      <w:r w:rsidR="00187348" w:rsidRPr="00B6647E">
        <w:rPr>
          <w:rFonts w:ascii="Arial" w:hAnsi="Arial" w:cs="Arial"/>
          <w:sz w:val="20"/>
          <w:szCs w:val="20"/>
        </w:rPr>
        <w:t xml:space="preserve"> </w:t>
      </w:r>
      <w:r w:rsidR="00BF07AB" w:rsidRPr="00B6647E">
        <w:rPr>
          <w:rFonts w:ascii="Arial" w:hAnsi="Arial" w:cs="Arial"/>
          <w:sz w:val="20"/>
          <w:szCs w:val="20"/>
        </w:rPr>
        <w:t xml:space="preserve">caprins </w:t>
      </w:r>
      <w:r w:rsidR="00012150" w:rsidRPr="00B6647E">
        <w:rPr>
          <w:rFonts w:ascii="Arial" w:hAnsi="Arial" w:cs="Arial"/>
          <w:sz w:val="20"/>
          <w:szCs w:val="20"/>
        </w:rPr>
        <w:t>par exploitation</w:t>
      </w:r>
      <w:r w:rsidR="009678DF" w:rsidRPr="00B6647E">
        <w:rPr>
          <w:rFonts w:ascii="Arial" w:hAnsi="Arial" w:cs="Arial"/>
          <w:sz w:val="20"/>
          <w:szCs w:val="20"/>
        </w:rPr>
        <w:t>.</w:t>
      </w:r>
      <w:r w:rsidR="00012150" w:rsidRPr="00B6647E">
        <w:rPr>
          <w:rFonts w:ascii="Arial" w:hAnsi="Arial" w:cs="Arial"/>
          <w:sz w:val="20"/>
          <w:szCs w:val="20"/>
        </w:rPr>
        <w:t xml:space="preserve"> </w:t>
      </w:r>
      <w:r w:rsidR="00A441C7" w:rsidRPr="00B6647E">
        <w:rPr>
          <w:rFonts w:ascii="Arial" w:hAnsi="Arial" w:cs="Arial"/>
          <w:sz w:val="20"/>
          <w:szCs w:val="20"/>
        </w:rPr>
        <w:t xml:space="preserve">On a estimé que 14,1% d’entre elles </w:t>
      </w:r>
      <w:r w:rsidR="00BF07AB" w:rsidRPr="00B6647E">
        <w:rPr>
          <w:rFonts w:ascii="Arial" w:hAnsi="Arial" w:cs="Arial"/>
          <w:sz w:val="20"/>
          <w:szCs w:val="20"/>
        </w:rPr>
        <w:t>ont adhé</w:t>
      </w:r>
      <w:r w:rsidR="00A441C7" w:rsidRPr="00B6647E">
        <w:rPr>
          <w:rFonts w:ascii="Arial" w:hAnsi="Arial" w:cs="Arial"/>
          <w:sz w:val="20"/>
          <w:szCs w:val="20"/>
        </w:rPr>
        <w:t>r</w:t>
      </w:r>
      <w:r w:rsidR="00BF07AB" w:rsidRPr="00B6647E">
        <w:rPr>
          <w:rFonts w:ascii="Arial" w:hAnsi="Arial" w:cs="Arial"/>
          <w:sz w:val="20"/>
          <w:szCs w:val="20"/>
        </w:rPr>
        <w:t>é</w:t>
      </w:r>
      <w:r w:rsidR="00A441C7" w:rsidRPr="00B6647E">
        <w:rPr>
          <w:rFonts w:ascii="Arial" w:hAnsi="Arial" w:cs="Arial"/>
          <w:sz w:val="20"/>
          <w:szCs w:val="20"/>
        </w:rPr>
        <w:t xml:space="preserve"> à une OP</w:t>
      </w:r>
      <w:r w:rsidR="00AD7285" w:rsidRPr="00B6647E">
        <w:rPr>
          <w:rFonts w:ascii="Arial" w:hAnsi="Arial" w:cs="Arial"/>
          <w:sz w:val="20"/>
          <w:szCs w:val="20"/>
        </w:rPr>
        <w:t>, 7,4</w:t>
      </w:r>
      <w:r w:rsidR="00A441C7" w:rsidRPr="00B6647E">
        <w:rPr>
          <w:rFonts w:ascii="Arial" w:hAnsi="Arial" w:cs="Arial"/>
          <w:sz w:val="20"/>
          <w:szCs w:val="20"/>
        </w:rPr>
        <w:t xml:space="preserve"> ont</w:t>
      </w:r>
      <w:r w:rsidR="00187348" w:rsidRPr="00B6647E">
        <w:rPr>
          <w:rFonts w:ascii="Arial" w:hAnsi="Arial" w:cs="Arial"/>
          <w:sz w:val="20"/>
          <w:szCs w:val="20"/>
        </w:rPr>
        <w:t xml:space="preserve"> </w:t>
      </w:r>
      <w:r w:rsidR="00BF07AB" w:rsidRPr="00B6647E">
        <w:rPr>
          <w:rFonts w:ascii="Arial" w:hAnsi="Arial" w:cs="Arial"/>
          <w:sz w:val="20"/>
          <w:szCs w:val="20"/>
        </w:rPr>
        <w:t xml:space="preserve">été </w:t>
      </w:r>
      <w:r w:rsidR="00187348" w:rsidRPr="00B6647E">
        <w:rPr>
          <w:rFonts w:ascii="Arial" w:hAnsi="Arial" w:cs="Arial"/>
          <w:sz w:val="20"/>
          <w:szCs w:val="20"/>
        </w:rPr>
        <w:t xml:space="preserve">encadrées, </w:t>
      </w:r>
      <w:r w:rsidR="00A441C7" w:rsidRPr="00B6647E">
        <w:rPr>
          <w:rFonts w:ascii="Arial" w:hAnsi="Arial" w:cs="Arial"/>
          <w:sz w:val="20"/>
          <w:szCs w:val="20"/>
        </w:rPr>
        <w:t>4,6</w:t>
      </w:r>
      <w:r w:rsidR="00187348" w:rsidRPr="00B6647E">
        <w:rPr>
          <w:rFonts w:ascii="Arial" w:hAnsi="Arial" w:cs="Arial"/>
          <w:sz w:val="20"/>
          <w:szCs w:val="20"/>
        </w:rPr>
        <w:t xml:space="preserve">% ont obtenu un crédit au cours des trois dernières années et </w:t>
      </w:r>
      <w:r w:rsidR="00A441C7" w:rsidRPr="00B6647E">
        <w:rPr>
          <w:rFonts w:ascii="Arial" w:hAnsi="Arial" w:cs="Arial"/>
          <w:sz w:val="20"/>
          <w:szCs w:val="20"/>
        </w:rPr>
        <w:t>5</w:t>
      </w:r>
      <w:r w:rsidR="00187348" w:rsidRPr="00B6647E">
        <w:rPr>
          <w:rFonts w:ascii="Arial" w:hAnsi="Arial" w:cs="Arial"/>
          <w:sz w:val="20"/>
          <w:szCs w:val="20"/>
        </w:rPr>
        <w:t>2,</w:t>
      </w:r>
      <w:r w:rsidR="00A441C7" w:rsidRPr="00B6647E">
        <w:rPr>
          <w:rFonts w:ascii="Arial" w:hAnsi="Arial" w:cs="Arial"/>
          <w:sz w:val="20"/>
          <w:szCs w:val="20"/>
        </w:rPr>
        <w:t>9</w:t>
      </w:r>
      <w:r w:rsidR="00187348" w:rsidRPr="00B6647E">
        <w:rPr>
          <w:rFonts w:ascii="Arial" w:hAnsi="Arial" w:cs="Arial"/>
          <w:sz w:val="20"/>
          <w:szCs w:val="20"/>
        </w:rPr>
        <w:t>% ont employé une main-d’œuvre rémunérée</w:t>
      </w:r>
      <w:r w:rsidR="00BF07AB" w:rsidRPr="00B6647E">
        <w:rPr>
          <w:rFonts w:ascii="Arial" w:hAnsi="Arial" w:cs="Arial"/>
          <w:sz w:val="20"/>
          <w:szCs w:val="20"/>
        </w:rPr>
        <w:t xml:space="preserve">. </w:t>
      </w:r>
      <w:r w:rsidR="00AD7285" w:rsidRPr="00B6647E">
        <w:rPr>
          <w:rFonts w:ascii="Arial" w:hAnsi="Arial" w:cs="Arial"/>
          <w:sz w:val="20"/>
          <w:szCs w:val="20"/>
        </w:rPr>
        <w:t>Elles</w:t>
      </w:r>
      <w:r w:rsidR="00187348" w:rsidRPr="00B6647E">
        <w:rPr>
          <w:rFonts w:ascii="Arial" w:hAnsi="Arial" w:cs="Arial"/>
          <w:sz w:val="20"/>
          <w:szCs w:val="20"/>
        </w:rPr>
        <w:t xml:space="preserve"> </w:t>
      </w:r>
      <w:r w:rsidR="00BF07AB" w:rsidRPr="00B6647E">
        <w:rPr>
          <w:rFonts w:ascii="Arial" w:hAnsi="Arial" w:cs="Arial"/>
          <w:sz w:val="20"/>
          <w:szCs w:val="20"/>
        </w:rPr>
        <w:t xml:space="preserve">ont </w:t>
      </w:r>
      <w:r w:rsidR="00187348" w:rsidRPr="00B6647E">
        <w:rPr>
          <w:rFonts w:ascii="Arial" w:hAnsi="Arial" w:cs="Arial"/>
          <w:sz w:val="20"/>
          <w:szCs w:val="20"/>
        </w:rPr>
        <w:t>pratiqu</w:t>
      </w:r>
      <w:r w:rsidR="00BF07AB" w:rsidRPr="00B6647E">
        <w:rPr>
          <w:rFonts w:ascii="Arial" w:hAnsi="Arial" w:cs="Arial"/>
          <w:sz w:val="20"/>
          <w:szCs w:val="20"/>
        </w:rPr>
        <w:t>é</w:t>
      </w:r>
      <w:r w:rsidR="00187348" w:rsidRPr="00B6647E">
        <w:rPr>
          <w:rFonts w:ascii="Arial" w:hAnsi="Arial" w:cs="Arial"/>
          <w:sz w:val="20"/>
          <w:szCs w:val="20"/>
        </w:rPr>
        <w:t xml:space="preserve"> la pêche (</w:t>
      </w:r>
      <w:r w:rsidR="00A441C7" w:rsidRPr="00B6647E">
        <w:rPr>
          <w:rFonts w:ascii="Arial" w:hAnsi="Arial" w:cs="Arial"/>
          <w:sz w:val="20"/>
          <w:szCs w:val="20"/>
        </w:rPr>
        <w:t>1,8</w:t>
      </w:r>
      <w:r w:rsidR="00187348" w:rsidRPr="00B6647E">
        <w:rPr>
          <w:rFonts w:ascii="Arial" w:hAnsi="Arial" w:cs="Arial"/>
          <w:sz w:val="20"/>
          <w:szCs w:val="20"/>
        </w:rPr>
        <w:t>%), l’apiculture (</w:t>
      </w:r>
      <w:r w:rsidR="00A441C7" w:rsidRPr="00B6647E">
        <w:rPr>
          <w:rFonts w:ascii="Arial" w:hAnsi="Arial" w:cs="Arial"/>
          <w:sz w:val="20"/>
          <w:szCs w:val="20"/>
        </w:rPr>
        <w:t>4</w:t>
      </w:r>
      <w:r w:rsidR="00187348" w:rsidRPr="00B6647E">
        <w:rPr>
          <w:rFonts w:ascii="Arial" w:hAnsi="Arial" w:cs="Arial"/>
          <w:sz w:val="20"/>
          <w:szCs w:val="20"/>
        </w:rPr>
        <w:t>%) et la sylviculture (</w:t>
      </w:r>
      <w:r w:rsidR="00A441C7" w:rsidRPr="00B6647E">
        <w:rPr>
          <w:rFonts w:ascii="Arial" w:hAnsi="Arial" w:cs="Arial"/>
          <w:sz w:val="20"/>
          <w:szCs w:val="20"/>
        </w:rPr>
        <w:t>43,4</w:t>
      </w:r>
      <w:r w:rsidR="00187348" w:rsidRPr="00B6647E">
        <w:rPr>
          <w:rFonts w:ascii="Arial" w:hAnsi="Arial" w:cs="Arial"/>
          <w:sz w:val="20"/>
          <w:szCs w:val="20"/>
        </w:rPr>
        <w:t>%).</w:t>
      </w:r>
    </w:p>
    <w:p w:rsidR="00253E12" w:rsidRPr="00B6647E" w:rsidRDefault="0039155C" w:rsidP="0039155C">
      <w:pPr>
        <w:pStyle w:val="Lgende"/>
        <w:spacing w:before="200" w:after="120"/>
        <w:rPr>
          <w:rFonts w:ascii="Arial" w:hAnsi="Arial" w:cs="Arial"/>
        </w:rPr>
      </w:pPr>
      <w:r w:rsidRPr="00B6647E">
        <w:rPr>
          <w:rFonts w:ascii="Arial" w:hAnsi="Arial" w:cs="Arial"/>
        </w:rPr>
        <w:t xml:space="preserve">Tableau </w:t>
      </w:r>
      <w:r w:rsidR="00CC4FFD">
        <w:rPr>
          <w:rFonts w:ascii="Arial" w:hAnsi="Arial" w:cs="Arial"/>
        </w:rPr>
        <w:t>24</w:t>
      </w:r>
      <w:r w:rsidR="00253E12" w:rsidRPr="00B6647E">
        <w:rPr>
          <w:rFonts w:ascii="Arial" w:hAnsi="Arial" w:cs="Arial"/>
        </w:rPr>
        <w:t> : Caractéristiques de l'exploitation moyenne par classe</w:t>
      </w:r>
    </w:p>
    <w:p w:rsidR="00253E12" w:rsidRPr="00B6647E" w:rsidRDefault="006435D6" w:rsidP="00F80A9B">
      <w:pPr>
        <w:pStyle w:val="Paragraphedeliste"/>
        <w:spacing w:after="0" w:line="240" w:lineRule="auto"/>
        <w:ind w:left="0"/>
        <w:rPr>
          <w:rFonts w:ascii="Arial" w:hAnsi="Arial" w:cs="Arial"/>
          <w:sz w:val="20"/>
          <w:szCs w:val="20"/>
        </w:rPr>
      </w:pPr>
      <w:r w:rsidRPr="00B6647E">
        <w:rPr>
          <w:noProof/>
          <w:szCs w:val="20"/>
          <w:lang w:val="fr-FR" w:eastAsia="fr-FR"/>
        </w:rPr>
        <w:drawing>
          <wp:inline distT="0" distB="0" distL="0" distR="0">
            <wp:extent cx="5731510" cy="3615953"/>
            <wp:effectExtent l="19050" t="0" r="2540" b="0"/>
            <wp:docPr id="2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5731510" cy="3615953"/>
                    </a:xfrm>
                    <a:prstGeom prst="rect">
                      <a:avLst/>
                    </a:prstGeom>
                    <a:noFill/>
                    <a:ln w="9525">
                      <a:noFill/>
                      <a:miter lim="800000"/>
                      <a:headEnd/>
                      <a:tailEnd/>
                    </a:ln>
                  </pic:spPr>
                </pic:pic>
              </a:graphicData>
            </a:graphic>
          </wp:inline>
        </w:drawing>
      </w:r>
    </w:p>
    <w:p w:rsidR="006435D6" w:rsidRPr="00B6647E" w:rsidRDefault="006435D6" w:rsidP="00F80A9B">
      <w:pPr>
        <w:pStyle w:val="Paragraphedeliste"/>
        <w:spacing w:after="0" w:line="240" w:lineRule="auto"/>
        <w:ind w:left="0"/>
        <w:rPr>
          <w:rFonts w:ascii="Arial" w:hAnsi="Arial" w:cs="Arial"/>
          <w:sz w:val="20"/>
          <w:szCs w:val="20"/>
        </w:rPr>
      </w:pPr>
    </w:p>
    <w:p w:rsidR="00A12EF8" w:rsidRPr="00B6647E" w:rsidRDefault="00A12EF8" w:rsidP="00A12EF8">
      <w:pPr>
        <w:pStyle w:val="Paragraphedeliste"/>
        <w:spacing w:after="0" w:line="240" w:lineRule="auto"/>
        <w:ind w:left="0"/>
        <w:jc w:val="both"/>
        <w:rPr>
          <w:rFonts w:ascii="Arial" w:hAnsi="Arial" w:cs="Arial"/>
          <w:sz w:val="20"/>
          <w:szCs w:val="20"/>
        </w:rPr>
      </w:pPr>
      <w:r w:rsidRPr="00B6647E">
        <w:rPr>
          <w:rFonts w:ascii="Arial" w:hAnsi="Arial" w:cs="Arial"/>
          <w:b/>
          <w:sz w:val="20"/>
          <w:szCs w:val="20"/>
        </w:rPr>
        <w:t>Classe 3 </w:t>
      </w:r>
      <w:r w:rsidRPr="00B6647E">
        <w:rPr>
          <w:rFonts w:ascii="Arial" w:hAnsi="Arial" w:cs="Arial"/>
          <w:sz w:val="20"/>
          <w:szCs w:val="20"/>
        </w:rPr>
        <w:t>: Exploitations intermédiaire</w:t>
      </w:r>
      <w:r w:rsidR="00822EEE" w:rsidRPr="00B6647E">
        <w:rPr>
          <w:rFonts w:ascii="Arial" w:hAnsi="Arial" w:cs="Arial"/>
          <w:sz w:val="20"/>
          <w:szCs w:val="20"/>
        </w:rPr>
        <w:t>s</w:t>
      </w:r>
      <w:r w:rsidRPr="00B6647E">
        <w:rPr>
          <w:rFonts w:ascii="Arial" w:hAnsi="Arial" w:cs="Arial"/>
          <w:sz w:val="20"/>
          <w:szCs w:val="20"/>
        </w:rPr>
        <w:t xml:space="preserve">. Cette classe </w:t>
      </w:r>
      <w:r w:rsidR="00830C8F" w:rsidRPr="00B6647E">
        <w:rPr>
          <w:rFonts w:ascii="Arial" w:hAnsi="Arial" w:cs="Arial"/>
          <w:sz w:val="20"/>
          <w:szCs w:val="20"/>
        </w:rPr>
        <w:t>est représentée par</w:t>
      </w:r>
      <w:r w:rsidRPr="00B6647E">
        <w:rPr>
          <w:rFonts w:ascii="Arial" w:hAnsi="Arial" w:cs="Arial"/>
          <w:sz w:val="20"/>
          <w:szCs w:val="20"/>
        </w:rPr>
        <w:t xml:space="preserve"> </w:t>
      </w:r>
      <w:r w:rsidR="00830C8F" w:rsidRPr="00B6647E">
        <w:rPr>
          <w:rFonts w:ascii="Arial" w:hAnsi="Arial" w:cs="Arial"/>
          <w:sz w:val="20"/>
          <w:szCs w:val="20"/>
        </w:rPr>
        <w:t>213.245</w:t>
      </w:r>
      <w:r w:rsidRPr="00B6647E">
        <w:rPr>
          <w:rFonts w:ascii="Arial" w:hAnsi="Arial" w:cs="Arial"/>
          <w:sz w:val="20"/>
          <w:szCs w:val="20"/>
        </w:rPr>
        <w:t xml:space="preserve"> exploitations</w:t>
      </w:r>
      <w:r w:rsidR="00830C8F" w:rsidRPr="00B6647E">
        <w:rPr>
          <w:rFonts w:ascii="Arial" w:hAnsi="Arial" w:cs="Arial"/>
          <w:sz w:val="20"/>
          <w:szCs w:val="20"/>
        </w:rPr>
        <w:t xml:space="preserve">, </w:t>
      </w:r>
      <w:r w:rsidR="00BF07AB" w:rsidRPr="00B6647E">
        <w:rPr>
          <w:rFonts w:ascii="Arial" w:hAnsi="Arial" w:cs="Arial"/>
          <w:sz w:val="20"/>
          <w:szCs w:val="20"/>
        </w:rPr>
        <w:t xml:space="preserve">soit </w:t>
      </w:r>
      <w:r w:rsidR="00830C8F" w:rsidRPr="00B6647E">
        <w:rPr>
          <w:rFonts w:ascii="Arial" w:hAnsi="Arial" w:cs="Arial"/>
          <w:sz w:val="20"/>
          <w:szCs w:val="20"/>
        </w:rPr>
        <w:t>13,7</w:t>
      </w:r>
      <w:r w:rsidRPr="00B6647E">
        <w:rPr>
          <w:rFonts w:ascii="Arial" w:hAnsi="Arial" w:cs="Arial"/>
          <w:sz w:val="20"/>
          <w:szCs w:val="20"/>
        </w:rPr>
        <w:t xml:space="preserve">% de l’ensemble des exploitations. La taille </w:t>
      </w:r>
      <w:r w:rsidR="00246A4F" w:rsidRPr="00B6647E">
        <w:rPr>
          <w:rFonts w:ascii="Arial" w:hAnsi="Arial" w:cs="Arial"/>
          <w:sz w:val="20"/>
          <w:szCs w:val="20"/>
        </w:rPr>
        <w:t xml:space="preserve">moyenne </w:t>
      </w:r>
      <w:r w:rsidRPr="00B6647E">
        <w:rPr>
          <w:rFonts w:ascii="Arial" w:hAnsi="Arial" w:cs="Arial"/>
          <w:sz w:val="20"/>
          <w:szCs w:val="20"/>
        </w:rPr>
        <w:t xml:space="preserve">des exploitations de cette classe </w:t>
      </w:r>
      <w:r w:rsidR="00246A4F" w:rsidRPr="00B6647E">
        <w:rPr>
          <w:rFonts w:ascii="Arial" w:hAnsi="Arial" w:cs="Arial"/>
          <w:sz w:val="20"/>
          <w:szCs w:val="20"/>
        </w:rPr>
        <w:t xml:space="preserve">(6,5 personnes) </w:t>
      </w:r>
      <w:r w:rsidRPr="00B6647E">
        <w:rPr>
          <w:rFonts w:ascii="Arial" w:hAnsi="Arial" w:cs="Arial"/>
          <w:sz w:val="20"/>
          <w:szCs w:val="20"/>
        </w:rPr>
        <w:t xml:space="preserve">est </w:t>
      </w:r>
      <w:r w:rsidR="00246A4F" w:rsidRPr="00B6647E">
        <w:rPr>
          <w:rFonts w:ascii="Arial" w:hAnsi="Arial" w:cs="Arial"/>
          <w:sz w:val="20"/>
          <w:szCs w:val="20"/>
        </w:rPr>
        <w:t>supérieure</w:t>
      </w:r>
      <w:r w:rsidRPr="00B6647E">
        <w:rPr>
          <w:rFonts w:ascii="Arial" w:hAnsi="Arial" w:cs="Arial"/>
          <w:sz w:val="20"/>
          <w:szCs w:val="20"/>
        </w:rPr>
        <w:t xml:space="preserve"> à la moyenne nationale (5,1 personnes). </w:t>
      </w:r>
      <w:r w:rsidR="0054132D" w:rsidRPr="00B6647E">
        <w:rPr>
          <w:rFonts w:ascii="Arial" w:hAnsi="Arial" w:cs="Arial"/>
          <w:sz w:val="20"/>
          <w:szCs w:val="20"/>
        </w:rPr>
        <w:t>Elles sont dirigées à 87,5% par des hommes et 12,5% par des femmes</w:t>
      </w:r>
      <w:r w:rsidRPr="00B6647E">
        <w:rPr>
          <w:rFonts w:ascii="Arial" w:hAnsi="Arial" w:cs="Arial"/>
          <w:sz w:val="20"/>
          <w:szCs w:val="20"/>
        </w:rPr>
        <w:t xml:space="preserve">. </w:t>
      </w:r>
      <w:r w:rsidR="00BF07AB" w:rsidRPr="00B6647E">
        <w:rPr>
          <w:rFonts w:ascii="Arial" w:hAnsi="Arial" w:cs="Arial"/>
          <w:sz w:val="20"/>
          <w:szCs w:val="20"/>
        </w:rPr>
        <w:t>Les exploitations de ce groupe</w:t>
      </w:r>
      <w:r w:rsidRPr="00B6647E">
        <w:rPr>
          <w:rFonts w:ascii="Arial" w:hAnsi="Arial" w:cs="Arial"/>
          <w:sz w:val="20"/>
          <w:szCs w:val="20"/>
        </w:rPr>
        <w:t xml:space="preserve"> disposent en moyenne de </w:t>
      </w:r>
      <w:r w:rsidR="00C2149B" w:rsidRPr="00B6647E">
        <w:rPr>
          <w:rFonts w:ascii="Arial" w:hAnsi="Arial" w:cs="Arial"/>
          <w:sz w:val="20"/>
          <w:szCs w:val="20"/>
        </w:rPr>
        <w:t>1</w:t>
      </w:r>
      <w:r w:rsidRPr="00B6647E">
        <w:rPr>
          <w:rFonts w:ascii="Arial" w:hAnsi="Arial" w:cs="Arial"/>
          <w:sz w:val="20"/>
          <w:szCs w:val="20"/>
        </w:rPr>
        <w:t>,</w:t>
      </w:r>
      <w:r w:rsidR="00C2149B" w:rsidRPr="00B6647E">
        <w:rPr>
          <w:rFonts w:ascii="Arial" w:hAnsi="Arial" w:cs="Arial"/>
          <w:sz w:val="20"/>
          <w:szCs w:val="20"/>
        </w:rPr>
        <w:t>074</w:t>
      </w:r>
      <w:r w:rsidRPr="00B6647E">
        <w:rPr>
          <w:rFonts w:ascii="Arial" w:hAnsi="Arial" w:cs="Arial"/>
          <w:sz w:val="20"/>
          <w:szCs w:val="20"/>
        </w:rPr>
        <w:t xml:space="preserve"> ha et ont cultivé en moyenne </w:t>
      </w:r>
      <w:r w:rsidR="00C2149B" w:rsidRPr="00B6647E">
        <w:rPr>
          <w:rFonts w:ascii="Arial" w:hAnsi="Arial" w:cs="Arial"/>
          <w:sz w:val="20"/>
          <w:szCs w:val="20"/>
        </w:rPr>
        <w:t>0,499</w:t>
      </w:r>
      <w:r w:rsidRPr="00B6647E">
        <w:rPr>
          <w:rFonts w:ascii="Arial" w:hAnsi="Arial" w:cs="Arial"/>
          <w:sz w:val="20"/>
          <w:szCs w:val="20"/>
        </w:rPr>
        <w:t xml:space="preserve"> ha en saison A, 0,</w:t>
      </w:r>
      <w:r w:rsidR="00C2149B" w:rsidRPr="00B6647E">
        <w:rPr>
          <w:rFonts w:ascii="Arial" w:hAnsi="Arial" w:cs="Arial"/>
          <w:sz w:val="20"/>
          <w:szCs w:val="20"/>
        </w:rPr>
        <w:t>523</w:t>
      </w:r>
      <w:r w:rsidRPr="00B6647E">
        <w:rPr>
          <w:rFonts w:ascii="Arial" w:hAnsi="Arial" w:cs="Arial"/>
          <w:sz w:val="20"/>
          <w:szCs w:val="20"/>
        </w:rPr>
        <w:t xml:space="preserve"> ha pendant la saison B et 0,</w:t>
      </w:r>
      <w:r w:rsidR="00C2149B" w:rsidRPr="00B6647E">
        <w:rPr>
          <w:rFonts w:ascii="Arial" w:hAnsi="Arial" w:cs="Arial"/>
          <w:sz w:val="20"/>
          <w:szCs w:val="20"/>
        </w:rPr>
        <w:t>446</w:t>
      </w:r>
      <w:r w:rsidRPr="00B6647E">
        <w:rPr>
          <w:rFonts w:ascii="Arial" w:hAnsi="Arial" w:cs="Arial"/>
          <w:sz w:val="20"/>
          <w:szCs w:val="20"/>
        </w:rPr>
        <w:t xml:space="preserve"> ha au cours de la saisie C. Elles possèdent en moyenne </w:t>
      </w:r>
      <w:r w:rsidR="00C51740" w:rsidRPr="00B6647E">
        <w:rPr>
          <w:rFonts w:ascii="Arial" w:hAnsi="Arial" w:cs="Arial"/>
          <w:sz w:val="20"/>
          <w:szCs w:val="20"/>
        </w:rPr>
        <w:t>un</w:t>
      </w:r>
      <w:r w:rsidRPr="00B6647E">
        <w:rPr>
          <w:rFonts w:ascii="Arial" w:hAnsi="Arial" w:cs="Arial"/>
          <w:sz w:val="20"/>
          <w:szCs w:val="20"/>
        </w:rPr>
        <w:t xml:space="preserve"> bovin et </w:t>
      </w:r>
      <w:r w:rsidR="00C51740" w:rsidRPr="00B6647E">
        <w:rPr>
          <w:rFonts w:ascii="Arial" w:hAnsi="Arial" w:cs="Arial"/>
          <w:sz w:val="20"/>
          <w:szCs w:val="20"/>
        </w:rPr>
        <w:t>3</w:t>
      </w:r>
      <w:r w:rsidRPr="00B6647E">
        <w:rPr>
          <w:rFonts w:ascii="Arial" w:hAnsi="Arial" w:cs="Arial"/>
          <w:sz w:val="20"/>
          <w:szCs w:val="20"/>
        </w:rPr>
        <w:t xml:space="preserve"> caprins</w:t>
      </w:r>
      <w:r w:rsidR="00C2149B" w:rsidRPr="00B6647E">
        <w:rPr>
          <w:rFonts w:ascii="Arial" w:hAnsi="Arial" w:cs="Arial"/>
          <w:sz w:val="20"/>
          <w:szCs w:val="20"/>
        </w:rPr>
        <w:t xml:space="preserve"> p</w:t>
      </w:r>
      <w:r w:rsidR="00C51740" w:rsidRPr="00B6647E">
        <w:rPr>
          <w:rFonts w:ascii="Arial" w:hAnsi="Arial" w:cs="Arial"/>
          <w:sz w:val="20"/>
          <w:szCs w:val="20"/>
        </w:rPr>
        <w:t>ar exploitation</w:t>
      </w:r>
      <w:r w:rsidRPr="00B6647E">
        <w:rPr>
          <w:rFonts w:ascii="Arial" w:hAnsi="Arial" w:cs="Arial"/>
          <w:sz w:val="20"/>
          <w:szCs w:val="20"/>
        </w:rPr>
        <w:t>. Au cours de la saison B</w:t>
      </w:r>
      <w:r w:rsidRPr="00B6647E">
        <w:rPr>
          <w:rStyle w:val="Appelnotedebasdep"/>
          <w:rFonts w:ascii="Arial" w:hAnsi="Arial" w:cs="Arial"/>
          <w:sz w:val="20"/>
          <w:szCs w:val="20"/>
        </w:rPr>
        <w:footnoteReference w:id="24"/>
      </w:r>
      <w:r w:rsidRPr="00B6647E">
        <w:rPr>
          <w:rFonts w:ascii="Arial" w:hAnsi="Arial" w:cs="Arial"/>
          <w:sz w:val="20"/>
          <w:szCs w:val="20"/>
        </w:rPr>
        <w:t>, 3</w:t>
      </w:r>
      <w:r w:rsidR="00C2149B" w:rsidRPr="00B6647E">
        <w:rPr>
          <w:rFonts w:ascii="Arial" w:hAnsi="Arial" w:cs="Arial"/>
          <w:sz w:val="20"/>
          <w:szCs w:val="20"/>
        </w:rPr>
        <w:t>7</w:t>
      </w:r>
      <w:r w:rsidRPr="00B6647E">
        <w:rPr>
          <w:rFonts w:ascii="Arial" w:hAnsi="Arial" w:cs="Arial"/>
          <w:sz w:val="20"/>
          <w:szCs w:val="20"/>
        </w:rPr>
        <w:t xml:space="preserve">% d’entre </w:t>
      </w:r>
      <w:r w:rsidR="00645216" w:rsidRPr="00B6647E">
        <w:rPr>
          <w:rFonts w:ascii="Arial" w:hAnsi="Arial" w:cs="Arial"/>
          <w:sz w:val="20"/>
          <w:szCs w:val="20"/>
        </w:rPr>
        <w:t xml:space="preserve">elles ont </w:t>
      </w:r>
      <w:r w:rsidRPr="00B6647E">
        <w:rPr>
          <w:rFonts w:ascii="Arial" w:hAnsi="Arial" w:cs="Arial"/>
          <w:sz w:val="20"/>
          <w:szCs w:val="20"/>
        </w:rPr>
        <w:t>adh</w:t>
      </w:r>
      <w:r w:rsidR="00645216" w:rsidRPr="00B6647E">
        <w:rPr>
          <w:rFonts w:ascii="Arial" w:hAnsi="Arial" w:cs="Arial"/>
          <w:sz w:val="20"/>
          <w:szCs w:val="20"/>
        </w:rPr>
        <w:t>éré</w:t>
      </w:r>
      <w:r w:rsidRPr="00B6647E">
        <w:rPr>
          <w:rFonts w:ascii="Arial" w:hAnsi="Arial" w:cs="Arial"/>
          <w:sz w:val="20"/>
          <w:szCs w:val="20"/>
        </w:rPr>
        <w:t xml:space="preserve"> à une organisation professionnelle, </w:t>
      </w:r>
      <w:r w:rsidR="00C2149B" w:rsidRPr="00B6647E">
        <w:rPr>
          <w:rFonts w:ascii="Arial" w:hAnsi="Arial" w:cs="Arial"/>
          <w:sz w:val="20"/>
          <w:szCs w:val="20"/>
        </w:rPr>
        <w:t>23,9</w:t>
      </w:r>
      <w:r w:rsidRPr="00B6647E">
        <w:rPr>
          <w:rFonts w:ascii="Arial" w:hAnsi="Arial" w:cs="Arial"/>
          <w:sz w:val="20"/>
          <w:szCs w:val="20"/>
        </w:rPr>
        <w:t xml:space="preserve">% ont </w:t>
      </w:r>
      <w:r w:rsidR="00645216" w:rsidRPr="00B6647E">
        <w:rPr>
          <w:rFonts w:ascii="Arial" w:hAnsi="Arial" w:cs="Arial"/>
          <w:sz w:val="20"/>
          <w:szCs w:val="20"/>
        </w:rPr>
        <w:t xml:space="preserve">été </w:t>
      </w:r>
      <w:r w:rsidRPr="00B6647E">
        <w:rPr>
          <w:rFonts w:ascii="Arial" w:hAnsi="Arial" w:cs="Arial"/>
          <w:sz w:val="20"/>
          <w:szCs w:val="20"/>
        </w:rPr>
        <w:t xml:space="preserve">encadrées, </w:t>
      </w:r>
      <w:r w:rsidR="00C2149B" w:rsidRPr="00B6647E">
        <w:rPr>
          <w:rFonts w:ascii="Arial" w:hAnsi="Arial" w:cs="Arial"/>
          <w:sz w:val="20"/>
          <w:szCs w:val="20"/>
        </w:rPr>
        <w:t>10,5</w:t>
      </w:r>
      <w:r w:rsidRPr="00B6647E">
        <w:rPr>
          <w:rFonts w:ascii="Arial" w:hAnsi="Arial" w:cs="Arial"/>
          <w:sz w:val="20"/>
          <w:szCs w:val="20"/>
        </w:rPr>
        <w:t xml:space="preserve">% ont obtenu un crédit au cours des trois dernières années et </w:t>
      </w:r>
      <w:r w:rsidR="00C2149B" w:rsidRPr="00B6647E">
        <w:rPr>
          <w:rFonts w:ascii="Arial" w:hAnsi="Arial" w:cs="Arial"/>
          <w:sz w:val="20"/>
          <w:szCs w:val="20"/>
        </w:rPr>
        <w:t>72,5</w:t>
      </w:r>
      <w:r w:rsidRPr="00B6647E">
        <w:rPr>
          <w:rFonts w:ascii="Arial" w:hAnsi="Arial" w:cs="Arial"/>
          <w:sz w:val="20"/>
          <w:szCs w:val="20"/>
        </w:rPr>
        <w:t>% ont employé une main-d’œuvre rémunérée</w:t>
      </w:r>
      <w:r w:rsidR="00645216" w:rsidRPr="00B6647E">
        <w:rPr>
          <w:rFonts w:ascii="Arial" w:hAnsi="Arial" w:cs="Arial"/>
          <w:sz w:val="20"/>
          <w:szCs w:val="20"/>
        </w:rPr>
        <w:t>.</w:t>
      </w:r>
      <w:r w:rsidRPr="00B6647E">
        <w:rPr>
          <w:rFonts w:ascii="Arial" w:hAnsi="Arial" w:cs="Arial"/>
          <w:sz w:val="20"/>
          <w:szCs w:val="20"/>
        </w:rPr>
        <w:t xml:space="preserve"> </w:t>
      </w:r>
      <w:r w:rsidR="00645216" w:rsidRPr="00B6647E">
        <w:rPr>
          <w:rFonts w:ascii="Arial" w:hAnsi="Arial" w:cs="Arial"/>
          <w:sz w:val="20"/>
          <w:szCs w:val="20"/>
        </w:rPr>
        <w:t xml:space="preserve">Il y a 2% d’entre qui </w:t>
      </w:r>
      <w:r w:rsidRPr="00B6647E">
        <w:rPr>
          <w:rFonts w:ascii="Arial" w:hAnsi="Arial" w:cs="Arial"/>
          <w:sz w:val="20"/>
          <w:szCs w:val="20"/>
        </w:rPr>
        <w:t>pratiqu</w:t>
      </w:r>
      <w:r w:rsidR="00645216" w:rsidRPr="00B6647E">
        <w:rPr>
          <w:rFonts w:ascii="Arial" w:hAnsi="Arial" w:cs="Arial"/>
          <w:sz w:val="20"/>
          <w:szCs w:val="20"/>
        </w:rPr>
        <w:t xml:space="preserve">é </w:t>
      </w:r>
      <w:r w:rsidRPr="00B6647E">
        <w:rPr>
          <w:rFonts w:ascii="Arial" w:hAnsi="Arial" w:cs="Arial"/>
          <w:sz w:val="20"/>
          <w:szCs w:val="20"/>
        </w:rPr>
        <w:t xml:space="preserve">la pêche, </w:t>
      </w:r>
      <w:r w:rsidR="00645216" w:rsidRPr="00B6647E">
        <w:rPr>
          <w:rFonts w:ascii="Arial" w:hAnsi="Arial" w:cs="Arial"/>
          <w:sz w:val="20"/>
          <w:szCs w:val="20"/>
        </w:rPr>
        <w:t xml:space="preserve">12,1% ont fait l’apiculture </w:t>
      </w:r>
      <w:r w:rsidRPr="00B6647E">
        <w:rPr>
          <w:rFonts w:ascii="Arial" w:hAnsi="Arial" w:cs="Arial"/>
          <w:sz w:val="20"/>
          <w:szCs w:val="20"/>
        </w:rPr>
        <w:t xml:space="preserve"> et </w:t>
      </w:r>
      <w:r w:rsidR="00645216" w:rsidRPr="00B6647E">
        <w:rPr>
          <w:rFonts w:ascii="Arial" w:hAnsi="Arial" w:cs="Arial"/>
          <w:sz w:val="20"/>
          <w:szCs w:val="20"/>
        </w:rPr>
        <w:t xml:space="preserve">79% </w:t>
      </w:r>
      <w:r w:rsidRPr="00B6647E">
        <w:rPr>
          <w:rFonts w:ascii="Arial" w:hAnsi="Arial" w:cs="Arial"/>
          <w:sz w:val="20"/>
          <w:szCs w:val="20"/>
        </w:rPr>
        <w:t>la sylviculture</w:t>
      </w:r>
      <w:r w:rsidR="00C2149B" w:rsidRPr="00B6647E">
        <w:rPr>
          <w:rFonts w:ascii="Arial" w:hAnsi="Arial" w:cs="Arial"/>
          <w:sz w:val="20"/>
          <w:szCs w:val="20"/>
        </w:rPr>
        <w:t>.</w:t>
      </w:r>
    </w:p>
    <w:p w:rsidR="00C2149B" w:rsidRPr="00B6647E" w:rsidRDefault="00C2149B" w:rsidP="00A12EF8">
      <w:pPr>
        <w:pStyle w:val="Paragraphedeliste"/>
        <w:spacing w:after="0" w:line="240" w:lineRule="auto"/>
        <w:ind w:left="0"/>
        <w:jc w:val="both"/>
        <w:rPr>
          <w:rFonts w:ascii="Arial" w:hAnsi="Arial" w:cs="Arial"/>
          <w:sz w:val="20"/>
          <w:szCs w:val="20"/>
        </w:rPr>
      </w:pPr>
    </w:p>
    <w:p w:rsidR="00A12EF8" w:rsidRPr="00B6647E" w:rsidRDefault="00A12EF8" w:rsidP="00822EEE">
      <w:pPr>
        <w:pStyle w:val="Paragraphedeliste"/>
        <w:spacing w:after="0" w:line="240" w:lineRule="auto"/>
        <w:ind w:left="0"/>
        <w:contextualSpacing w:val="0"/>
        <w:jc w:val="both"/>
        <w:rPr>
          <w:rFonts w:ascii="Arial" w:hAnsi="Arial" w:cs="Arial"/>
          <w:sz w:val="20"/>
          <w:szCs w:val="20"/>
        </w:rPr>
      </w:pPr>
      <w:r w:rsidRPr="00B6647E">
        <w:rPr>
          <w:rFonts w:ascii="Arial" w:hAnsi="Arial" w:cs="Arial"/>
          <w:b/>
          <w:sz w:val="20"/>
          <w:szCs w:val="20"/>
        </w:rPr>
        <w:t>Classe 4 </w:t>
      </w:r>
      <w:r w:rsidRPr="00B6647E">
        <w:rPr>
          <w:rFonts w:ascii="Arial" w:hAnsi="Arial" w:cs="Arial"/>
          <w:sz w:val="20"/>
          <w:szCs w:val="20"/>
        </w:rPr>
        <w:t xml:space="preserve">: </w:t>
      </w:r>
      <w:r w:rsidR="00822EEE" w:rsidRPr="00B6647E">
        <w:rPr>
          <w:rFonts w:ascii="Arial" w:hAnsi="Arial" w:cs="Arial"/>
          <w:sz w:val="20"/>
          <w:szCs w:val="20"/>
        </w:rPr>
        <w:t>Grandes e</w:t>
      </w:r>
      <w:r w:rsidRPr="00B6647E">
        <w:rPr>
          <w:rFonts w:ascii="Arial" w:hAnsi="Arial" w:cs="Arial"/>
          <w:sz w:val="20"/>
          <w:szCs w:val="20"/>
        </w:rPr>
        <w:t xml:space="preserve">xploitations. Cette classe </w:t>
      </w:r>
      <w:r w:rsidR="00C86F51" w:rsidRPr="00B6647E">
        <w:rPr>
          <w:rFonts w:ascii="Arial" w:hAnsi="Arial" w:cs="Arial"/>
          <w:sz w:val="20"/>
          <w:szCs w:val="20"/>
        </w:rPr>
        <w:t>concerne 59.148</w:t>
      </w:r>
      <w:r w:rsidRPr="00B6647E">
        <w:rPr>
          <w:rFonts w:ascii="Arial" w:hAnsi="Arial" w:cs="Arial"/>
          <w:sz w:val="20"/>
          <w:szCs w:val="20"/>
        </w:rPr>
        <w:t xml:space="preserve"> exploitations représente </w:t>
      </w:r>
      <w:r w:rsidR="00C86F51" w:rsidRPr="00B6647E">
        <w:rPr>
          <w:rFonts w:ascii="Arial" w:hAnsi="Arial" w:cs="Arial"/>
          <w:sz w:val="20"/>
          <w:szCs w:val="20"/>
        </w:rPr>
        <w:t>(</w:t>
      </w:r>
      <w:r w:rsidRPr="00B6647E">
        <w:rPr>
          <w:rFonts w:ascii="Arial" w:hAnsi="Arial" w:cs="Arial"/>
          <w:sz w:val="20"/>
          <w:szCs w:val="20"/>
        </w:rPr>
        <w:t>3,</w:t>
      </w:r>
      <w:r w:rsidR="00C86F51" w:rsidRPr="00B6647E">
        <w:rPr>
          <w:rFonts w:ascii="Arial" w:hAnsi="Arial" w:cs="Arial"/>
          <w:sz w:val="20"/>
          <w:szCs w:val="20"/>
        </w:rPr>
        <w:t>8</w:t>
      </w:r>
      <w:r w:rsidRPr="00B6647E">
        <w:rPr>
          <w:rFonts w:ascii="Arial" w:hAnsi="Arial" w:cs="Arial"/>
          <w:sz w:val="20"/>
          <w:szCs w:val="20"/>
        </w:rPr>
        <w:t>% de l’ensemble des exploitations</w:t>
      </w:r>
      <w:r w:rsidR="00C86F51" w:rsidRPr="00B6647E">
        <w:rPr>
          <w:rFonts w:ascii="Arial" w:hAnsi="Arial" w:cs="Arial"/>
          <w:sz w:val="20"/>
          <w:szCs w:val="20"/>
        </w:rPr>
        <w:t>)</w:t>
      </w:r>
      <w:r w:rsidRPr="00B6647E">
        <w:rPr>
          <w:rFonts w:ascii="Arial" w:hAnsi="Arial" w:cs="Arial"/>
          <w:sz w:val="20"/>
          <w:szCs w:val="20"/>
        </w:rPr>
        <w:t xml:space="preserve">. La taille </w:t>
      </w:r>
      <w:r w:rsidR="008E6173" w:rsidRPr="00B6647E">
        <w:rPr>
          <w:rFonts w:ascii="Arial" w:hAnsi="Arial" w:cs="Arial"/>
          <w:sz w:val="20"/>
          <w:szCs w:val="20"/>
        </w:rPr>
        <w:t xml:space="preserve">moyenne </w:t>
      </w:r>
      <w:r w:rsidRPr="00B6647E">
        <w:rPr>
          <w:rFonts w:ascii="Arial" w:hAnsi="Arial" w:cs="Arial"/>
          <w:sz w:val="20"/>
          <w:szCs w:val="20"/>
        </w:rPr>
        <w:t xml:space="preserve">des exploitations </w:t>
      </w:r>
      <w:r w:rsidR="008E6173" w:rsidRPr="00B6647E">
        <w:rPr>
          <w:rFonts w:ascii="Arial" w:hAnsi="Arial" w:cs="Arial"/>
          <w:sz w:val="20"/>
          <w:szCs w:val="20"/>
        </w:rPr>
        <w:t xml:space="preserve">de </w:t>
      </w:r>
      <w:r w:rsidRPr="00B6647E">
        <w:rPr>
          <w:rFonts w:ascii="Arial" w:hAnsi="Arial" w:cs="Arial"/>
          <w:sz w:val="20"/>
          <w:szCs w:val="20"/>
        </w:rPr>
        <w:t>ce</w:t>
      </w:r>
      <w:r w:rsidR="00645216" w:rsidRPr="00B6647E">
        <w:rPr>
          <w:rFonts w:ascii="Arial" w:hAnsi="Arial" w:cs="Arial"/>
          <w:sz w:val="20"/>
          <w:szCs w:val="20"/>
        </w:rPr>
        <w:t xml:space="preserve"> groupe</w:t>
      </w:r>
      <w:r w:rsidRPr="00B6647E">
        <w:rPr>
          <w:rFonts w:ascii="Arial" w:hAnsi="Arial" w:cs="Arial"/>
          <w:sz w:val="20"/>
          <w:szCs w:val="20"/>
        </w:rPr>
        <w:t xml:space="preserve"> </w:t>
      </w:r>
      <w:r w:rsidR="008E6173" w:rsidRPr="00B6647E">
        <w:rPr>
          <w:rFonts w:ascii="Arial" w:hAnsi="Arial" w:cs="Arial"/>
          <w:sz w:val="20"/>
          <w:szCs w:val="20"/>
        </w:rPr>
        <w:t xml:space="preserve">(7,6 personnes) </w:t>
      </w:r>
      <w:r w:rsidRPr="00B6647E">
        <w:rPr>
          <w:rFonts w:ascii="Arial" w:hAnsi="Arial" w:cs="Arial"/>
          <w:sz w:val="20"/>
          <w:szCs w:val="20"/>
        </w:rPr>
        <w:t xml:space="preserve">est </w:t>
      </w:r>
      <w:r w:rsidR="008E6173" w:rsidRPr="00B6647E">
        <w:rPr>
          <w:rFonts w:ascii="Arial" w:hAnsi="Arial" w:cs="Arial"/>
          <w:sz w:val="20"/>
          <w:szCs w:val="20"/>
        </w:rPr>
        <w:t>supérieure</w:t>
      </w:r>
      <w:r w:rsidRPr="00B6647E">
        <w:rPr>
          <w:rFonts w:ascii="Arial" w:hAnsi="Arial" w:cs="Arial"/>
          <w:sz w:val="20"/>
          <w:szCs w:val="20"/>
        </w:rPr>
        <w:t xml:space="preserve"> à </w:t>
      </w:r>
      <w:r w:rsidR="00246A4F" w:rsidRPr="00B6647E">
        <w:rPr>
          <w:rFonts w:ascii="Arial" w:hAnsi="Arial" w:cs="Arial"/>
          <w:sz w:val="20"/>
          <w:szCs w:val="20"/>
        </w:rPr>
        <w:t>celles des trois autres classes</w:t>
      </w:r>
      <w:r w:rsidRPr="00B6647E">
        <w:rPr>
          <w:rFonts w:ascii="Arial" w:hAnsi="Arial" w:cs="Arial"/>
          <w:sz w:val="20"/>
          <w:szCs w:val="20"/>
        </w:rPr>
        <w:t xml:space="preserve">. Elles sont dirigées à </w:t>
      </w:r>
      <w:r w:rsidR="0054132D" w:rsidRPr="00B6647E">
        <w:rPr>
          <w:rFonts w:ascii="Arial" w:hAnsi="Arial" w:cs="Arial"/>
          <w:sz w:val="20"/>
          <w:szCs w:val="20"/>
        </w:rPr>
        <w:t>85,9</w:t>
      </w:r>
      <w:r w:rsidRPr="00B6647E">
        <w:rPr>
          <w:rFonts w:ascii="Arial" w:hAnsi="Arial" w:cs="Arial"/>
          <w:sz w:val="20"/>
          <w:szCs w:val="20"/>
        </w:rPr>
        <w:t xml:space="preserve">% par des hommes et </w:t>
      </w:r>
      <w:r w:rsidR="0054132D" w:rsidRPr="00B6647E">
        <w:rPr>
          <w:rFonts w:ascii="Arial" w:hAnsi="Arial" w:cs="Arial"/>
          <w:sz w:val="20"/>
          <w:szCs w:val="20"/>
        </w:rPr>
        <w:t>14</w:t>
      </w:r>
      <w:r w:rsidRPr="00B6647E">
        <w:rPr>
          <w:rFonts w:ascii="Arial" w:hAnsi="Arial" w:cs="Arial"/>
          <w:sz w:val="20"/>
          <w:szCs w:val="20"/>
        </w:rPr>
        <w:t>,</w:t>
      </w:r>
      <w:r w:rsidR="0054132D" w:rsidRPr="00B6647E">
        <w:rPr>
          <w:rFonts w:ascii="Arial" w:hAnsi="Arial" w:cs="Arial"/>
          <w:sz w:val="20"/>
          <w:szCs w:val="20"/>
        </w:rPr>
        <w:t>1</w:t>
      </w:r>
      <w:r w:rsidRPr="00B6647E">
        <w:rPr>
          <w:rFonts w:ascii="Arial" w:hAnsi="Arial" w:cs="Arial"/>
          <w:sz w:val="20"/>
          <w:szCs w:val="20"/>
        </w:rPr>
        <w:t xml:space="preserve">% par des femmes. Elles disposent en moyenne de </w:t>
      </w:r>
      <w:r w:rsidR="00C2149B" w:rsidRPr="00B6647E">
        <w:rPr>
          <w:rFonts w:ascii="Arial" w:hAnsi="Arial" w:cs="Arial"/>
          <w:sz w:val="20"/>
          <w:szCs w:val="20"/>
        </w:rPr>
        <w:t>1</w:t>
      </w:r>
      <w:r w:rsidRPr="00B6647E">
        <w:rPr>
          <w:rFonts w:ascii="Arial" w:hAnsi="Arial" w:cs="Arial"/>
          <w:sz w:val="20"/>
          <w:szCs w:val="20"/>
        </w:rPr>
        <w:t>,</w:t>
      </w:r>
      <w:r w:rsidR="00C2149B" w:rsidRPr="00B6647E">
        <w:rPr>
          <w:rFonts w:ascii="Arial" w:hAnsi="Arial" w:cs="Arial"/>
          <w:sz w:val="20"/>
          <w:szCs w:val="20"/>
        </w:rPr>
        <w:t>985</w:t>
      </w:r>
      <w:r w:rsidRPr="00B6647E">
        <w:rPr>
          <w:rFonts w:ascii="Arial" w:hAnsi="Arial" w:cs="Arial"/>
          <w:sz w:val="20"/>
          <w:szCs w:val="20"/>
        </w:rPr>
        <w:t xml:space="preserve"> ha et ont cultivé en moyenne 0,</w:t>
      </w:r>
      <w:r w:rsidR="00C2149B" w:rsidRPr="00B6647E">
        <w:rPr>
          <w:rFonts w:ascii="Arial" w:hAnsi="Arial" w:cs="Arial"/>
          <w:sz w:val="20"/>
          <w:szCs w:val="20"/>
        </w:rPr>
        <w:t>837</w:t>
      </w:r>
      <w:r w:rsidRPr="00B6647E">
        <w:rPr>
          <w:rFonts w:ascii="Arial" w:hAnsi="Arial" w:cs="Arial"/>
          <w:sz w:val="20"/>
          <w:szCs w:val="20"/>
        </w:rPr>
        <w:t xml:space="preserve"> ha en saison A, 0,</w:t>
      </w:r>
      <w:r w:rsidR="00C2149B" w:rsidRPr="00B6647E">
        <w:rPr>
          <w:rFonts w:ascii="Arial" w:hAnsi="Arial" w:cs="Arial"/>
          <w:sz w:val="20"/>
          <w:szCs w:val="20"/>
        </w:rPr>
        <w:t>871</w:t>
      </w:r>
      <w:r w:rsidRPr="00B6647E">
        <w:rPr>
          <w:rFonts w:ascii="Arial" w:hAnsi="Arial" w:cs="Arial"/>
          <w:sz w:val="20"/>
          <w:szCs w:val="20"/>
        </w:rPr>
        <w:t xml:space="preserve"> ha pendant la saison B et 0,</w:t>
      </w:r>
      <w:r w:rsidR="00C2149B" w:rsidRPr="00B6647E">
        <w:rPr>
          <w:rFonts w:ascii="Arial" w:hAnsi="Arial" w:cs="Arial"/>
          <w:sz w:val="20"/>
          <w:szCs w:val="20"/>
        </w:rPr>
        <w:t>778</w:t>
      </w:r>
      <w:r w:rsidRPr="00B6647E">
        <w:rPr>
          <w:rFonts w:ascii="Arial" w:hAnsi="Arial" w:cs="Arial"/>
          <w:sz w:val="20"/>
          <w:szCs w:val="20"/>
        </w:rPr>
        <w:t xml:space="preserve"> ha au cours de la saisie C. Elles possèdent en moyenne </w:t>
      </w:r>
      <w:r w:rsidR="00C51740" w:rsidRPr="00B6647E">
        <w:rPr>
          <w:rFonts w:ascii="Arial" w:hAnsi="Arial" w:cs="Arial"/>
          <w:sz w:val="20"/>
          <w:szCs w:val="20"/>
        </w:rPr>
        <w:t>deux</w:t>
      </w:r>
      <w:r w:rsidRPr="00B6647E">
        <w:rPr>
          <w:rFonts w:ascii="Arial" w:hAnsi="Arial" w:cs="Arial"/>
          <w:sz w:val="20"/>
          <w:szCs w:val="20"/>
        </w:rPr>
        <w:t xml:space="preserve"> bovin</w:t>
      </w:r>
      <w:r w:rsidR="00C2149B" w:rsidRPr="00B6647E">
        <w:rPr>
          <w:rFonts w:ascii="Arial" w:hAnsi="Arial" w:cs="Arial"/>
          <w:sz w:val="20"/>
          <w:szCs w:val="20"/>
        </w:rPr>
        <w:t>s</w:t>
      </w:r>
      <w:r w:rsidRPr="00B6647E">
        <w:rPr>
          <w:rFonts w:ascii="Arial" w:hAnsi="Arial" w:cs="Arial"/>
          <w:sz w:val="20"/>
          <w:szCs w:val="20"/>
        </w:rPr>
        <w:t xml:space="preserve"> et </w:t>
      </w:r>
      <w:r w:rsidR="00C51740" w:rsidRPr="00B6647E">
        <w:rPr>
          <w:rFonts w:ascii="Arial" w:hAnsi="Arial" w:cs="Arial"/>
          <w:sz w:val="20"/>
          <w:szCs w:val="20"/>
        </w:rPr>
        <w:t>quatre</w:t>
      </w:r>
      <w:r w:rsidRPr="00B6647E">
        <w:rPr>
          <w:rFonts w:ascii="Arial" w:hAnsi="Arial" w:cs="Arial"/>
          <w:sz w:val="20"/>
          <w:szCs w:val="20"/>
        </w:rPr>
        <w:t xml:space="preserve"> caprins</w:t>
      </w:r>
      <w:r w:rsidR="00C2149B" w:rsidRPr="00B6647E">
        <w:rPr>
          <w:rFonts w:ascii="Arial" w:hAnsi="Arial" w:cs="Arial"/>
          <w:sz w:val="20"/>
          <w:szCs w:val="20"/>
        </w:rPr>
        <w:t xml:space="preserve"> pour dix ménages</w:t>
      </w:r>
      <w:r w:rsidRPr="00B6647E">
        <w:rPr>
          <w:rFonts w:ascii="Arial" w:hAnsi="Arial" w:cs="Arial"/>
          <w:sz w:val="20"/>
          <w:szCs w:val="20"/>
        </w:rPr>
        <w:t>. Au cours de la saison B</w:t>
      </w:r>
      <w:r w:rsidRPr="00B6647E">
        <w:rPr>
          <w:rStyle w:val="Appelnotedebasdep"/>
          <w:rFonts w:ascii="Arial" w:hAnsi="Arial" w:cs="Arial"/>
          <w:sz w:val="20"/>
          <w:szCs w:val="20"/>
        </w:rPr>
        <w:footnoteReference w:id="25"/>
      </w:r>
      <w:r w:rsidRPr="00B6647E">
        <w:rPr>
          <w:rFonts w:ascii="Arial" w:hAnsi="Arial" w:cs="Arial"/>
          <w:sz w:val="20"/>
          <w:szCs w:val="20"/>
        </w:rPr>
        <w:t xml:space="preserve">, </w:t>
      </w:r>
      <w:r w:rsidR="00C2149B" w:rsidRPr="00B6647E">
        <w:rPr>
          <w:rFonts w:ascii="Arial" w:hAnsi="Arial" w:cs="Arial"/>
          <w:sz w:val="20"/>
          <w:szCs w:val="20"/>
        </w:rPr>
        <w:t>61,2</w:t>
      </w:r>
      <w:r w:rsidRPr="00B6647E">
        <w:rPr>
          <w:rFonts w:ascii="Arial" w:hAnsi="Arial" w:cs="Arial"/>
          <w:sz w:val="20"/>
          <w:szCs w:val="20"/>
        </w:rPr>
        <w:t xml:space="preserve">% d’entre </w:t>
      </w:r>
      <w:r w:rsidR="00645216" w:rsidRPr="00B6647E">
        <w:rPr>
          <w:rFonts w:ascii="Arial" w:hAnsi="Arial" w:cs="Arial"/>
          <w:sz w:val="20"/>
          <w:szCs w:val="20"/>
        </w:rPr>
        <w:t xml:space="preserve">ont </w:t>
      </w:r>
      <w:r w:rsidRPr="00B6647E">
        <w:rPr>
          <w:rFonts w:ascii="Arial" w:hAnsi="Arial" w:cs="Arial"/>
          <w:sz w:val="20"/>
          <w:szCs w:val="20"/>
        </w:rPr>
        <w:t>adh</w:t>
      </w:r>
      <w:r w:rsidR="00645216" w:rsidRPr="00B6647E">
        <w:rPr>
          <w:rFonts w:ascii="Arial" w:hAnsi="Arial" w:cs="Arial"/>
          <w:sz w:val="20"/>
          <w:szCs w:val="20"/>
        </w:rPr>
        <w:t>é</w:t>
      </w:r>
      <w:r w:rsidRPr="00B6647E">
        <w:rPr>
          <w:rFonts w:ascii="Arial" w:hAnsi="Arial" w:cs="Arial"/>
          <w:sz w:val="20"/>
          <w:szCs w:val="20"/>
        </w:rPr>
        <w:t>r</w:t>
      </w:r>
      <w:r w:rsidR="00645216" w:rsidRPr="00B6647E">
        <w:rPr>
          <w:rFonts w:ascii="Arial" w:hAnsi="Arial" w:cs="Arial"/>
          <w:sz w:val="20"/>
          <w:szCs w:val="20"/>
        </w:rPr>
        <w:t>é</w:t>
      </w:r>
      <w:r w:rsidRPr="00B6647E">
        <w:rPr>
          <w:rFonts w:ascii="Arial" w:hAnsi="Arial" w:cs="Arial"/>
          <w:sz w:val="20"/>
          <w:szCs w:val="20"/>
        </w:rPr>
        <w:t xml:space="preserve"> à une organisation professionnelle, </w:t>
      </w:r>
      <w:r w:rsidR="00C2149B" w:rsidRPr="00B6647E">
        <w:rPr>
          <w:rFonts w:ascii="Arial" w:hAnsi="Arial" w:cs="Arial"/>
          <w:sz w:val="20"/>
          <w:szCs w:val="20"/>
        </w:rPr>
        <w:t>55,3</w:t>
      </w:r>
      <w:r w:rsidR="00645216" w:rsidRPr="00B6647E">
        <w:rPr>
          <w:rFonts w:ascii="Arial" w:hAnsi="Arial" w:cs="Arial"/>
          <w:sz w:val="20"/>
          <w:szCs w:val="20"/>
        </w:rPr>
        <w:t xml:space="preserve">% </w:t>
      </w:r>
      <w:r w:rsidRPr="00B6647E">
        <w:rPr>
          <w:rFonts w:ascii="Arial" w:hAnsi="Arial" w:cs="Arial"/>
          <w:sz w:val="20"/>
          <w:szCs w:val="20"/>
        </w:rPr>
        <w:t xml:space="preserve">ont </w:t>
      </w:r>
      <w:r w:rsidR="00645216" w:rsidRPr="00B6647E">
        <w:rPr>
          <w:rFonts w:ascii="Arial" w:hAnsi="Arial" w:cs="Arial"/>
          <w:sz w:val="20"/>
          <w:szCs w:val="20"/>
        </w:rPr>
        <w:t xml:space="preserve">été </w:t>
      </w:r>
      <w:r w:rsidRPr="00B6647E">
        <w:rPr>
          <w:rFonts w:ascii="Arial" w:hAnsi="Arial" w:cs="Arial"/>
          <w:sz w:val="20"/>
          <w:szCs w:val="20"/>
        </w:rPr>
        <w:t xml:space="preserve">encadrées, </w:t>
      </w:r>
      <w:r w:rsidR="00C2149B" w:rsidRPr="00B6647E">
        <w:rPr>
          <w:rFonts w:ascii="Arial" w:hAnsi="Arial" w:cs="Arial"/>
          <w:sz w:val="20"/>
          <w:szCs w:val="20"/>
        </w:rPr>
        <w:t>10,6</w:t>
      </w:r>
      <w:r w:rsidRPr="00B6647E">
        <w:rPr>
          <w:rFonts w:ascii="Arial" w:hAnsi="Arial" w:cs="Arial"/>
          <w:sz w:val="20"/>
          <w:szCs w:val="20"/>
        </w:rPr>
        <w:t xml:space="preserve">% ont obtenu un crédit au cours des trois dernières années et </w:t>
      </w:r>
      <w:r w:rsidR="00C2149B" w:rsidRPr="00B6647E">
        <w:rPr>
          <w:rFonts w:ascii="Arial" w:hAnsi="Arial" w:cs="Arial"/>
          <w:sz w:val="20"/>
          <w:szCs w:val="20"/>
        </w:rPr>
        <w:t>90,6</w:t>
      </w:r>
      <w:r w:rsidRPr="00B6647E">
        <w:rPr>
          <w:rFonts w:ascii="Arial" w:hAnsi="Arial" w:cs="Arial"/>
          <w:sz w:val="20"/>
          <w:szCs w:val="20"/>
        </w:rPr>
        <w:t>% ont employé une main-d’œuvre rémunérée</w:t>
      </w:r>
      <w:r w:rsidR="00645216" w:rsidRPr="00B6647E">
        <w:rPr>
          <w:rFonts w:ascii="Arial" w:hAnsi="Arial" w:cs="Arial"/>
          <w:sz w:val="20"/>
          <w:szCs w:val="20"/>
        </w:rPr>
        <w:t>.</w:t>
      </w:r>
      <w:r w:rsidRPr="00B6647E">
        <w:rPr>
          <w:rFonts w:ascii="Arial" w:hAnsi="Arial" w:cs="Arial"/>
          <w:sz w:val="20"/>
          <w:szCs w:val="20"/>
        </w:rPr>
        <w:t xml:space="preserve"> </w:t>
      </w:r>
      <w:r w:rsidR="00AD7285" w:rsidRPr="00B6647E">
        <w:rPr>
          <w:rFonts w:ascii="Arial" w:hAnsi="Arial" w:cs="Arial"/>
          <w:sz w:val="20"/>
          <w:szCs w:val="20"/>
        </w:rPr>
        <w:t>Elle</w:t>
      </w:r>
      <w:r w:rsidR="00645216" w:rsidRPr="00B6647E">
        <w:rPr>
          <w:rFonts w:ascii="Arial" w:hAnsi="Arial" w:cs="Arial"/>
          <w:sz w:val="20"/>
          <w:szCs w:val="20"/>
        </w:rPr>
        <w:t>s</w:t>
      </w:r>
      <w:r w:rsidR="00AD7285" w:rsidRPr="00B6647E">
        <w:rPr>
          <w:rFonts w:ascii="Arial" w:hAnsi="Arial" w:cs="Arial"/>
          <w:sz w:val="20"/>
          <w:szCs w:val="20"/>
        </w:rPr>
        <w:t xml:space="preserve"> </w:t>
      </w:r>
      <w:r w:rsidR="00645216" w:rsidRPr="00B6647E">
        <w:rPr>
          <w:rFonts w:ascii="Arial" w:hAnsi="Arial" w:cs="Arial"/>
          <w:sz w:val="20"/>
          <w:szCs w:val="20"/>
        </w:rPr>
        <w:t xml:space="preserve">ont </w:t>
      </w:r>
      <w:r w:rsidRPr="00B6647E">
        <w:rPr>
          <w:rFonts w:ascii="Arial" w:hAnsi="Arial" w:cs="Arial"/>
          <w:sz w:val="20"/>
          <w:szCs w:val="20"/>
        </w:rPr>
        <w:t>pratiqu</w:t>
      </w:r>
      <w:r w:rsidR="00645216" w:rsidRPr="00B6647E">
        <w:rPr>
          <w:rFonts w:ascii="Arial" w:hAnsi="Arial" w:cs="Arial"/>
          <w:sz w:val="20"/>
          <w:szCs w:val="20"/>
        </w:rPr>
        <w:t>é</w:t>
      </w:r>
      <w:r w:rsidRPr="00B6647E">
        <w:rPr>
          <w:rFonts w:ascii="Arial" w:hAnsi="Arial" w:cs="Arial"/>
          <w:sz w:val="20"/>
          <w:szCs w:val="20"/>
        </w:rPr>
        <w:t xml:space="preserve"> la pêche (2,</w:t>
      </w:r>
      <w:r w:rsidR="00C2149B" w:rsidRPr="00B6647E">
        <w:rPr>
          <w:rFonts w:ascii="Arial" w:hAnsi="Arial" w:cs="Arial"/>
          <w:sz w:val="20"/>
          <w:szCs w:val="20"/>
        </w:rPr>
        <w:t>4</w:t>
      </w:r>
      <w:r w:rsidRPr="00B6647E">
        <w:rPr>
          <w:rFonts w:ascii="Arial" w:hAnsi="Arial" w:cs="Arial"/>
          <w:sz w:val="20"/>
          <w:szCs w:val="20"/>
        </w:rPr>
        <w:t>%), l’apiculture (</w:t>
      </w:r>
      <w:r w:rsidR="00C2149B" w:rsidRPr="00B6647E">
        <w:rPr>
          <w:rFonts w:ascii="Arial" w:hAnsi="Arial" w:cs="Arial"/>
          <w:sz w:val="20"/>
          <w:szCs w:val="20"/>
        </w:rPr>
        <w:t>29,4</w:t>
      </w:r>
      <w:r w:rsidRPr="00B6647E">
        <w:rPr>
          <w:rFonts w:ascii="Arial" w:hAnsi="Arial" w:cs="Arial"/>
          <w:sz w:val="20"/>
          <w:szCs w:val="20"/>
        </w:rPr>
        <w:t>%) et la sylviculture (</w:t>
      </w:r>
      <w:r w:rsidR="00C2149B" w:rsidRPr="00B6647E">
        <w:rPr>
          <w:rFonts w:ascii="Arial" w:hAnsi="Arial" w:cs="Arial"/>
          <w:sz w:val="20"/>
          <w:szCs w:val="20"/>
        </w:rPr>
        <w:t>85,9</w:t>
      </w:r>
      <w:r w:rsidRPr="00B6647E">
        <w:rPr>
          <w:rFonts w:ascii="Arial" w:hAnsi="Arial" w:cs="Arial"/>
          <w:sz w:val="20"/>
          <w:szCs w:val="20"/>
        </w:rPr>
        <w:t xml:space="preserve">%). </w:t>
      </w:r>
    </w:p>
    <w:p w:rsidR="00822EEE" w:rsidRPr="00B6647E" w:rsidRDefault="00822EEE" w:rsidP="00822EEE">
      <w:pPr>
        <w:pStyle w:val="Paragraphedeliste"/>
        <w:spacing w:line="240" w:lineRule="auto"/>
        <w:ind w:left="0"/>
        <w:contextualSpacing w:val="0"/>
        <w:jc w:val="both"/>
        <w:rPr>
          <w:rFonts w:ascii="Arial" w:hAnsi="Arial" w:cs="Arial"/>
          <w:sz w:val="20"/>
          <w:szCs w:val="20"/>
        </w:rPr>
      </w:pPr>
      <w:r w:rsidRPr="00B6647E">
        <w:rPr>
          <w:rFonts w:ascii="Arial" w:hAnsi="Arial" w:cs="Arial"/>
          <w:sz w:val="20"/>
          <w:szCs w:val="20"/>
        </w:rPr>
        <w:lastRenderedPageBreak/>
        <w:t xml:space="preserve">En résumé : </w:t>
      </w: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90"/>
      </w:tblGrid>
      <w:tr w:rsidR="00822EEE" w:rsidRPr="00B6647E" w:rsidTr="00236A90">
        <w:trPr>
          <w:trHeight w:val="6668"/>
        </w:trPr>
        <w:tc>
          <w:tcPr>
            <w:tcW w:w="9090" w:type="dxa"/>
          </w:tcPr>
          <w:p w:rsidR="00822EEE" w:rsidRPr="00B6647E" w:rsidRDefault="00822EEE" w:rsidP="00236A90">
            <w:pPr>
              <w:pStyle w:val="Paragraphedeliste"/>
              <w:spacing w:before="60" w:after="0" w:line="240" w:lineRule="auto"/>
              <w:ind w:left="58"/>
              <w:contextualSpacing w:val="0"/>
              <w:rPr>
                <w:rFonts w:ascii="Arial" w:hAnsi="Arial" w:cs="Arial"/>
                <w:i/>
                <w:sz w:val="20"/>
                <w:szCs w:val="20"/>
              </w:rPr>
            </w:pPr>
            <w:r w:rsidRPr="00B6647E">
              <w:rPr>
                <w:rFonts w:ascii="Arial" w:hAnsi="Arial" w:cs="Arial"/>
                <w:i/>
                <w:sz w:val="20"/>
                <w:szCs w:val="20"/>
              </w:rPr>
              <w:t xml:space="preserve">La classe des petites exploitations qui représente 31,6% de l’ensemble des exploitations est caractérisée par : </w:t>
            </w:r>
          </w:p>
          <w:p w:rsidR="00822EEE" w:rsidRPr="00B6647E" w:rsidRDefault="00822EEE" w:rsidP="00236A90">
            <w:pPr>
              <w:pStyle w:val="Paragraphedeliste"/>
              <w:numPr>
                <w:ilvl w:val="0"/>
                <w:numId w:val="13"/>
              </w:numPr>
              <w:spacing w:after="0" w:line="240" w:lineRule="auto"/>
              <w:ind w:left="778"/>
              <w:contextualSpacing w:val="0"/>
              <w:rPr>
                <w:rFonts w:ascii="Arial" w:hAnsi="Arial" w:cs="Arial"/>
                <w:i/>
                <w:sz w:val="20"/>
                <w:szCs w:val="20"/>
              </w:rPr>
            </w:pPr>
            <w:r w:rsidRPr="00B6647E">
              <w:rPr>
                <w:rFonts w:ascii="Arial" w:hAnsi="Arial" w:cs="Arial"/>
                <w:i/>
                <w:sz w:val="20"/>
                <w:szCs w:val="20"/>
              </w:rPr>
              <w:t>Des chefs d’exploitation relativement jeunes, en moyenne 39 ans;</w:t>
            </w:r>
          </w:p>
          <w:p w:rsidR="00822EEE" w:rsidRPr="00B6647E" w:rsidRDefault="00822EEE" w:rsidP="00236A90">
            <w:pPr>
              <w:pStyle w:val="Paragraphedeliste"/>
              <w:numPr>
                <w:ilvl w:val="0"/>
                <w:numId w:val="13"/>
              </w:numPr>
              <w:spacing w:after="0" w:line="240" w:lineRule="auto"/>
              <w:ind w:left="778"/>
              <w:contextualSpacing w:val="0"/>
              <w:rPr>
                <w:rFonts w:ascii="Arial" w:hAnsi="Arial" w:cs="Arial"/>
                <w:i/>
                <w:sz w:val="20"/>
                <w:szCs w:val="20"/>
              </w:rPr>
            </w:pPr>
            <w:r w:rsidRPr="00B6647E">
              <w:rPr>
                <w:rFonts w:ascii="Arial" w:hAnsi="Arial" w:cs="Arial"/>
                <w:i/>
                <w:sz w:val="20"/>
                <w:szCs w:val="20"/>
              </w:rPr>
              <w:t>De petites tailles d’exploitation, en moyenne 4 personnes;</w:t>
            </w:r>
          </w:p>
          <w:p w:rsidR="00822EEE" w:rsidRPr="00B6647E" w:rsidRDefault="00822EEE" w:rsidP="00236A90">
            <w:pPr>
              <w:pStyle w:val="Paragraphedeliste"/>
              <w:numPr>
                <w:ilvl w:val="0"/>
                <w:numId w:val="13"/>
              </w:numPr>
              <w:spacing w:after="0" w:line="240" w:lineRule="auto"/>
              <w:ind w:left="778"/>
              <w:contextualSpacing w:val="0"/>
              <w:rPr>
                <w:rFonts w:ascii="Arial" w:hAnsi="Arial" w:cs="Arial"/>
                <w:i/>
                <w:sz w:val="20"/>
                <w:szCs w:val="20"/>
              </w:rPr>
            </w:pPr>
            <w:r w:rsidRPr="00B6647E">
              <w:rPr>
                <w:rFonts w:ascii="Arial" w:hAnsi="Arial" w:cs="Arial"/>
                <w:i/>
                <w:sz w:val="20"/>
                <w:szCs w:val="20"/>
              </w:rPr>
              <w:t>De petites superficies, en moyenne 0,2 ha</w:t>
            </w:r>
          </w:p>
          <w:p w:rsidR="00822EEE" w:rsidRPr="00B6647E" w:rsidRDefault="00822EEE" w:rsidP="00236A90">
            <w:pPr>
              <w:pStyle w:val="Paragraphedeliste"/>
              <w:numPr>
                <w:ilvl w:val="0"/>
                <w:numId w:val="13"/>
              </w:numPr>
              <w:spacing w:after="0" w:line="240" w:lineRule="auto"/>
              <w:ind w:left="778"/>
              <w:contextualSpacing w:val="0"/>
              <w:rPr>
                <w:rFonts w:ascii="Arial" w:hAnsi="Arial" w:cs="Arial"/>
                <w:i/>
                <w:sz w:val="20"/>
                <w:szCs w:val="20"/>
              </w:rPr>
            </w:pPr>
            <w:r w:rsidRPr="00B6647E">
              <w:rPr>
                <w:rFonts w:ascii="Arial" w:hAnsi="Arial" w:cs="Arial"/>
                <w:i/>
                <w:sz w:val="20"/>
                <w:szCs w:val="20"/>
              </w:rPr>
              <w:t>En moyenne une tête de caprin par exploitation</w:t>
            </w:r>
          </w:p>
          <w:p w:rsidR="00822EEE" w:rsidRPr="00B6647E" w:rsidRDefault="00822EEE" w:rsidP="00236A90">
            <w:pPr>
              <w:pStyle w:val="Paragraphedeliste"/>
              <w:spacing w:before="60" w:after="0" w:line="240" w:lineRule="auto"/>
              <w:ind w:left="58"/>
              <w:contextualSpacing w:val="0"/>
              <w:rPr>
                <w:rFonts w:ascii="Arial" w:hAnsi="Arial" w:cs="Arial"/>
                <w:i/>
                <w:sz w:val="20"/>
                <w:szCs w:val="20"/>
              </w:rPr>
            </w:pPr>
            <w:r w:rsidRPr="00B6647E">
              <w:rPr>
                <w:rFonts w:ascii="Arial" w:hAnsi="Arial" w:cs="Arial"/>
                <w:i/>
                <w:sz w:val="20"/>
                <w:szCs w:val="20"/>
              </w:rPr>
              <w:t xml:space="preserve">La classe des exploitations moyennes qui totalise 50,9 % de toutes les exploitations est caractérisée par : </w:t>
            </w:r>
          </w:p>
          <w:p w:rsidR="00822EEE" w:rsidRPr="00B6647E" w:rsidRDefault="00822EEE" w:rsidP="00236A90">
            <w:pPr>
              <w:pStyle w:val="Paragraphedeliste"/>
              <w:numPr>
                <w:ilvl w:val="0"/>
                <w:numId w:val="13"/>
              </w:numPr>
              <w:spacing w:after="0" w:line="240" w:lineRule="auto"/>
              <w:ind w:left="780"/>
              <w:rPr>
                <w:rFonts w:ascii="Arial" w:hAnsi="Arial" w:cs="Arial"/>
                <w:i/>
                <w:sz w:val="20"/>
                <w:szCs w:val="20"/>
              </w:rPr>
            </w:pPr>
            <w:r w:rsidRPr="00B6647E">
              <w:rPr>
                <w:rFonts w:ascii="Arial" w:hAnsi="Arial" w:cs="Arial"/>
                <w:i/>
                <w:sz w:val="20"/>
                <w:szCs w:val="20"/>
              </w:rPr>
              <w:t>Des chefs d’exploitation âgés en moyenne de 44 ans;</w:t>
            </w:r>
          </w:p>
          <w:p w:rsidR="00822EEE" w:rsidRPr="00B6647E" w:rsidRDefault="00822EEE" w:rsidP="00236A90">
            <w:pPr>
              <w:pStyle w:val="Paragraphedeliste"/>
              <w:numPr>
                <w:ilvl w:val="0"/>
                <w:numId w:val="13"/>
              </w:numPr>
              <w:spacing w:after="0" w:line="240" w:lineRule="auto"/>
              <w:ind w:left="780"/>
              <w:rPr>
                <w:rFonts w:ascii="Arial" w:hAnsi="Arial" w:cs="Arial"/>
                <w:i/>
                <w:sz w:val="20"/>
                <w:szCs w:val="20"/>
              </w:rPr>
            </w:pPr>
            <w:r w:rsidRPr="00B6647E">
              <w:rPr>
                <w:rFonts w:ascii="Arial" w:hAnsi="Arial" w:cs="Arial"/>
                <w:i/>
                <w:sz w:val="20"/>
                <w:szCs w:val="20"/>
              </w:rPr>
              <w:t>Des tailles moyennes de 5 personnes en moyenne par exploitation;</w:t>
            </w:r>
          </w:p>
          <w:p w:rsidR="00822EEE" w:rsidRPr="00B6647E" w:rsidRDefault="00822EEE" w:rsidP="00236A90">
            <w:pPr>
              <w:pStyle w:val="Paragraphedeliste"/>
              <w:numPr>
                <w:ilvl w:val="0"/>
                <w:numId w:val="13"/>
              </w:numPr>
              <w:spacing w:after="0" w:line="240" w:lineRule="auto"/>
              <w:ind w:left="780"/>
              <w:rPr>
                <w:rFonts w:ascii="Arial" w:hAnsi="Arial" w:cs="Arial"/>
                <w:i/>
                <w:sz w:val="20"/>
                <w:szCs w:val="20"/>
              </w:rPr>
            </w:pPr>
            <w:r w:rsidRPr="00B6647E">
              <w:rPr>
                <w:rFonts w:ascii="Arial" w:hAnsi="Arial" w:cs="Arial"/>
                <w:i/>
                <w:sz w:val="20"/>
                <w:szCs w:val="20"/>
              </w:rPr>
              <w:t>Des superficies moyennes de 0,5 ha en moyenne par exploitation</w:t>
            </w:r>
          </w:p>
          <w:p w:rsidR="00822EEE" w:rsidRPr="00B6647E" w:rsidRDefault="00822EEE" w:rsidP="00236A90">
            <w:pPr>
              <w:pStyle w:val="Paragraphedeliste"/>
              <w:numPr>
                <w:ilvl w:val="0"/>
                <w:numId w:val="13"/>
              </w:numPr>
              <w:spacing w:after="0" w:line="240" w:lineRule="auto"/>
              <w:ind w:left="780"/>
              <w:rPr>
                <w:rFonts w:ascii="Arial" w:hAnsi="Arial" w:cs="Arial"/>
                <w:i/>
                <w:sz w:val="20"/>
                <w:szCs w:val="20"/>
              </w:rPr>
            </w:pPr>
            <w:r w:rsidRPr="00B6647E">
              <w:rPr>
                <w:rFonts w:ascii="Arial" w:hAnsi="Arial" w:cs="Arial"/>
                <w:i/>
                <w:sz w:val="20"/>
                <w:szCs w:val="20"/>
              </w:rPr>
              <w:t>En moyenne deux têtes de caprins par exploitation</w:t>
            </w:r>
          </w:p>
          <w:p w:rsidR="00822EEE" w:rsidRPr="00B6647E" w:rsidRDefault="00822EEE" w:rsidP="00236A90">
            <w:pPr>
              <w:pStyle w:val="Paragraphedeliste"/>
              <w:spacing w:before="60" w:after="0" w:line="240" w:lineRule="auto"/>
              <w:ind w:left="58"/>
              <w:contextualSpacing w:val="0"/>
              <w:rPr>
                <w:rFonts w:ascii="Arial" w:hAnsi="Arial" w:cs="Arial"/>
                <w:i/>
                <w:sz w:val="20"/>
                <w:szCs w:val="20"/>
              </w:rPr>
            </w:pPr>
            <w:r w:rsidRPr="00B6647E">
              <w:rPr>
                <w:rFonts w:ascii="Arial" w:hAnsi="Arial" w:cs="Arial"/>
                <w:i/>
                <w:sz w:val="20"/>
                <w:szCs w:val="20"/>
              </w:rPr>
              <w:t xml:space="preserve">La classe des exploitations intermédiaires qui correspond à 13,7% des exploitations agricoles est caractérisée par : </w:t>
            </w:r>
          </w:p>
          <w:p w:rsidR="00822EEE" w:rsidRPr="00B6647E" w:rsidRDefault="00822EEE" w:rsidP="00236A90">
            <w:pPr>
              <w:pStyle w:val="Paragraphedeliste"/>
              <w:numPr>
                <w:ilvl w:val="0"/>
                <w:numId w:val="13"/>
              </w:numPr>
              <w:spacing w:after="0" w:line="240" w:lineRule="auto"/>
              <w:ind w:left="780"/>
              <w:rPr>
                <w:rFonts w:ascii="Arial" w:hAnsi="Arial" w:cs="Arial"/>
                <w:i/>
                <w:sz w:val="20"/>
                <w:szCs w:val="20"/>
              </w:rPr>
            </w:pPr>
            <w:r w:rsidRPr="00B6647E">
              <w:rPr>
                <w:rFonts w:ascii="Arial" w:hAnsi="Arial" w:cs="Arial"/>
                <w:i/>
                <w:sz w:val="20"/>
                <w:szCs w:val="20"/>
              </w:rPr>
              <w:t>Des chefs d’exploitation âgés en moyenne de 48 ans;</w:t>
            </w:r>
          </w:p>
          <w:p w:rsidR="00822EEE" w:rsidRPr="00B6647E" w:rsidRDefault="00822EEE" w:rsidP="00236A90">
            <w:pPr>
              <w:pStyle w:val="Paragraphedeliste"/>
              <w:numPr>
                <w:ilvl w:val="0"/>
                <w:numId w:val="13"/>
              </w:numPr>
              <w:spacing w:after="0" w:line="240" w:lineRule="auto"/>
              <w:ind w:left="780"/>
              <w:rPr>
                <w:rFonts w:ascii="Arial" w:hAnsi="Arial" w:cs="Arial"/>
                <w:i/>
                <w:sz w:val="20"/>
                <w:szCs w:val="20"/>
              </w:rPr>
            </w:pPr>
            <w:r w:rsidRPr="00B6647E">
              <w:rPr>
                <w:rFonts w:ascii="Arial" w:hAnsi="Arial" w:cs="Arial"/>
                <w:i/>
                <w:sz w:val="20"/>
                <w:szCs w:val="20"/>
              </w:rPr>
              <w:t>Des tailles d’exploitation de 7 personnes en moyenne;</w:t>
            </w:r>
          </w:p>
          <w:p w:rsidR="00822EEE" w:rsidRPr="00B6647E" w:rsidRDefault="00822EEE" w:rsidP="00236A90">
            <w:pPr>
              <w:pStyle w:val="Paragraphedeliste"/>
              <w:numPr>
                <w:ilvl w:val="0"/>
                <w:numId w:val="13"/>
              </w:numPr>
              <w:spacing w:after="0" w:line="240" w:lineRule="auto"/>
              <w:ind w:left="780"/>
              <w:rPr>
                <w:rFonts w:ascii="Arial" w:hAnsi="Arial" w:cs="Arial"/>
                <w:i/>
                <w:sz w:val="20"/>
                <w:szCs w:val="20"/>
              </w:rPr>
            </w:pPr>
            <w:r w:rsidRPr="00B6647E">
              <w:rPr>
                <w:rFonts w:ascii="Arial" w:hAnsi="Arial" w:cs="Arial"/>
                <w:i/>
                <w:sz w:val="20"/>
                <w:szCs w:val="20"/>
              </w:rPr>
              <w:t>Des superficies de 1,1 ha en moyenne par exploitation</w:t>
            </w:r>
          </w:p>
          <w:p w:rsidR="00822EEE" w:rsidRPr="00B6647E" w:rsidRDefault="00822EEE" w:rsidP="00236A90">
            <w:pPr>
              <w:pStyle w:val="Paragraphedeliste"/>
              <w:numPr>
                <w:ilvl w:val="0"/>
                <w:numId w:val="13"/>
              </w:numPr>
              <w:spacing w:after="0" w:line="240" w:lineRule="auto"/>
              <w:ind w:left="780"/>
              <w:rPr>
                <w:rFonts w:ascii="Arial" w:hAnsi="Arial" w:cs="Arial"/>
                <w:i/>
                <w:sz w:val="20"/>
                <w:szCs w:val="20"/>
              </w:rPr>
            </w:pPr>
            <w:r w:rsidRPr="00B6647E">
              <w:rPr>
                <w:rFonts w:ascii="Arial" w:hAnsi="Arial" w:cs="Arial"/>
                <w:i/>
                <w:sz w:val="20"/>
                <w:szCs w:val="20"/>
              </w:rPr>
              <w:t>En moyenne un bovin et trois caprins par exploitation</w:t>
            </w:r>
          </w:p>
          <w:p w:rsidR="00822EEE" w:rsidRPr="00B6647E" w:rsidRDefault="00822EEE" w:rsidP="00236A90">
            <w:pPr>
              <w:pStyle w:val="Paragraphedeliste"/>
              <w:spacing w:before="60" w:after="0" w:line="240" w:lineRule="auto"/>
              <w:ind w:left="58"/>
              <w:contextualSpacing w:val="0"/>
              <w:rPr>
                <w:rFonts w:ascii="Arial" w:hAnsi="Arial" w:cs="Arial"/>
                <w:i/>
                <w:sz w:val="20"/>
                <w:szCs w:val="20"/>
              </w:rPr>
            </w:pPr>
            <w:r w:rsidRPr="00B6647E">
              <w:rPr>
                <w:rFonts w:ascii="Arial" w:hAnsi="Arial" w:cs="Arial"/>
                <w:i/>
                <w:sz w:val="20"/>
                <w:szCs w:val="20"/>
              </w:rPr>
              <w:t xml:space="preserve">La classe des grandes exploitations qui concerne 3,8% de l’ensemble des exploitations est caractérisée par : </w:t>
            </w:r>
          </w:p>
          <w:p w:rsidR="00822EEE" w:rsidRPr="00B6647E" w:rsidRDefault="00822EEE" w:rsidP="00236A90">
            <w:pPr>
              <w:pStyle w:val="Paragraphedeliste"/>
              <w:numPr>
                <w:ilvl w:val="0"/>
                <w:numId w:val="13"/>
              </w:numPr>
              <w:spacing w:after="0" w:line="240" w:lineRule="auto"/>
              <w:ind w:left="780"/>
              <w:rPr>
                <w:rFonts w:ascii="Arial" w:hAnsi="Arial" w:cs="Arial"/>
                <w:i/>
                <w:sz w:val="20"/>
                <w:szCs w:val="20"/>
              </w:rPr>
            </w:pPr>
            <w:r w:rsidRPr="00B6647E">
              <w:rPr>
                <w:rFonts w:ascii="Arial" w:hAnsi="Arial" w:cs="Arial"/>
                <w:i/>
                <w:sz w:val="20"/>
                <w:szCs w:val="20"/>
              </w:rPr>
              <w:t>Des chefs d’exploitation relativement âgés, en moyenne 50 ans;</w:t>
            </w:r>
          </w:p>
          <w:p w:rsidR="00822EEE" w:rsidRPr="00B6647E" w:rsidRDefault="00822EEE" w:rsidP="00236A90">
            <w:pPr>
              <w:pStyle w:val="Paragraphedeliste"/>
              <w:numPr>
                <w:ilvl w:val="0"/>
                <w:numId w:val="13"/>
              </w:numPr>
              <w:spacing w:after="0" w:line="240" w:lineRule="auto"/>
              <w:ind w:left="780"/>
              <w:rPr>
                <w:rFonts w:ascii="Arial" w:hAnsi="Arial" w:cs="Arial"/>
                <w:i/>
                <w:sz w:val="20"/>
                <w:szCs w:val="20"/>
              </w:rPr>
            </w:pPr>
            <w:r w:rsidRPr="00B6647E">
              <w:rPr>
                <w:rFonts w:ascii="Arial" w:hAnsi="Arial" w:cs="Arial"/>
                <w:i/>
                <w:sz w:val="20"/>
                <w:szCs w:val="20"/>
              </w:rPr>
              <w:t>De grandes tailles d’exploitation, en moyenne 8 personnes;</w:t>
            </w:r>
          </w:p>
          <w:p w:rsidR="00822EEE" w:rsidRPr="00B6647E" w:rsidRDefault="00822EEE" w:rsidP="00236A90">
            <w:pPr>
              <w:pStyle w:val="Paragraphedeliste"/>
              <w:numPr>
                <w:ilvl w:val="0"/>
                <w:numId w:val="13"/>
              </w:numPr>
              <w:spacing w:after="0" w:line="240" w:lineRule="auto"/>
              <w:ind w:left="780"/>
              <w:rPr>
                <w:rFonts w:ascii="Arial" w:hAnsi="Arial" w:cs="Arial"/>
                <w:i/>
                <w:sz w:val="20"/>
                <w:szCs w:val="20"/>
              </w:rPr>
            </w:pPr>
            <w:r w:rsidRPr="00B6647E">
              <w:rPr>
                <w:rFonts w:ascii="Arial" w:hAnsi="Arial" w:cs="Arial"/>
                <w:i/>
                <w:sz w:val="20"/>
                <w:szCs w:val="20"/>
              </w:rPr>
              <w:t>De grandes superficies, en moyenne 2 ha</w:t>
            </w:r>
          </w:p>
          <w:p w:rsidR="00822EEE" w:rsidRPr="00B6647E" w:rsidRDefault="00822EEE" w:rsidP="00236A90">
            <w:pPr>
              <w:pStyle w:val="Paragraphedeliste"/>
              <w:numPr>
                <w:ilvl w:val="0"/>
                <w:numId w:val="13"/>
              </w:numPr>
              <w:spacing w:after="0" w:line="240" w:lineRule="auto"/>
              <w:ind w:left="780"/>
              <w:rPr>
                <w:rFonts w:ascii="Arial" w:hAnsi="Arial" w:cs="Arial"/>
                <w:i/>
                <w:sz w:val="20"/>
                <w:szCs w:val="20"/>
              </w:rPr>
            </w:pPr>
            <w:r w:rsidRPr="00B6647E">
              <w:rPr>
                <w:rFonts w:ascii="Arial" w:hAnsi="Arial" w:cs="Arial"/>
                <w:i/>
                <w:sz w:val="20"/>
                <w:szCs w:val="20"/>
              </w:rPr>
              <w:t xml:space="preserve">En moyenne deux bovins et </w:t>
            </w:r>
            <w:r w:rsidR="00F45380" w:rsidRPr="00B6647E">
              <w:rPr>
                <w:rFonts w:ascii="Arial" w:hAnsi="Arial" w:cs="Arial"/>
                <w:i/>
                <w:sz w:val="20"/>
                <w:szCs w:val="20"/>
              </w:rPr>
              <w:t xml:space="preserve">quatre </w:t>
            </w:r>
            <w:r w:rsidRPr="00B6647E">
              <w:rPr>
                <w:rFonts w:ascii="Arial" w:hAnsi="Arial" w:cs="Arial"/>
                <w:i/>
                <w:sz w:val="20"/>
                <w:szCs w:val="20"/>
              </w:rPr>
              <w:t>caprins par exploitation</w:t>
            </w:r>
          </w:p>
          <w:p w:rsidR="00236A90" w:rsidRPr="00B6647E" w:rsidRDefault="00236A90" w:rsidP="00236A90">
            <w:pPr>
              <w:spacing w:after="0" w:line="240" w:lineRule="auto"/>
              <w:ind w:left="420"/>
              <w:rPr>
                <w:rFonts w:ascii="Arial" w:hAnsi="Arial" w:cs="Arial"/>
                <w:i/>
                <w:sz w:val="20"/>
                <w:szCs w:val="20"/>
              </w:rPr>
            </w:pPr>
          </w:p>
        </w:tc>
      </w:tr>
    </w:tbl>
    <w:p w:rsidR="00570A7D" w:rsidRPr="00B6647E" w:rsidRDefault="00570A7D" w:rsidP="00570A7D">
      <w:pPr>
        <w:pStyle w:val="Titre3"/>
        <w:keepNext w:val="0"/>
        <w:numPr>
          <w:ilvl w:val="2"/>
          <w:numId w:val="1"/>
        </w:numPr>
        <w:spacing w:before="200" w:after="120"/>
        <w:ind w:left="0" w:firstLine="0"/>
        <w:rPr>
          <w:rFonts w:cs="Arial"/>
          <w:szCs w:val="20"/>
        </w:rPr>
      </w:pPr>
      <w:bookmarkStart w:id="205" w:name="_Toc354313859"/>
      <w:r w:rsidRPr="00B6647E">
        <w:rPr>
          <w:rFonts w:cs="Arial"/>
          <w:szCs w:val="20"/>
        </w:rPr>
        <w:t>Proportions des quatre classes par province et par région naturelle</w:t>
      </w:r>
      <w:bookmarkEnd w:id="205"/>
    </w:p>
    <w:p w:rsidR="00236A90" w:rsidRPr="00B6647E" w:rsidRDefault="00236A90" w:rsidP="00236A90">
      <w:pPr>
        <w:spacing w:line="240" w:lineRule="auto"/>
        <w:jc w:val="both"/>
        <w:rPr>
          <w:rFonts w:ascii="Arial" w:hAnsi="Arial" w:cs="Arial"/>
          <w:sz w:val="20"/>
          <w:szCs w:val="20"/>
        </w:rPr>
      </w:pPr>
      <w:r w:rsidRPr="00B6647E">
        <w:rPr>
          <w:rFonts w:ascii="Arial" w:hAnsi="Arial" w:cs="Arial"/>
          <w:sz w:val="20"/>
          <w:szCs w:val="20"/>
        </w:rPr>
        <w:t>Au niveau des régions naturelles, les proportions des classes des petites exploitations et des exploitations moyennes sont significatives dans toutes les régions sauf dans Bututsi. Les proportions de la classe des exploitations intermédiaires ne sont significatives que dans Buyogoma, Kirimiro et Mugamba et  celle des grandes exploitations ne sont significatives dans aucune région.</w:t>
      </w:r>
    </w:p>
    <w:p w:rsidR="00236A90" w:rsidRPr="00B6647E" w:rsidRDefault="00236A90" w:rsidP="00236A90">
      <w:pPr>
        <w:pStyle w:val="Lgende"/>
        <w:spacing w:before="200" w:after="120"/>
        <w:rPr>
          <w:rFonts w:ascii="Arial" w:hAnsi="Arial" w:cs="Arial"/>
        </w:rPr>
      </w:pPr>
      <w:r w:rsidRPr="00B6647E">
        <w:rPr>
          <w:rFonts w:ascii="Arial" w:hAnsi="Arial" w:cs="Arial"/>
        </w:rPr>
        <w:t xml:space="preserve">Tableau </w:t>
      </w:r>
      <w:r w:rsidR="00CC4FFD">
        <w:rPr>
          <w:rFonts w:ascii="Arial" w:hAnsi="Arial" w:cs="Arial"/>
        </w:rPr>
        <w:t>25</w:t>
      </w:r>
      <w:r w:rsidRPr="00B6647E">
        <w:rPr>
          <w:rFonts w:ascii="Arial" w:hAnsi="Arial" w:cs="Arial"/>
        </w:rPr>
        <w:t> : Proportion des classes par région naturelle (%)</w:t>
      </w:r>
    </w:p>
    <w:p w:rsidR="00236A90" w:rsidRPr="00B6647E" w:rsidRDefault="00FD014D" w:rsidP="00236A90">
      <w:pPr>
        <w:rPr>
          <w:lang w:eastAsia="fr-FR"/>
        </w:rPr>
      </w:pPr>
      <w:r w:rsidRPr="00B6647E">
        <w:rPr>
          <w:noProof/>
          <w:lang w:val="fr-FR" w:eastAsia="fr-FR"/>
        </w:rPr>
        <w:drawing>
          <wp:inline distT="0" distB="0" distL="0" distR="0">
            <wp:extent cx="4943475" cy="3048000"/>
            <wp:effectExtent l="19050" t="0" r="9525" b="0"/>
            <wp:docPr id="7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4943475" cy="3048000"/>
                    </a:xfrm>
                    <a:prstGeom prst="rect">
                      <a:avLst/>
                    </a:prstGeom>
                    <a:noFill/>
                    <a:ln w="9525">
                      <a:noFill/>
                      <a:miter lim="800000"/>
                      <a:headEnd/>
                      <a:tailEnd/>
                    </a:ln>
                  </pic:spPr>
                </pic:pic>
              </a:graphicData>
            </a:graphic>
          </wp:inline>
        </w:drawing>
      </w:r>
    </w:p>
    <w:p w:rsidR="00236A90" w:rsidRPr="00B6647E" w:rsidRDefault="00236A90" w:rsidP="00236A90">
      <w:pPr>
        <w:spacing w:line="240" w:lineRule="auto"/>
        <w:jc w:val="both"/>
        <w:rPr>
          <w:rFonts w:ascii="Arial" w:hAnsi="Arial" w:cs="Arial"/>
          <w:sz w:val="20"/>
          <w:szCs w:val="20"/>
        </w:rPr>
      </w:pPr>
      <w:r w:rsidRPr="00B6647E">
        <w:rPr>
          <w:rFonts w:ascii="Arial" w:hAnsi="Arial" w:cs="Arial"/>
          <w:sz w:val="20"/>
          <w:szCs w:val="20"/>
        </w:rPr>
        <w:lastRenderedPageBreak/>
        <w:t>Les proportions des classes des petites exploitations et des exploitations moyennes sont significatives dans toutes les provinces sauf pour les petites exploitations dans Cankuzo. Les proportions de la classe des exploitations intermédiaires et celle des grandes exploitations ne sont significatives dans a</w:t>
      </w:r>
      <w:r w:rsidR="000E1F3F">
        <w:rPr>
          <w:rFonts w:ascii="Arial" w:hAnsi="Arial" w:cs="Arial"/>
          <w:sz w:val="20"/>
          <w:szCs w:val="20"/>
        </w:rPr>
        <w:t>uc</w:t>
      </w:r>
      <w:r w:rsidRPr="00B6647E">
        <w:rPr>
          <w:rFonts w:ascii="Arial" w:hAnsi="Arial" w:cs="Arial"/>
          <w:sz w:val="20"/>
          <w:szCs w:val="20"/>
        </w:rPr>
        <w:t>une province sauf dans Cankuzo pour les exploitations intermédiaires.</w:t>
      </w:r>
    </w:p>
    <w:p w:rsidR="00570A7D" w:rsidRPr="00B6647E" w:rsidRDefault="00570A7D" w:rsidP="00570A7D">
      <w:pPr>
        <w:pStyle w:val="Lgende"/>
        <w:spacing w:before="200" w:after="120"/>
        <w:rPr>
          <w:rFonts w:ascii="Arial" w:hAnsi="Arial" w:cs="Arial"/>
        </w:rPr>
      </w:pPr>
      <w:r w:rsidRPr="00B6647E">
        <w:rPr>
          <w:rFonts w:ascii="Arial" w:hAnsi="Arial" w:cs="Arial"/>
        </w:rPr>
        <w:t xml:space="preserve">Tableau </w:t>
      </w:r>
      <w:r w:rsidR="00CC4FFD">
        <w:rPr>
          <w:rFonts w:ascii="Arial" w:hAnsi="Arial" w:cs="Arial"/>
        </w:rPr>
        <w:t>26</w:t>
      </w:r>
      <w:r w:rsidRPr="00B6647E">
        <w:rPr>
          <w:rFonts w:ascii="Arial" w:hAnsi="Arial" w:cs="Arial"/>
        </w:rPr>
        <w:t> : Proportion des classes par province</w:t>
      </w:r>
      <w:r w:rsidR="007E3CF9" w:rsidRPr="00B6647E">
        <w:rPr>
          <w:rFonts w:ascii="Arial" w:hAnsi="Arial" w:cs="Arial"/>
        </w:rPr>
        <w:t xml:space="preserve"> (%)</w:t>
      </w:r>
    </w:p>
    <w:p w:rsidR="00570A7D" w:rsidRPr="00B6647E" w:rsidRDefault="00FD014D" w:rsidP="00570A7D">
      <w:pPr>
        <w:spacing w:line="240" w:lineRule="auto"/>
        <w:jc w:val="both"/>
        <w:rPr>
          <w:rFonts w:ascii="Arial" w:hAnsi="Arial" w:cs="Arial"/>
          <w:sz w:val="20"/>
          <w:szCs w:val="20"/>
        </w:rPr>
      </w:pPr>
      <w:r w:rsidRPr="00B6647E">
        <w:rPr>
          <w:noProof/>
          <w:szCs w:val="20"/>
          <w:lang w:val="fr-FR" w:eastAsia="fr-FR"/>
        </w:rPr>
        <w:drawing>
          <wp:inline distT="0" distB="0" distL="0" distR="0">
            <wp:extent cx="4943475" cy="4000500"/>
            <wp:effectExtent l="19050" t="0" r="9525" b="0"/>
            <wp:docPr id="7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srcRect/>
                    <a:stretch>
                      <a:fillRect/>
                    </a:stretch>
                  </pic:blipFill>
                  <pic:spPr bwMode="auto">
                    <a:xfrm>
                      <a:off x="0" y="0"/>
                      <a:ext cx="4943475" cy="4000500"/>
                    </a:xfrm>
                    <a:prstGeom prst="rect">
                      <a:avLst/>
                    </a:prstGeom>
                    <a:noFill/>
                    <a:ln w="9525">
                      <a:noFill/>
                      <a:miter lim="800000"/>
                      <a:headEnd/>
                      <a:tailEnd/>
                    </a:ln>
                  </pic:spPr>
                </pic:pic>
              </a:graphicData>
            </a:graphic>
          </wp:inline>
        </w:drawing>
      </w:r>
    </w:p>
    <w:p w:rsidR="00E96C1F" w:rsidRPr="00B6647E" w:rsidRDefault="007E3CF9" w:rsidP="00E96C1F">
      <w:pPr>
        <w:pStyle w:val="Notedebasdepage"/>
        <w:rPr>
          <w:rFonts w:cs="Arial"/>
          <w:b/>
          <w:color w:val="365F91"/>
          <w:sz w:val="24"/>
          <w:szCs w:val="24"/>
          <w:lang w:val="fr-BE"/>
        </w:rPr>
      </w:pPr>
      <w:r w:rsidRPr="00B6647E">
        <w:rPr>
          <w:rFonts w:cs="Arial"/>
          <w:b/>
          <w:i/>
        </w:rPr>
        <w:t>NB </w:t>
      </w:r>
      <w:r w:rsidR="00E96C1F" w:rsidRPr="00B6647E">
        <w:rPr>
          <w:rFonts w:cs="Arial"/>
          <w:b/>
          <w:i/>
        </w:rPr>
        <w:t>:</w:t>
      </w:r>
      <w:r w:rsidR="00E96C1F" w:rsidRPr="00B6647E">
        <w:rPr>
          <w:rFonts w:cs="Arial"/>
          <w:i/>
        </w:rPr>
        <w:t xml:space="preserve"> Les proportions des quatre classes ne sont statistiquement significatives qu’au niveau national. Elles doivent être interprétées avec réserves au niveau des  régions naturelles</w:t>
      </w:r>
      <w:r w:rsidR="00FD014D" w:rsidRPr="00B6647E">
        <w:rPr>
          <w:rFonts w:cs="Arial"/>
          <w:i/>
        </w:rPr>
        <w:t xml:space="preserve"> et des provinces</w:t>
      </w:r>
      <w:r w:rsidR="00E96C1F" w:rsidRPr="00B6647E">
        <w:rPr>
          <w:rFonts w:cs="Arial"/>
          <w:b/>
          <w:color w:val="365F91"/>
          <w:sz w:val="24"/>
          <w:szCs w:val="24"/>
          <w:lang w:val="fr-BE"/>
        </w:rPr>
        <w:t xml:space="preserve">. </w:t>
      </w:r>
    </w:p>
    <w:p w:rsidR="00236A90" w:rsidRPr="00B6647E" w:rsidRDefault="00236A90">
      <w:pPr>
        <w:rPr>
          <w:rFonts w:ascii="Arial" w:eastAsia="Times New Roman" w:hAnsi="Arial" w:cs="Arial"/>
          <w:b/>
          <w:color w:val="365F91"/>
          <w:sz w:val="24"/>
          <w:szCs w:val="24"/>
          <w:lang w:eastAsia="fr-FR"/>
        </w:rPr>
      </w:pPr>
      <w:r w:rsidRPr="00B6647E">
        <w:rPr>
          <w:rFonts w:cs="Arial"/>
          <w:color w:val="365F91"/>
        </w:rPr>
        <w:br w:type="page"/>
      </w:r>
    </w:p>
    <w:p w:rsidR="000552AE" w:rsidRPr="00B6647E" w:rsidRDefault="000552AE" w:rsidP="00551F55">
      <w:pPr>
        <w:pStyle w:val="Titre1"/>
        <w:keepNext w:val="0"/>
        <w:numPr>
          <w:ilvl w:val="0"/>
          <w:numId w:val="1"/>
        </w:numPr>
        <w:tabs>
          <w:tab w:val="num" w:pos="432"/>
        </w:tabs>
        <w:ind w:left="432" w:hanging="432"/>
        <w:rPr>
          <w:rFonts w:cs="Arial"/>
          <w:color w:val="365F91"/>
        </w:rPr>
      </w:pPr>
      <w:bookmarkStart w:id="206" w:name="_Toc354313860"/>
      <w:r w:rsidRPr="00B6647E">
        <w:rPr>
          <w:rFonts w:cs="Arial"/>
          <w:color w:val="365F91"/>
        </w:rPr>
        <w:lastRenderedPageBreak/>
        <w:t>Caractéristiques des champs et parcelles</w:t>
      </w:r>
      <w:bookmarkEnd w:id="206"/>
    </w:p>
    <w:p w:rsidR="001A3AEF" w:rsidRPr="00B6647E" w:rsidRDefault="00DF50D8" w:rsidP="00551F55">
      <w:pPr>
        <w:spacing w:after="0" w:line="240" w:lineRule="auto"/>
        <w:rPr>
          <w:rFonts w:ascii="Arial" w:hAnsi="Arial" w:cs="Arial"/>
          <w:sz w:val="20"/>
          <w:szCs w:val="20"/>
        </w:rPr>
      </w:pPr>
      <w:r w:rsidRPr="00DF50D8">
        <w:rPr>
          <w:rFonts w:ascii="Arial" w:hAnsi="Arial" w:cs="Arial"/>
          <w:noProof/>
        </w:rPr>
        <w:pict>
          <v:shape id="_x0000_s1033" type="#_x0000_t32" style="position:absolute;margin-left:1.15pt;margin-top:4.8pt;width:453.55pt;height:0;z-index:25167462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4ufrAIAAJcFAAAOAAAAZHJzL2Uyb0RvYy54bWysVE2PmzAQvVfqf7B8Z4FACEFLVlkCvWzb&#10;lXarnh1sglWwke18rKr+945NQjfbS1UtB+SPmTdvZt749u7Ud+jAlOZS5Di8CTBiopaUi12Ovz1X&#10;XoqRNkRQ0knBcvzCNL5bffxwexwyNpOt7ChTCECEzo5Djltjhsz3dd2ynugbOTABl41UPTGwVTuf&#10;KnIE9L7zZ0GQ+Eep6KBkzbSG0814iVcOv2lYbb42jWYGdTkGbsb9lftv7d9f3ZJsp8jQ8vpMg/wH&#10;i55wAUEnqA0xBO0V/wuq57WSWjbmppa9L5uG18zlANmEwZtsnloyMJcLFEcPU5n0+8HWXw6PCnGa&#10;42WCkSA99Gi9N9KFRjNbn+OgMzArxKOyGdYn8TQ8yPqHRkIWLRE75oyfXwbwDa2Hf+ViN3qAKNvj&#10;Z0nBhgC+K9apUb2FhDKgk+vJy9QTdjKohsP5IgmCdI5RfbnzSXZxHJQ2n5jskV3kWBtF+K41hRQC&#10;Oi9V6MKQw4M2lhbJLg42qpAV7zongE6gY46jNAwC56Flx6m9tXZa7bZFp9CBgIaiZF4txyTh5rWZ&#10;kntBHVrLCC3Pa0N4N64heicsHnOyHCnB7mRg6c4hYyeZn8tgWaZlGnvxLCm9ONhsvHVVxF5ShYv5&#10;JtoUxSb8ZYmGcdZySpmwXC/yDeN/k8d5kEbhTQKequJfo7vyAdlrputqHiziKPUWi3nkxVEZePdp&#10;VXjrIkySRXlf3JdvmJYue/0+ZKdSWlZyb5h6aukRUW7VMEujJbw+lMO4R2mQBMsFRqTbwTtVG4WR&#10;kuY7N60Tr5Wdxbjq9SyOqmQ8J93QklEB8wA+p/LJ3NVmCj9W6tJku5vadE7+Ty1BFBcBuKGxczJO&#10;3FbSl0d1GSaYfud0fqns8/J6D+vX7+nqNwAAAP//AwBQSwMEFAAGAAgAAAAhABLqZCjcAAAABQEA&#10;AA8AAABkcnMvZG93bnJldi54bWxMjlFLwzAUhd+F/YdwB76ISzdLWWvTMRRxDBGs/oC0uTbF5qY0&#10;Wdv564170cfDOXzny3ez6diIg2stCVivImBItVUtNQI+3p9ut8Ccl6RkZwkFnNHBrlhc5TJTdqI3&#10;HEvfsAAhl0kB2vs+49zVGo10K9sjhe7TDkb6EIeGq0FOAW46vomihBvZUnjQsscHjfVXeTICpjE5&#10;vtxs+fx9fC3PTRUfHvVzLMT1ct7fA/M4+78x/OoHdSiCU2VPpBzrBGzuwlBAmgALbRqlMbDqknmR&#10;8//2xQ8AAAD//wMAUEsBAi0AFAAGAAgAAAAhALaDOJL+AAAA4QEAABMAAAAAAAAAAAAAAAAAAAAA&#10;AFtDb250ZW50X1R5cGVzXS54bWxQSwECLQAUAAYACAAAACEAOP0h/9YAAACUAQAACwAAAAAAAAAA&#10;AAAAAAAvAQAAX3JlbHMvLnJlbHNQSwECLQAUAAYACAAAACEAJvOLn6wCAACXBQAADgAAAAAAAAAA&#10;AAAAAAAuAgAAZHJzL2Uyb0RvYy54bWxQSwECLQAUAAYACAAAACEAEupkKNwAAAAFAQAADwAAAAAA&#10;AAAAAAAAAAAGBQAAZHJzL2Rvd25yZXYueG1sUEsFBgAAAAAEAAQA8wAAAA8GAAAAAA==&#10;" strokecolor="#365f91" strokeweight="3pt">
            <v:shadow color="#243f60" opacity=".5" offset="1pt"/>
          </v:shape>
        </w:pict>
      </w:r>
    </w:p>
    <w:p w:rsidR="00C42C02" w:rsidRPr="00B6647E" w:rsidRDefault="00C42C02" w:rsidP="00551F55">
      <w:pPr>
        <w:spacing w:after="0" w:line="240" w:lineRule="auto"/>
        <w:rPr>
          <w:rFonts w:ascii="Arial" w:hAnsi="Arial" w:cs="Arial"/>
          <w:sz w:val="20"/>
          <w:szCs w:val="20"/>
        </w:rPr>
      </w:pPr>
    </w:p>
    <w:p w:rsidR="002848D9" w:rsidRPr="00B6647E" w:rsidRDefault="002848D9" w:rsidP="00551F55">
      <w:pPr>
        <w:tabs>
          <w:tab w:val="left" w:pos="-720"/>
          <w:tab w:val="num" w:pos="720"/>
        </w:tabs>
        <w:suppressAutoHyphens/>
        <w:spacing w:line="240" w:lineRule="auto"/>
        <w:jc w:val="both"/>
        <w:rPr>
          <w:rFonts w:ascii="Arial" w:hAnsi="Arial" w:cs="Arial"/>
          <w:sz w:val="20"/>
          <w:szCs w:val="20"/>
        </w:rPr>
      </w:pPr>
      <w:r w:rsidRPr="00B6647E">
        <w:rPr>
          <w:rFonts w:ascii="Arial" w:hAnsi="Arial" w:cs="Arial"/>
          <w:sz w:val="20"/>
          <w:szCs w:val="20"/>
        </w:rPr>
        <w:t xml:space="preserve">Dans ce chapitre, il s’agit des superficies cultivées au cours de la campagne agricole 2011-2012. La superficie de l’exploitation a été </w:t>
      </w:r>
      <w:r w:rsidR="004E6256" w:rsidRPr="00B6647E">
        <w:rPr>
          <w:rFonts w:ascii="Arial" w:hAnsi="Arial" w:cs="Arial"/>
          <w:sz w:val="20"/>
          <w:szCs w:val="20"/>
        </w:rPr>
        <w:t>traitée</w:t>
      </w:r>
      <w:r w:rsidRPr="00B6647E">
        <w:rPr>
          <w:rFonts w:ascii="Arial" w:hAnsi="Arial" w:cs="Arial"/>
          <w:sz w:val="20"/>
          <w:szCs w:val="20"/>
        </w:rPr>
        <w:t xml:space="preserve"> dans le chapitre 4. </w:t>
      </w:r>
    </w:p>
    <w:p w:rsidR="00E445BC" w:rsidRPr="00B6647E" w:rsidRDefault="00E445BC" w:rsidP="00B24E80">
      <w:pPr>
        <w:pStyle w:val="Titre2"/>
        <w:keepNext w:val="0"/>
        <w:numPr>
          <w:ilvl w:val="1"/>
          <w:numId w:val="1"/>
        </w:numPr>
        <w:spacing w:before="240" w:after="200"/>
        <w:ind w:left="0" w:firstLine="0"/>
        <w:rPr>
          <w:rFonts w:cs="Arial"/>
          <w:u w:val="dotDash"/>
        </w:rPr>
      </w:pPr>
      <w:bookmarkStart w:id="207" w:name="_Toc336692121"/>
      <w:bookmarkStart w:id="208" w:name="_Toc354313861"/>
      <w:r w:rsidRPr="00B6647E">
        <w:rPr>
          <w:rFonts w:cs="Arial"/>
          <w:u w:val="dotDash"/>
        </w:rPr>
        <w:t>Caractéristiques des champs et des parcelles exploités</w:t>
      </w:r>
      <w:bookmarkEnd w:id="207"/>
      <w:bookmarkEnd w:id="208"/>
    </w:p>
    <w:p w:rsidR="002848D9" w:rsidRPr="00B6647E" w:rsidRDefault="002848D9" w:rsidP="00551F55">
      <w:pPr>
        <w:pStyle w:val="retrait1"/>
        <w:numPr>
          <w:ilvl w:val="0"/>
          <w:numId w:val="0"/>
        </w:numPr>
        <w:spacing w:before="0" w:after="0" w:line="240" w:lineRule="auto"/>
      </w:pPr>
      <w:r w:rsidRPr="00B6647E">
        <w:t>Au cours de la saison A, plus de 7.</w:t>
      </w:r>
      <w:r w:rsidR="00E76E66" w:rsidRPr="00B6647E">
        <w:t>130</w:t>
      </w:r>
      <w:r w:rsidRPr="00B6647E">
        <w:t xml:space="preserve">.000 champs </w:t>
      </w:r>
      <w:r w:rsidR="00E76E66" w:rsidRPr="00B6647E">
        <w:t>couvrant au total plus de 1</w:t>
      </w:r>
      <w:r w:rsidR="00497F5F" w:rsidRPr="00B6647E">
        <w:t>0</w:t>
      </w:r>
      <w:r w:rsidR="00E76E66" w:rsidRPr="00B6647E">
        <w:t xml:space="preserve">.830.000 parcelles </w:t>
      </w:r>
      <w:r w:rsidR="003C23D1" w:rsidRPr="00B6647E">
        <w:t>ont été cultivés</w:t>
      </w:r>
      <w:r w:rsidR="00E76E66" w:rsidRPr="00B6647E">
        <w:t>. P</w:t>
      </w:r>
      <w:r w:rsidR="003C23D1" w:rsidRPr="00B6647E">
        <w:t xml:space="preserve">armi </w:t>
      </w:r>
      <w:r w:rsidR="00E76E66" w:rsidRPr="00B6647E">
        <w:t>ces champs, il y a</w:t>
      </w:r>
      <w:r w:rsidRPr="00B6647E">
        <w:t xml:space="preserve"> 45,5% </w:t>
      </w:r>
      <w:r w:rsidR="00E76E66" w:rsidRPr="00B6647E">
        <w:t xml:space="preserve">qui </w:t>
      </w:r>
      <w:r w:rsidRPr="00B6647E">
        <w:t xml:space="preserve">sont situés sur les flancs des collines, 19,9% aux pieds des collines, 14,2% sur le sommet des collines, 12,5% dans les marais et 7,9% dans les plaines. </w:t>
      </w:r>
      <w:r w:rsidR="00E76E66" w:rsidRPr="00B6647E">
        <w:t>Pendant la saison B, on a estimé à</w:t>
      </w:r>
      <w:r w:rsidRPr="00B6647E">
        <w:t xml:space="preserve"> 7.</w:t>
      </w:r>
      <w:r w:rsidR="00E76E66" w:rsidRPr="00B6647E">
        <w:t>360</w:t>
      </w:r>
      <w:r w:rsidRPr="00B6647E">
        <w:t xml:space="preserve">.000 champs </w:t>
      </w:r>
      <w:r w:rsidR="00E76E66" w:rsidRPr="00B6647E">
        <w:t>(couvrant au total environ 10.730.000 parcelles) cultivé. Ils sont</w:t>
      </w:r>
      <w:r w:rsidR="003C23D1" w:rsidRPr="00B6647E">
        <w:t xml:space="preserve"> à</w:t>
      </w:r>
      <w:r w:rsidRPr="00B6647E">
        <w:t xml:space="preserve"> 49,3% situés sur les flancs des collines, 17% aux pieds des collines, 13,6% sur le sommet des collines, 11,8% dans les marais et 8,3% dans les plaines.</w:t>
      </w:r>
      <w:r w:rsidR="00FC403E" w:rsidRPr="00B6647E">
        <w:t xml:space="preserve"> </w:t>
      </w:r>
      <w:r w:rsidR="005D0275" w:rsidRPr="00B6647E">
        <w:t>En saison C, c</w:t>
      </w:r>
      <w:r w:rsidR="00FC403E" w:rsidRPr="00B6647E">
        <w:t xml:space="preserve">e nombre est </w:t>
      </w:r>
      <w:r w:rsidR="002F008F" w:rsidRPr="00B6647E">
        <w:t>d</w:t>
      </w:r>
      <w:r w:rsidR="00E76E66" w:rsidRPr="00B6647E">
        <w:t>’environ</w:t>
      </w:r>
      <w:r w:rsidR="002F008F" w:rsidRPr="00B6647E">
        <w:t xml:space="preserve"> </w:t>
      </w:r>
      <w:r w:rsidRPr="00B6647E">
        <w:t>6.</w:t>
      </w:r>
      <w:r w:rsidR="005D0275" w:rsidRPr="00B6647E">
        <w:t>337</w:t>
      </w:r>
      <w:r w:rsidRPr="00B6647E">
        <w:t>.000 champs composés de plus de 9.</w:t>
      </w:r>
      <w:r w:rsidR="005D0275" w:rsidRPr="00B6647E">
        <w:t>22</w:t>
      </w:r>
      <w:r w:rsidRPr="00B6647E">
        <w:t xml:space="preserve">0.000 de parcelles dont 46,4% sont situées sur les flancs des collines, 19% dans les marais, 15,5% aux pieds des collines, 12,4% sur le sommet des collines et 6,7% dans les plaines. </w:t>
      </w:r>
    </w:p>
    <w:p w:rsidR="002D6126" w:rsidRPr="00B6647E" w:rsidRDefault="002D6126" w:rsidP="00551F55">
      <w:pPr>
        <w:spacing w:after="0" w:line="240" w:lineRule="auto"/>
        <w:rPr>
          <w:rFonts w:ascii="Arial" w:hAnsi="Arial" w:cs="Arial"/>
          <w:lang w:eastAsia="fr-FR"/>
        </w:rPr>
      </w:pPr>
    </w:p>
    <w:p w:rsidR="002848D9" w:rsidRPr="00B6647E" w:rsidRDefault="002D6126" w:rsidP="00551F55">
      <w:pPr>
        <w:spacing w:after="0" w:line="240" w:lineRule="auto"/>
        <w:rPr>
          <w:rFonts w:ascii="Arial" w:hAnsi="Arial" w:cs="Arial"/>
          <w:b/>
          <w:sz w:val="20"/>
          <w:szCs w:val="20"/>
          <w:lang w:eastAsia="fr-FR"/>
        </w:rPr>
      </w:pPr>
      <w:r w:rsidRPr="00B6647E">
        <w:rPr>
          <w:rFonts w:ascii="Arial" w:hAnsi="Arial" w:cs="Arial"/>
          <w:b/>
          <w:sz w:val="20"/>
          <w:szCs w:val="20"/>
          <w:lang w:eastAsia="fr-FR"/>
        </w:rPr>
        <w:t xml:space="preserve">Tableau </w:t>
      </w:r>
      <w:r w:rsidR="00EE32E1">
        <w:rPr>
          <w:rFonts w:ascii="Arial" w:hAnsi="Arial" w:cs="Arial"/>
          <w:b/>
          <w:sz w:val="20"/>
          <w:szCs w:val="20"/>
          <w:lang w:eastAsia="fr-FR"/>
        </w:rPr>
        <w:t>27</w:t>
      </w:r>
      <w:r w:rsidRPr="00B6647E">
        <w:rPr>
          <w:rFonts w:ascii="Arial" w:hAnsi="Arial" w:cs="Arial"/>
          <w:b/>
          <w:sz w:val="20"/>
          <w:szCs w:val="20"/>
          <w:lang w:eastAsia="fr-FR"/>
        </w:rPr>
        <w:t> :</w:t>
      </w:r>
      <w:r w:rsidR="002B0927" w:rsidRPr="00B6647E">
        <w:rPr>
          <w:rFonts w:ascii="Arial" w:hAnsi="Arial" w:cs="Arial"/>
          <w:b/>
          <w:sz w:val="20"/>
          <w:szCs w:val="20"/>
          <w:lang w:eastAsia="fr-FR"/>
        </w:rPr>
        <w:t xml:space="preserve"> N</w:t>
      </w:r>
      <w:r w:rsidRPr="00B6647E">
        <w:rPr>
          <w:rFonts w:ascii="Arial" w:hAnsi="Arial" w:cs="Arial"/>
          <w:b/>
          <w:sz w:val="20"/>
          <w:szCs w:val="20"/>
          <w:lang w:eastAsia="fr-FR"/>
        </w:rPr>
        <w:t>ombre de champs et de parcelles par province selon la saison</w:t>
      </w:r>
    </w:p>
    <w:p w:rsidR="002848D9" w:rsidRPr="00B6647E" w:rsidRDefault="00F8184E" w:rsidP="00551F55">
      <w:pPr>
        <w:spacing w:after="0" w:line="240" w:lineRule="auto"/>
        <w:rPr>
          <w:rFonts w:ascii="Arial" w:hAnsi="Arial" w:cs="Arial"/>
          <w:lang w:val="fr-FR" w:eastAsia="fr-FR"/>
        </w:rPr>
      </w:pPr>
      <w:r w:rsidRPr="00B6647E">
        <w:rPr>
          <w:rFonts w:ascii="Arial" w:hAnsi="Arial" w:cs="Arial"/>
          <w:noProof/>
          <w:lang w:val="fr-FR" w:eastAsia="fr-FR"/>
        </w:rPr>
        <w:drawing>
          <wp:inline distT="0" distB="0" distL="0" distR="0">
            <wp:extent cx="5731510" cy="3280081"/>
            <wp:effectExtent l="19050" t="0" r="2540" b="0"/>
            <wp:docPr id="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a:stretch>
                      <a:fillRect/>
                    </a:stretch>
                  </pic:blipFill>
                  <pic:spPr bwMode="auto">
                    <a:xfrm>
                      <a:off x="0" y="0"/>
                      <a:ext cx="5731510" cy="3280081"/>
                    </a:xfrm>
                    <a:prstGeom prst="rect">
                      <a:avLst/>
                    </a:prstGeom>
                    <a:noFill/>
                    <a:ln w="9525">
                      <a:noFill/>
                      <a:miter lim="800000"/>
                      <a:headEnd/>
                      <a:tailEnd/>
                    </a:ln>
                  </pic:spPr>
                </pic:pic>
              </a:graphicData>
            </a:graphic>
          </wp:inline>
        </w:drawing>
      </w:r>
    </w:p>
    <w:p w:rsidR="00BA15CE" w:rsidRPr="00B6647E" w:rsidRDefault="00D21BE9" w:rsidP="00763734">
      <w:pPr>
        <w:spacing w:before="200" w:line="240" w:lineRule="auto"/>
        <w:jc w:val="both"/>
        <w:rPr>
          <w:rFonts w:ascii="Arial" w:hAnsi="Arial" w:cs="Arial"/>
          <w:sz w:val="20"/>
          <w:szCs w:val="20"/>
          <w:lang w:val="fr-FR" w:eastAsia="fr-FR"/>
        </w:rPr>
      </w:pPr>
      <w:r w:rsidRPr="00B6647E">
        <w:rPr>
          <w:rFonts w:ascii="Arial" w:hAnsi="Arial" w:cs="Arial"/>
          <w:sz w:val="20"/>
          <w:szCs w:val="20"/>
          <w:lang w:val="fr-FR" w:eastAsia="fr-FR"/>
        </w:rPr>
        <w:t>En saison A, la moyenne nationale</w:t>
      </w:r>
      <w:r w:rsidR="005D0275" w:rsidRPr="00B6647E">
        <w:rPr>
          <w:rFonts w:ascii="Arial" w:hAnsi="Arial" w:cs="Arial"/>
          <w:sz w:val="20"/>
          <w:szCs w:val="20"/>
          <w:lang w:val="fr-FR" w:eastAsia="fr-FR"/>
        </w:rPr>
        <w:t xml:space="preserve"> </w:t>
      </w:r>
      <w:r w:rsidR="00276DFA" w:rsidRPr="00B6647E">
        <w:rPr>
          <w:rFonts w:ascii="Arial" w:hAnsi="Arial" w:cs="Arial"/>
          <w:sz w:val="20"/>
          <w:szCs w:val="20"/>
          <w:lang w:val="fr-FR" w:eastAsia="fr-FR"/>
        </w:rPr>
        <w:t>est de 4</w:t>
      </w:r>
      <w:r w:rsidR="005D0275" w:rsidRPr="00B6647E">
        <w:rPr>
          <w:rFonts w:ascii="Arial" w:hAnsi="Arial" w:cs="Arial"/>
          <w:sz w:val="20"/>
          <w:szCs w:val="20"/>
          <w:lang w:val="fr-FR" w:eastAsia="fr-FR"/>
        </w:rPr>
        <w:t>,6</w:t>
      </w:r>
      <w:r w:rsidR="00276DFA" w:rsidRPr="00B6647E">
        <w:rPr>
          <w:rFonts w:ascii="Arial" w:hAnsi="Arial" w:cs="Arial"/>
          <w:sz w:val="20"/>
          <w:szCs w:val="20"/>
          <w:lang w:val="fr-FR" w:eastAsia="fr-FR"/>
        </w:rPr>
        <w:t xml:space="preserve"> champs par ménage </w:t>
      </w:r>
      <w:r w:rsidRPr="00B6647E">
        <w:rPr>
          <w:rFonts w:ascii="Arial" w:hAnsi="Arial" w:cs="Arial"/>
          <w:sz w:val="20"/>
          <w:szCs w:val="20"/>
          <w:lang w:val="fr-FR" w:eastAsia="fr-FR"/>
        </w:rPr>
        <w:t>agricole correspondant à sept parcelles cultivées par ménage avec une superficie moyenne de 4 ares par parcelle, soit 0,2</w:t>
      </w:r>
      <w:r w:rsidR="001415ED" w:rsidRPr="00B6647E">
        <w:rPr>
          <w:rFonts w:ascii="Arial" w:hAnsi="Arial" w:cs="Arial"/>
          <w:sz w:val="20"/>
          <w:szCs w:val="20"/>
          <w:lang w:val="fr-FR" w:eastAsia="fr-FR"/>
        </w:rPr>
        <w:t>78</w:t>
      </w:r>
      <w:r w:rsidRPr="00B6647E">
        <w:rPr>
          <w:rFonts w:ascii="Arial" w:hAnsi="Arial" w:cs="Arial"/>
          <w:sz w:val="20"/>
          <w:szCs w:val="20"/>
          <w:lang w:val="fr-FR" w:eastAsia="fr-FR"/>
        </w:rPr>
        <w:t xml:space="preserve"> hectares par ménage.</w:t>
      </w:r>
      <w:r w:rsidR="005D0275" w:rsidRPr="00B6647E">
        <w:rPr>
          <w:rFonts w:ascii="Arial" w:hAnsi="Arial" w:cs="Arial"/>
          <w:sz w:val="20"/>
          <w:szCs w:val="20"/>
          <w:lang w:val="fr-FR" w:eastAsia="fr-FR"/>
        </w:rPr>
        <w:t xml:space="preserve"> </w:t>
      </w:r>
      <w:r w:rsidR="00B23C04" w:rsidRPr="00B6647E">
        <w:rPr>
          <w:rFonts w:ascii="Arial" w:hAnsi="Arial" w:cs="Arial"/>
          <w:sz w:val="20"/>
          <w:szCs w:val="20"/>
          <w:lang w:val="fr-FR" w:eastAsia="fr-FR"/>
        </w:rPr>
        <w:t xml:space="preserve">Les nombres moyens de parcelles par ménage mes plus élevés ont été estimés </w:t>
      </w:r>
      <w:r w:rsidR="002F2A88" w:rsidRPr="00B6647E">
        <w:rPr>
          <w:rFonts w:ascii="Arial" w:hAnsi="Arial" w:cs="Arial"/>
          <w:sz w:val="20"/>
          <w:szCs w:val="20"/>
          <w:lang w:val="fr-FR" w:eastAsia="fr-FR"/>
        </w:rPr>
        <w:t>dans</w:t>
      </w:r>
      <w:r w:rsidR="00B23C04" w:rsidRPr="00B6647E">
        <w:rPr>
          <w:rFonts w:ascii="Arial" w:hAnsi="Arial" w:cs="Arial"/>
          <w:sz w:val="20"/>
          <w:szCs w:val="20"/>
          <w:lang w:val="fr-FR" w:eastAsia="fr-FR"/>
        </w:rPr>
        <w:t xml:space="preserve"> Muramvya (10,7), </w:t>
      </w:r>
      <w:r w:rsidR="002F2A88" w:rsidRPr="00B6647E">
        <w:rPr>
          <w:rFonts w:ascii="Arial" w:hAnsi="Arial" w:cs="Arial"/>
          <w:sz w:val="20"/>
          <w:szCs w:val="20"/>
          <w:lang w:val="fr-FR" w:eastAsia="fr-FR"/>
        </w:rPr>
        <w:t>dans Karuzi et Kayanza (8,3), dans Kirundo et Makamba (8,1)</w:t>
      </w:r>
      <w:r w:rsidR="00B23C04" w:rsidRPr="00B6647E">
        <w:rPr>
          <w:rFonts w:ascii="Arial" w:hAnsi="Arial" w:cs="Arial"/>
          <w:sz w:val="20"/>
          <w:szCs w:val="20"/>
          <w:lang w:val="fr-FR" w:eastAsia="fr-FR"/>
        </w:rPr>
        <w:t>.</w:t>
      </w:r>
      <w:r w:rsidR="002F2A88" w:rsidRPr="00B6647E">
        <w:rPr>
          <w:rFonts w:ascii="Arial" w:hAnsi="Arial" w:cs="Arial"/>
          <w:sz w:val="20"/>
          <w:szCs w:val="20"/>
          <w:lang w:val="fr-FR" w:eastAsia="fr-FR"/>
        </w:rPr>
        <w:t xml:space="preserve"> Les plus petits nombre</w:t>
      </w:r>
      <w:r w:rsidR="00A80948" w:rsidRPr="00B6647E">
        <w:rPr>
          <w:rFonts w:ascii="Arial" w:hAnsi="Arial" w:cs="Arial"/>
          <w:sz w:val="20"/>
          <w:szCs w:val="20"/>
          <w:lang w:val="fr-FR" w:eastAsia="fr-FR"/>
        </w:rPr>
        <w:t>s</w:t>
      </w:r>
      <w:r w:rsidR="002F2A88" w:rsidRPr="00B6647E">
        <w:rPr>
          <w:rFonts w:ascii="Arial" w:hAnsi="Arial" w:cs="Arial"/>
          <w:sz w:val="20"/>
          <w:szCs w:val="20"/>
          <w:lang w:val="fr-FR" w:eastAsia="fr-FR"/>
        </w:rPr>
        <w:t xml:space="preserve"> moyen</w:t>
      </w:r>
      <w:r w:rsidR="00A80948" w:rsidRPr="00B6647E">
        <w:rPr>
          <w:rFonts w:ascii="Arial" w:hAnsi="Arial" w:cs="Arial"/>
          <w:sz w:val="20"/>
          <w:szCs w:val="20"/>
          <w:lang w:val="fr-FR" w:eastAsia="fr-FR"/>
        </w:rPr>
        <w:t>s</w:t>
      </w:r>
      <w:r w:rsidR="002F2A88" w:rsidRPr="00B6647E">
        <w:rPr>
          <w:rFonts w:ascii="Arial" w:hAnsi="Arial" w:cs="Arial"/>
          <w:sz w:val="20"/>
          <w:szCs w:val="20"/>
          <w:lang w:val="fr-FR" w:eastAsia="fr-FR"/>
        </w:rPr>
        <w:t xml:space="preserve"> </w:t>
      </w:r>
      <w:r w:rsidR="00A80948" w:rsidRPr="00B6647E">
        <w:rPr>
          <w:rFonts w:ascii="Arial" w:hAnsi="Arial" w:cs="Arial"/>
          <w:sz w:val="20"/>
          <w:szCs w:val="20"/>
          <w:lang w:val="fr-FR" w:eastAsia="fr-FR"/>
        </w:rPr>
        <w:t>de parcelles par ménage ont été</w:t>
      </w:r>
      <w:r w:rsidR="002F2A88" w:rsidRPr="00B6647E">
        <w:rPr>
          <w:rFonts w:ascii="Arial" w:hAnsi="Arial" w:cs="Arial"/>
          <w:sz w:val="20"/>
          <w:szCs w:val="20"/>
          <w:lang w:val="fr-FR" w:eastAsia="fr-FR"/>
        </w:rPr>
        <w:t xml:space="preserve"> estimés dans</w:t>
      </w:r>
      <w:r w:rsidR="00B23C04" w:rsidRPr="00B6647E">
        <w:rPr>
          <w:rFonts w:ascii="Arial" w:hAnsi="Arial" w:cs="Arial"/>
          <w:sz w:val="20"/>
          <w:szCs w:val="20"/>
          <w:lang w:val="fr-FR" w:eastAsia="fr-FR"/>
        </w:rPr>
        <w:t xml:space="preserve"> </w:t>
      </w:r>
      <w:r w:rsidR="002F2A88" w:rsidRPr="00B6647E">
        <w:rPr>
          <w:rFonts w:ascii="Arial" w:hAnsi="Arial" w:cs="Arial"/>
          <w:sz w:val="20"/>
          <w:szCs w:val="20"/>
          <w:lang w:val="fr-FR" w:eastAsia="fr-FR"/>
        </w:rPr>
        <w:t>Muyinga (5,3), dans Bubanza, Cibitoke et Ruyigi (5,4), dans Rutana (5,6).</w:t>
      </w:r>
    </w:p>
    <w:p w:rsidR="00A80948" w:rsidRPr="00B6647E" w:rsidRDefault="00D21889" w:rsidP="00763734">
      <w:pPr>
        <w:spacing w:before="200" w:line="240" w:lineRule="auto"/>
        <w:jc w:val="both"/>
        <w:rPr>
          <w:rFonts w:ascii="Arial" w:hAnsi="Arial" w:cs="Arial"/>
          <w:sz w:val="20"/>
          <w:szCs w:val="20"/>
          <w:lang w:val="fr-FR" w:eastAsia="fr-FR"/>
        </w:rPr>
      </w:pPr>
      <w:r w:rsidRPr="00B6647E">
        <w:rPr>
          <w:rFonts w:ascii="Arial" w:hAnsi="Arial" w:cs="Arial"/>
          <w:sz w:val="20"/>
          <w:szCs w:val="20"/>
          <w:lang w:val="fr-FR" w:eastAsia="fr-FR"/>
        </w:rPr>
        <w:t>Pendant la saison B, ces moyennes sont  de 4,7 champs et 7,1 parcelles par ménage. La superficie moyenne des parcelles est estimée à 4</w:t>
      </w:r>
      <w:r w:rsidR="001415ED" w:rsidRPr="00B6647E">
        <w:rPr>
          <w:rFonts w:ascii="Arial" w:hAnsi="Arial" w:cs="Arial"/>
          <w:sz w:val="20"/>
          <w:szCs w:val="20"/>
          <w:lang w:val="fr-FR" w:eastAsia="fr-FR"/>
        </w:rPr>
        <w:t xml:space="preserve">,2 </w:t>
      </w:r>
      <w:r w:rsidRPr="00B6647E">
        <w:rPr>
          <w:rFonts w:ascii="Arial" w:hAnsi="Arial" w:cs="Arial"/>
          <w:sz w:val="20"/>
          <w:szCs w:val="20"/>
          <w:lang w:val="fr-FR" w:eastAsia="fr-FR"/>
        </w:rPr>
        <w:t>ares, soit une superficie de à 0,2</w:t>
      </w:r>
      <w:r w:rsidR="001415ED" w:rsidRPr="00B6647E">
        <w:rPr>
          <w:rFonts w:ascii="Arial" w:hAnsi="Arial" w:cs="Arial"/>
          <w:sz w:val="20"/>
          <w:szCs w:val="20"/>
          <w:lang w:val="fr-FR" w:eastAsia="fr-FR"/>
        </w:rPr>
        <w:t>87</w:t>
      </w:r>
      <w:r w:rsidRPr="00B6647E">
        <w:rPr>
          <w:rFonts w:ascii="Arial" w:hAnsi="Arial" w:cs="Arial"/>
          <w:sz w:val="20"/>
          <w:szCs w:val="20"/>
          <w:lang w:val="fr-FR" w:eastAsia="fr-FR"/>
        </w:rPr>
        <w:t xml:space="preserve"> hectare cultivés par ménage.  </w:t>
      </w:r>
      <w:r w:rsidR="00B23C04" w:rsidRPr="00B6647E">
        <w:rPr>
          <w:rFonts w:ascii="Arial" w:hAnsi="Arial" w:cs="Arial"/>
          <w:sz w:val="20"/>
          <w:szCs w:val="20"/>
          <w:lang w:val="fr-FR" w:eastAsia="fr-FR"/>
        </w:rPr>
        <w:t xml:space="preserve">Le nombre moyen de parcelles par ménage varie de trois parcelles dans Cibitoke à 7,6 parcelles dans Muramvya. </w:t>
      </w:r>
      <w:r w:rsidR="002F2A88" w:rsidRPr="00B6647E">
        <w:rPr>
          <w:rFonts w:ascii="Arial" w:hAnsi="Arial" w:cs="Arial"/>
          <w:sz w:val="20"/>
          <w:szCs w:val="20"/>
          <w:lang w:val="fr-FR" w:eastAsia="fr-FR"/>
        </w:rPr>
        <w:t>Les provinces avec les plus grands nombres m</w:t>
      </w:r>
      <w:r w:rsidR="00A80948" w:rsidRPr="00B6647E">
        <w:rPr>
          <w:rFonts w:ascii="Arial" w:hAnsi="Arial" w:cs="Arial"/>
          <w:sz w:val="20"/>
          <w:szCs w:val="20"/>
          <w:lang w:val="fr-FR" w:eastAsia="fr-FR"/>
        </w:rPr>
        <w:t>oyens de parcelles par ménages sont</w:t>
      </w:r>
      <w:r w:rsidR="002F2A88" w:rsidRPr="00B6647E">
        <w:rPr>
          <w:rFonts w:ascii="Arial" w:hAnsi="Arial" w:cs="Arial"/>
          <w:sz w:val="20"/>
          <w:szCs w:val="20"/>
          <w:lang w:val="fr-FR" w:eastAsia="fr-FR"/>
        </w:rPr>
        <w:t xml:space="preserve"> : Muramvya (9,6), Gitega (8,2), </w:t>
      </w:r>
      <w:r w:rsidR="00A80948" w:rsidRPr="00B6647E">
        <w:rPr>
          <w:rFonts w:ascii="Arial" w:hAnsi="Arial" w:cs="Arial"/>
          <w:sz w:val="20"/>
          <w:szCs w:val="20"/>
          <w:lang w:val="fr-FR" w:eastAsia="fr-FR"/>
        </w:rPr>
        <w:t>Karuzi et Kirundo (7,7). Les plus petits nombres moyens de parcelles par ménage ont été estimés dans Muyinga (5,3), dans Cibitoke (5,3), Bubanza (5,5), Rutana (5,8).</w:t>
      </w:r>
    </w:p>
    <w:p w:rsidR="002D6126" w:rsidRPr="00B6647E" w:rsidRDefault="002D6126" w:rsidP="00551F55">
      <w:pPr>
        <w:spacing w:after="0" w:line="240" w:lineRule="auto"/>
        <w:jc w:val="both"/>
        <w:rPr>
          <w:rFonts w:ascii="Arial" w:hAnsi="Arial" w:cs="Arial"/>
          <w:sz w:val="20"/>
          <w:szCs w:val="20"/>
          <w:lang w:val="fr-FR" w:eastAsia="fr-FR"/>
        </w:rPr>
      </w:pPr>
    </w:p>
    <w:p w:rsidR="00763734" w:rsidRPr="00B6647E" w:rsidRDefault="00763734" w:rsidP="00551F55">
      <w:pPr>
        <w:spacing w:after="0" w:line="240" w:lineRule="auto"/>
        <w:rPr>
          <w:rFonts w:ascii="Arial" w:hAnsi="Arial" w:cs="Arial"/>
          <w:b/>
          <w:sz w:val="20"/>
          <w:szCs w:val="20"/>
          <w:lang w:eastAsia="fr-FR"/>
        </w:rPr>
      </w:pPr>
    </w:p>
    <w:p w:rsidR="00763734" w:rsidRPr="00B6647E" w:rsidRDefault="00763734" w:rsidP="00551F55">
      <w:pPr>
        <w:spacing w:after="0" w:line="240" w:lineRule="auto"/>
        <w:rPr>
          <w:rFonts w:ascii="Arial" w:hAnsi="Arial" w:cs="Arial"/>
          <w:b/>
          <w:sz w:val="20"/>
          <w:szCs w:val="20"/>
          <w:lang w:eastAsia="fr-FR"/>
        </w:rPr>
      </w:pPr>
    </w:p>
    <w:p w:rsidR="002B0927" w:rsidRPr="00B6647E" w:rsidRDefault="00677234" w:rsidP="00551F55">
      <w:pPr>
        <w:spacing w:after="0" w:line="240" w:lineRule="auto"/>
        <w:rPr>
          <w:rFonts w:ascii="Arial" w:hAnsi="Arial" w:cs="Arial"/>
          <w:b/>
          <w:sz w:val="20"/>
          <w:szCs w:val="20"/>
          <w:lang w:eastAsia="fr-FR"/>
        </w:rPr>
      </w:pPr>
      <w:r w:rsidRPr="00B6647E">
        <w:rPr>
          <w:rFonts w:ascii="Arial" w:hAnsi="Arial" w:cs="Arial"/>
          <w:b/>
          <w:sz w:val="20"/>
          <w:szCs w:val="20"/>
          <w:lang w:eastAsia="fr-FR"/>
        </w:rPr>
        <w:lastRenderedPageBreak/>
        <w:t xml:space="preserve">Tableau </w:t>
      </w:r>
      <w:r w:rsidR="00EE32E1">
        <w:rPr>
          <w:rFonts w:ascii="Arial" w:hAnsi="Arial" w:cs="Arial"/>
          <w:b/>
          <w:sz w:val="20"/>
          <w:szCs w:val="20"/>
          <w:lang w:eastAsia="fr-FR"/>
        </w:rPr>
        <w:t>28</w:t>
      </w:r>
      <w:r w:rsidR="002B0927" w:rsidRPr="00B6647E">
        <w:rPr>
          <w:rFonts w:ascii="Arial" w:hAnsi="Arial" w:cs="Arial"/>
          <w:b/>
          <w:sz w:val="20"/>
          <w:szCs w:val="20"/>
          <w:lang w:eastAsia="fr-FR"/>
        </w:rPr>
        <w:t> : Nombre moyen de champs et parcelles par ménage selon la province et la saison</w:t>
      </w:r>
    </w:p>
    <w:p w:rsidR="00BA15CE" w:rsidRPr="00B6647E" w:rsidRDefault="00EB23B2" w:rsidP="00551F55">
      <w:pPr>
        <w:spacing w:after="120" w:line="240" w:lineRule="auto"/>
        <w:rPr>
          <w:rFonts w:ascii="Arial" w:hAnsi="Arial" w:cs="Arial"/>
          <w:lang w:val="fr-FR" w:eastAsia="fr-FR"/>
        </w:rPr>
      </w:pPr>
      <w:r w:rsidRPr="00B6647E">
        <w:rPr>
          <w:rFonts w:ascii="Arial" w:hAnsi="Arial" w:cs="Arial"/>
          <w:noProof/>
          <w:lang w:val="fr-FR" w:eastAsia="fr-FR"/>
        </w:rPr>
        <w:drawing>
          <wp:inline distT="0" distB="0" distL="0" distR="0">
            <wp:extent cx="5731510" cy="3707571"/>
            <wp:effectExtent l="19050" t="0" r="2540" b="0"/>
            <wp:docPr id="2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srcRect/>
                    <a:stretch>
                      <a:fillRect/>
                    </a:stretch>
                  </pic:blipFill>
                  <pic:spPr bwMode="auto">
                    <a:xfrm>
                      <a:off x="0" y="0"/>
                      <a:ext cx="5731510" cy="3707571"/>
                    </a:xfrm>
                    <a:prstGeom prst="rect">
                      <a:avLst/>
                    </a:prstGeom>
                    <a:noFill/>
                    <a:ln w="9525">
                      <a:noFill/>
                      <a:miter lim="800000"/>
                      <a:headEnd/>
                      <a:tailEnd/>
                    </a:ln>
                  </pic:spPr>
                </pic:pic>
              </a:graphicData>
            </a:graphic>
          </wp:inline>
        </w:drawing>
      </w:r>
    </w:p>
    <w:p w:rsidR="0014676E" w:rsidRPr="00B6647E" w:rsidRDefault="0014676E" w:rsidP="00551F55">
      <w:pPr>
        <w:spacing w:after="120" w:line="240" w:lineRule="auto"/>
        <w:jc w:val="both"/>
        <w:rPr>
          <w:rFonts w:ascii="Arial" w:hAnsi="Arial" w:cs="Arial"/>
          <w:sz w:val="20"/>
          <w:szCs w:val="20"/>
          <w:lang w:val="fr-FR" w:eastAsia="fr-FR"/>
        </w:rPr>
      </w:pPr>
      <w:r w:rsidRPr="00B6647E">
        <w:rPr>
          <w:rFonts w:ascii="Arial" w:hAnsi="Arial" w:cs="Arial"/>
          <w:sz w:val="20"/>
          <w:szCs w:val="20"/>
          <w:lang w:val="fr-FR" w:eastAsia="fr-FR"/>
        </w:rPr>
        <w:t xml:space="preserve">Au cours de la saison C, ces moyennes sont estimées à 4,1 champs et 5,9 parcelles par ménage, 4,1 ares par parcelle et 0,246 hectare par ménage. Le nombre moyen de parcelles par ménage varie de trois parcelles dans Cibitoke à 7,6 parcelles dans Muramvya. </w:t>
      </w:r>
    </w:p>
    <w:p w:rsidR="00D274F4" w:rsidRPr="00B6647E" w:rsidRDefault="00D274F4" w:rsidP="00551F55">
      <w:pPr>
        <w:spacing w:after="0" w:line="240" w:lineRule="auto"/>
        <w:rPr>
          <w:rFonts w:ascii="Arial" w:hAnsi="Arial" w:cs="Arial"/>
          <w:b/>
          <w:sz w:val="20"/>
          <w:szCs w:val="20"/>
          <w:lang w:eastAsia="fr-FR"/>
        </w:rPr>
      </w:pPr>
      <w:r w:rsidRPr="00B6647E">
        <w:rPr>
          <w:rFonts w:ascii="Arial" w:hAnsi="Arial" w:cs="Arial"/>
          <w:b/>
          <w:sz w:val="20"/>
          <w:szCs w:val="20"/>
          <w:lang w:eastAsia="fr-FR"/>
        </w:rPr>
        <w:t xml:space="preserve">Tableau </w:t>
      </w:r>
      <w:r w:rsidR="00677234" w:rsidRPr="00B6647E">
        <w:rPr>
          <w:rFonts w:ascii="Arial" w:hAnsi="Arial" w:cs="Arial"/>
          <w:b/>
          <w:sz w:val="20"/>
          <w:szCs w:val="20"/>
          <w:lang w:eastAsia="fr-FR"/>
        </w:rPr>
        <w:t>2</w:t>
      </w:r>
      <w:r w:rsidR="00EE32E1">
        <w:rPr>
          <w:rFonts w:ascii="Arial" w:hAnsi="Arial" w:cs="Arial"/>
          <w:b/>
          <w:sz w:val="20"/>
          <w:szCs w:val="20"/>
          <w:lang w:eastAsia="fr-FR"/>
        </w:rPr>
        <w:t>9</w:t>
      </w:r>
      <w:r w:rsidRPr="00B6647E">
        <w:rPr>
          <w:rFonts w:ascii="Arial" w:hAnsi="Arial" w:cs="Arial"/>
          <w:b/>
          <w:sz w:val="20"/>
          <w:szCs w:val="20"/>
          <w:lang w:eastAsia="fr-FR"/>
        </w:rPr>
        <w:t> : Superficie moyenne des champs et parcelles selon la province et la saison</w:t>
      </w:r>
    </w:p>
    <w:p w:rsidR="002848D9" w:rsidRPr="00B6647E" w:rsidRDefault="00D274F4" w:rsidP="00551F55">
      <w:pPr>
        <w:spacing w:after="0" w:line="240" w:lineRule="auto"/>
        <w:rPr>
          <w:rFonts w:ascii="Arial" w:hAnsi="Arial" w:cs="Arial"/>
          <w:lang w:val="fr-FR" w:eastAsia="fr-FR"/>
        </w:rPr>
      </w:pPr>
      <w:r w:rsidRPr="00B6647E">
        <w:rPr>
          <w:rFonts w:ascii="Arial" w:hAnsi="Arial" w:cs="Arial"/>
          <w:noProof/>
          <w:lang w:val="fr-FR" w:eastAsia="fr-FR"/>
        </w:rPr>
        <w:drawing>
          <wp:inline distT="0" distB="0" distL="0" distR="0">
            <wp:extent cx="5731510" cy="3555327"/>
            <wp:effectExtent l="19050" t="0" r="2540" b="0"/>
            <wp:docPr id="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srcRect/>
                    <a:stretch>
                      <a:fillRect/>
                    </a:stretch>
                  </pic:blipFill>
                  <pic:spPr bwMode="auto">
                    <a:xfrm>
                      <a:off x="0" y="0"/>
                      <a:ext cx="5731510" cy="3555327"/>
                    </a:xfrm>
                    <a:prstGeom prst="rect">
                      <a:avLst/>
                    </a:prstGeom>
                    <a:noFill/>
                    <a:ln w="9525">
                      <a:noFill/>
                      <a:miter lim="800000"/>
                      <a:headEnd/>
                      <a:tailEnd/>
                    </a:ln>
                  </pic:spPr>
                </pic:pic>
              </a:graphicData>
            </a:graphic>
          </wp:inline>
        </w:drawing>
      </w:r>
    </w:p>
    <w:p w:rsidR="0014676E" w:rsidRPr="00B6647E" w:rsidRDefault="0014676E" w:rsidP="00551F55">
      <w:pPr>
        <w:spacing w:after="120" w:line="240" w:lineRule="auto"/>
        <w:jc w:val="both"/>
        <w:rPr>
          <w:rFonts w:ascii="Arial" w:hAnsi="Arial" w:cs="Arial"/>
          <w:sz w:val="20"/>
          <w:szCs w:val="20"/>
          <w:lang w:val="fr-FR" w:eastAsia="fr-FR"/>
        </w:rPr>
      </w:pPr>
      <w:r w:rsidRPr="00B6647E">
        <w:rPr>
          <w:rFonts w:ascii="Arial" w:hAnsi="Arial" w:cs="Arial"/>
          <w:sz w:val="20"/>
          <w:szCs w:val="20"/>
          <w:lang w:val="fr-FR" w:eastAsia="fr-FR"/>
        </w:rPr>
        <w:t>Comme au cours des saisons A et B, Muramvya se distingue par le nombre élevé des parcelles par ménage (9</w:t>
      </w:r>
      <w:r w:rsidR="002E3242" w:rsidRPr="00B6647E">
        <w:rPr>
          <w:rFonts w:ascii="Arial" w:hAnsi="Arial" w:cs="Arial"/>
          <w:sz w:val="20"/>
          <w:szCs w:val="20"/>
          <w:lang w:val="fr-FR" w:eastAsia="fr-FR"/>
        </w:rPr>
        <w:t xml:space="preserve"> parcelles</w:t>
      </w:r>
      <w:r w:rsidRPr="00B6647E">
        <w:rPr>
          <w:rFonts w:ascii="Arial" w:hAnsi="Arial" w:cs="Arial"/>
          <w:sz w:val="20"/>
          <w:szCs w:val="20"/>
          <w:lang w:val="fr-FR" w:eastAsia="fr-FR"/>
        </w:rPr>
        <w:t>). Elle est suivie de Kirundo avec 8,3 parcelles en moyenne par ménage. Les provinces avec les plus petits nombres moyens de parcelles par ménage sont : de Bubanza (4), Cibitoke (4,1), Ruyigi (4,4), Rutana (4,6).</w:t>
      </w:r>
    </w:p>
    <w:p w:rsidR="008C7F9B" w:rsidRPr="00B6647E" w:rsidRDefault="00F75B90" w:rsidP="00A416C1">
      <w:pPr>
        <w:spacing w:after="120" w:line="240" w:lineRule="auto"/>
        <w:jc w:val="both"/>
        <w:rPr>
          <w:rFonts w:ascii="Arial" w:hAnsi="Arial" w:cs="Arial"/>
          <w:i/>
          <w:sz w:val="20"/>
          <w:szCs w:val="20"/>
          <w:lang w:val="fr-FR" w:eastAsia="fr-FR"/>
        </w:rPr>
      </w:pPr>
      <w:r w:rsidRPr="00B6647E">
        <w:rPr>
          <w:rFonts w:ascii="Arial" w:hAnsi="Arial" w:cs="Arial"/>
          <w:b/>
          <w:i/>
          <w:sz w:val="20"/>
          <w:szCs w:val="20"/>
          <w:lang w:val="fr-FR" w:eastAsia="fr-FR"/>
        </w:rPr>
        <w:lastRenderedPageBreak/>
        <w:t>NB :</w:t>
      </w:r>
      <w:r w:rsidRPr="00B6647E">
        <w:rPr>
          <w:rFonts w:ascii="Arial" w:hAnsi="Arial" w:cs="Arial"/>
          <w:i/>
          <w:sz w:val="20"/>
          <w:szCs w:val="20"/>
          <w:lang w:val="fr-FR" w:eastAsia="fr-FR"/>
        </w:rPr>
        <w:t xml:space="preserve"> </w:t>
      </w:r>
      <w:r w:rsidR="008C7F9B" w:rsidRPr="00B6647E">
        <w:rPr>
          <w:rFonts w:ascii="Arial" w:hAnsi="Arial" w:cs="Arial"/>
          <w:i/>
          <w:sz w:val="20"/>
          <w:szCs w:val="20"/>
          <w:lang w:val="fr-FR" w:eastAsia="fr-FR"/>
        </w:rPr>
        <w:t>La superficie moyenne annuelle cultivée par ménage estimée à 0,81 ha</w:t>
      </w:r>
      <w:r w:rsidR="00FA2B87" w:rsidRPr="00B6647E">
        <w:rPr>
          <w:rFonts w:ascii="Arial" w:hAnsi="Arial" w:cs="Arial"/>
          <w:i/>
          <w:sz w:val="20"/>
          <w:szCs w:val="20"/>
          <w:lang w:val="fr-FR" w:eastAsia="fr-FR"/>
        </w:rPr>
        <w:t xml:space="preserve"> correspond à la somme des superficies cultivées couvrant pour l’essentiel la même portion de terrain au cours des trois saisons</w:t>
      </w:r>
      <w:r w:rsidR="008C7F9B" w:rsidRPr="00B6647E">
        <w:rPr>
          <w:rFonts w:ascii="Arial" w:hAnsi="Arial" w:cs="Arial"/>
          <w:i/>
          <w:sz w:val="20"/>
          <w:szCs w:val="20"/>
          <w:lang w:val="fr-FR" w:eastAsia="fr-FR"/>
        </w:rPr>
        <w:t xml:space="preserve">. </w:t>
      </w:r>
      <w:r w:rsidRPr="00B6647E">
        <w:rPr>
          <w:rFonts w:ascii="Arial" w:hAnsi="Arial" w:cs="Arial"/>
          <w:i/>
          <w:sz w:val="20"/>
          <w:szCs w:val="20"/>
          <w:lang w:val="fr-FR" w:eastAsia="fr-FR"/>
        </w:rPr>
        <w:t>La banne et le manioc ne sont en général pas remis en culture mais leurs parcelles demandent des  travaux de labour et d’entretien au cours de chaque saison.</w:t>
      </w:r>
    </w:p>
    <w:p w:rsidR="00A416C1" w:rsidRPr="00B6647E" w:rsidRDefault="00A416C1" w:rsidP="00A416C1">
      <w:pPr>
        <w:spacing w:after="120" w:line="240" w:lineRule="auto"/>
        <w:jc w:val="both"/>
        <w:rPr>
          <w:rFonts w:ascii="Arial" w:hAnsi="Arial" w:cs="Arial"/>
          <w:sz w:val="20"/>
          <w:szCs w:val="20"/>
          <w:lang w:val="fr-FR" w:eastAsia="fr-FR"/>
        </w:rPr>
      </w:pPr>
      <w:r w:rsidRPr="00B6647E">
        <w:rPr>
          <w:rFonts w:ascii="Arial" w:hAnsi="Arial" w:cs="Arial"/>
          <w:sz w:val="20"/>
          <w:szCs w:val="20"/>
          <w:lang w:val="fr-FR" w:eastAsia="fr-FR"/>
        </w:rPr>
        <w:t xml:space="preserve">Les régions naturelles de Bugarane (0,826 ha en saison A, 0,713 ha en saison B et 0,415 ha en saison C) et de Bugesera (0,417 ha en saison A, 0,421 ha en saison B et 0,415 ha en saison C) enregistrent les superficies moyennes cultivées par ménage les plus élevées au cours des trois saisons. A l’opposé, les superficies moyennes cultivées par ménage les plus faibles ont été estimées dans les régions naturelles de Bututsi (0,212 ha en saison A, 0,202 ha en saison B et 0,214 ha en saison C) et Buyenzi (0,229 ha en saison A, 0,217 ha en saison B et 0,179 ha en saison C). </w:t>
      </w:r>
    </w:p>
    <w:p w:rsidR="00A416C1" w:rsidRPr="00B6647E" w:rsidRDefault="00A416C1" w:rsidP="00A416C1">
      <w:pPr>
        <w:spacing w:after="0" w:line="240" w:lineRule="auto"/>
        <w:rPr>
          <w:rFonts w:ascii="Arial" w:hAnsi="Arial" w:cs="Arial"/>
          <w:b/>
          <w:sz w:val="20"/>
          <w:szCs w:val="20"/>
          <w:lang w:eastAsia="fr-FR"/>
        </w:rPr>
      </w:pPr>
      <w:r w:rsidRPr="00B6647E">
        <w:rPr>
          <w:rFonts w:ascii="Arial" w:hAnsi="Arial" w:cs="Arial"/>
          <w:b/>
          <w:sz w:val="20"/>
          <w:szCs w:val="20"/>
          <w:lang w:eastAsia="fr-FR"/>
        </w:rPr>
        <w:t xml:space="preserve">Tableau </w:t>
      </w:r>
      <w:r w:rsidR="00EE32E1">
        <w:rPr>
          <w:rFonts w:ascii="Arial" w:hAnsi="Arial" w:cs="Arial"/>
          <w:b/>
          <w:sz w:val="20"/>
          <w:szCs w:val="20"/>
          <w:lang w:eastAsia="fr-FR"/>
        </w:rPr>
        <w:t>30</w:t>
      </w:r>
      <w:r w:rsidRPr="00B6647E">
        <w:rPr>
          <w:rFonts w:ascii="Arial" w:hAnsi="Arial" w:cs="Arial"/>
          <w:b/>
          <w:sz w:val="20"/>
          <w:szCs w:val="20"/>
          <w:lang w:eastAsia="fr-FR"/>
        </w:rPr>
        <w:t xml:space="preserve"> : Superficie moyenne </w:t>
      </w:r>
      <w:r w:rsidR="00F3666A" w:rsidRPr="00B6647E">
        <w:rPr>
          <w:rFonts w:ascii="Arial" w:hAnsi="Arial" w:cs="Arial"/>
          <w:b/>
          <w:sz w:val="20"/>
          <w:szCs w:val="20"/>
          <w:lang w:eastAsia="fr-FR"/>
        </w:rPr>
        <w:t>cultivée par ménage</w:t>
      </w:r>
      <w:r w:rsidRPr="00B6647E">
        <w:rPr>
          <w:rFonts w:ascii="Arial" w:hAnsi="Arial" w:cs="Arial"/>
          <w:b/>
          <w:sz w:val="20"/>
          <w:szCs w:val="20"/>
          <w:lang w:eastAsia="fr-FR"/>
        </w:rPr>
        <w:t xml:space="preserve"> selon la région naturelle et la saison</w:t>
      </w:r>
    </w:p>
    <w:p w:rsidR="00F3666A" w:rsidRPr="00B6647E" w:rsidRDefault="00F3666A" w:rsidP="00551F55">
      <w:pPr>
        <w:spacing w:after="120" w:line="240" w:lineRule="auto"/>
        <w:jc w:val="both"/>
        <w:rPr>
          <w:rFonts w:ascii="Arial" w:hAnsi="Arial" w:cs="Arial"/>
          <w:sz w:val="20"/>
          <w:szCs w:val="20"/>
          <w:lang w:val="fr-FR" w:eastAsia="fr-FR"/>
        </w:rPr>
      </w:pPr>
      <w:r w:rsidRPr="00B6647E">
        <w:rPr>
          <w:noProof/>
          <w:szCs w:val="20"/>
          <w:lang w:val="fr-FR" w:eastAsia="fr-FR"/>
        </w:rPr>
        <w:drawing>
          <wp:inline distT="0" distB="0" distL="0" distR="0">
            <wp:extent cx="3667125" cy="3028950"/>
            <wp:effectExtent l="19050" t="0" r="9525" b="0"/>
            <wp:docPr id="33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srcRect/>
                    <a:stretch>
                      <a:fillRect/>
                    </a:stretch>
                  </pic:blipFill>
                  <pic:spPr bwMode="auto">
                    <a:xfrm>
                      <a:off x="0" y="0"/>
                      <a:ext cx="3667125" cy="3028950"/>
                    </a:xfrm>
                    <a:prstGeom prst="rect">
                      <a:avLst/>
                    </a:prstGeom>
                    <a:noFill/>
                    <a:ln w="9525">
                      <a:noFill/>
                      <a:miter lim="800000"/>
                      <a:headEnd/>
                      <a:tailEnd/>
                    </a:ln>
                  </pic:spPr>
                </pic:pic>
              </a:graphicData>
            </a:graphic>
          </wp:inline>
        </w:drawing>
      </w:r>
    </w:p>
    <w:p w:rsidR="001415ED" w:rsidRPr="00B6647E" w:rsidRDefault="00677234" w:rsidP="00551F55">
      <w:pPr>
        <w:spacing w:after="120" w:line="240" w:lineRule="auto"/>
        <w:rPr>
          <w:rFonts w:ascii="Arial" w:hAnsi="Arial" w:cs="Arial"/>
          <w:b/>
          <w:sz w:val="20"/>
          <w:szCs w:val="20"/>
          <w:lang w:eastAsia="fr-FR"/>
        </w:rPr>
      </w:pPr>
      <w:r w:rsidRPr="00B6647E">
        <w:rPr>
          <w:rFonts w:ascii="Arial" w:hAnsi="Arial" w:cs="Arial"/>
          <w:b/>
          <w:sz w:val="20"/>
          <w:szCs w:val="20"/>
          <w:lang w:eastAsia="fr-FR"/>
        </w:rPr>
        <w:t xml:space="preserve">Tableau </w:t>
      </w:r>
      <w:r w:rsidR="00EE32E1">
        <w:rPr>
          <w:rFonts w:ascii="Arial" w:hAnsi="Arial" w:cs="Arial"/>
          <w:b/>
          <w:sz w:val="20"/>
          <w:szCs w:val="20"/>
          <w:lang w:eastAsia="fr-FR"/>
        </w:rPr>
        <w:t>31</w:t>
      </w:r>
      <w:r w:rsidR="001415ED" w:rsidRPr="00B6647E">
        <w:rPr>
          <w:rFonts w:ascii="Arial" w:hAnsi="Arial" w:cs="Arial"/>
          <w:b/>
          <w:sz w:val="20"/>
          <w:szCs w:val="20"/>
          <w:lang w:eastAsia="fr-FR"/>
        </w:rPr>
        <w:t xml:space="preserve"> : Superficie moyenne </w:t>
      </w:r>
      <w:r w:rsidR="003B0F80" w:rsidRPr="00B6647E">
        <w:rPr>
          <w:rFonts w:ascii="Arial" w:hAnsi="Arial" w:cs="Arial"/>
          <w:b/>
          <w:sz w:val="20"/>
          <w:szCs w:val="20"/>
          <w:lang w:eastAsia="fr-FR"/>
        </w:rPr>
        <w:t>cultivée par</w:t>
      </w:r>
      <w:r w:rsidR="001415ED" w:rsidRPr="00B6647E">
        <w:rPr>
          <w:rFonts w:ascii="Arial" w:hAnsi="Arial" w:cs="Arial"/>
          <w:b/>
          <w:sz w:val="20"/>
          <w:szCs w:val="20"/>
          <w:lang w:eastAsia="fr-FR"/>
        </w:rPr>
        <w:t xml:space="preserve"> </w:t>
      </w:r>
      <w:r w:rsidR="002D4EFE" w:rsidRPr="00B6647E">
        <w:rPr>
          <w:rFonts w:ascii="Arial" w:hAnsi="Arial" w:cs="Arial"/>
          <w:b/>
          <w:sz w:val="20"/>
          <w:szCs w:val="20"/>
          <w:lang w:eastAsia="fr-FR"/>
        </w:rPr>
        <w:t>ménage</w:t>
      </w:r>
      <w:r w:rsidR="001415ED" w:rsidRPr="00B6647E">
        <w:rPr>
          <w:rFonts w:ascii="Arial" w:hAnsi="Arial" w:cs="Arial"/>
          <w:b/>
          <w:sz w:val="20"/>
          <w:szCs w:val="20"/>
          <w:lang w:eastAsia="fr-FR"/>
        </w:rPr>
        <w:t xml:space="preserve"> selon la province et la saison</w:t>
      </w:r>
    </w:p>
    <w:p w:rsidR="001415ED" w:rsidRPr="00B6647E" w:rsidRDefault="00E92EBC" w:rsidP="00551F55">
      <w:pPr>
        <w:spacing w:after="0" w:line="240" w:lineRule="auto"/>
        <w:rPr>
          <w:rFonts w:ascii="Arial" w:hAnsi="Arial" w:cs="Arial"/>
          <w:lang w:val="fr-FR" w:eastAsia="fr-FR"/>
        </w:rPr>
      </w:pPr>
      <w:r w:rsidRPr="00B6647E">
        <w:rPr>
          <w:noProof/>
          <w:lang w:val="fr-FR" w:eastAsia="fr-FR"/>
        </w:rPr>
        <w:drawing>
          <wp:inline distT="0" distB="0" distL="0" distR="0">
            <wp:extent cx="4152900" cy="3467100"/>
            <wp:effectExtent l="19050" t="0" r="0" b="0"/>
            <wp:docPr id="35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srcRect/>
                    <a:stretch>
                      <a:fillRect/>
                    </a:stretch>
                  </pic:blipFill>
                  <pic:spPr bwMode="auto">
                    <a:xfrm>
                      <a:off x="0" y="0"/>
                      <a:ext cx="4152900" cy="3467100"/>
                    </a:xfrm>
                    <a:prstGeom prst="rect">
                      <a:avLst/>
                    </a:prstGeom>
                    <a:noFill/>
                    <a:ln w="9525">
                      <a:noFill/>
                      <a:miter lim="800000"/>
                      <a:headEnd/>
                      <a:tailEnd/>
                    </a:ln>
                  </pic:spPr>
                </pic:pic>
              </a:graphicData>
            </a:graphic>
          </wp:inline>
        </w:drawing>
      </w:r>
    </w:p>
    <w:p w:rsidR="00F75B90" w:rsidRPr="00B6647E" w:rsidRDefault="00F75B90" w:rsidP="00F75B90">
      <w:pPr>
        <w:spacing w:after="120" w:line="240" w:lineRule="auto"/>
        <w:jc w:val="both"/>
        <w:rPr>
          <w:rFonts w:ascii="Arial" w:hAnsi="Arial" w:cs="Arial"/>
          <w:sz w:val="20"/>
          <w:szCs w:val="20"/>
          <w:lang w:val="fr-FR" w:eastAsia="fr-FR"/>
        </w:rPr>
      </w:pPr>
      <w:r w:rsidRPr="00B6647E">
        <w:rPr>
          <w:rFonts w:ascii="Arial" w:hAnsi="Arial" w:cs="Arial"/>
          <w:sz w:val="20"/>
          <w:szCs w:val="20"/>
          <w:lang w:val="fr-FR" w:eastAsia="fr-FR"/>
        </w:rPr>
        <w:lastRenderedPageBreak/>
        <w:t xml:space="preserve">Au niveau national, la superficie moyenne cultivée par ménage est d’environ 0,25 ha au cours de chacune des trois saisons. En effet, cette moyenne a été estimée à 0,278 ha par ménage au cours de la saison A, à 0,287 ha par ménage pendant la saison B et en saison C à 0,246 ha par ménage. </w:t>
      </w:r>
    </w:p>
    <w:p w:rsidR="00763734" w:rsidRPr="00B6647E" w:rsidRDefault="00763734" w:rsidP="00763734">
      <w:pPr>
        <w:spacing w:after="120" w:line="240" w:lineRule="auto"/>
        <w:jc w:val="both"/>
        <w:rPr>
          <w:rFonts w:ascii="Arial" w:hAnsi="Arial" w:cs="Arial"/>
          <w:sz w:val="20"/>
          <w:szCs w:val="20"/>
          <w:lang w:val="fr-FR" w:eastAsia="fr-FR"/>
        </w:rPr>
      </w:pPr>
      <w:r w:rsidRPr="00B6647E">
        <w:rPr>
          <w:rFonts w:ascii="Arial" w:hAnsi="Arial" w:cs="Arial"/>
          <w:sz w:val="20"/>
          <w:szCs w:val="20"/>
          <w:lang w:val="fr-FR" w:eastAsia="fr-FR"/>
        </w:rPr>
        <w:t xml:space="preserve">Les provinces de Kirundo (0,427 ha en saison A, 0,432 ha en saison B et 0,426 ha en saison C) et de Cankuzo (0,362 ha en saison A, 0,454 ha en saison B et 0,336 ha en saison C) enregistrent les superficies moyennes cultivées les plus élevées au cours des trois saisons. A contrario, ce sont les provinces de Ngozi (0,192 ha en saison A, 0,194 ha en saison B et 0,163 ha en saison C) et Kayanza (0,208 ha en saison A, 0,182 ha en saison B et 0,154 ha en saison C) qui ont enregistré les superficies moyennes cultivées par ménages les plus faibles. </w:t>
      </w:r>
    </w:p>
    <w:p w:rsidR="00754970" w:rsidRPr="00B6647E" w:rsidRDefault="00754970" w:rsidP="00754970">
      <w:pPr>
        <w:spacing w:after="0" w:line="240" w:lineRule="auto"/>
        <w:jc w:val="both"/>
        <w:rPr>
          <w:rFonts w:ascii="Arial" w:hAnsi="Arial" w:cs="Arial"/>
          <w:sz w:val="20"/>
          <w:szCs w:val="20"/>
          <w:lang w:val="fr-FR" w:eastAsia="fr-FR"/>
        </w:rPr>
      </w:pPr>
      <w:r w:rsidRPr="00B6647E">
        <w:rPr>
          <w:rFonts w:ascii="Arial" w:hAnsi="Arial" w:cs="Arial"/>
          <w:sz w:val="20"/>
          <w:szCs w:val="20"/>
          <w:lang w:val="fr-FR" w:eastAsia="fr-FR"/>
        </w:rPr>
        <w:t xml:space="preserve">Les plus grandes superficies cultivées annuelle par ménage ont été enregistrées dans </w:t>
      </w:r>
      <w:r w:rsidR="00814730" w:rsidRPr="00B6647E">
        <w:rPr>
          <w:rFonts w:ascii="Arial" w:hAnsi="Arial" w:cs="Arial"/>
          <w:sz w:val="20"/>
          <w:szCs w:val="20"/>
          <w:lang w:val="fr-FR" w:eastAsia="fr-FR"/>
        </w:rPr>
        <w:t xml:space="preserve">Les provinces </w:t>
      </w:r>
      <w:r w:rsidRPr="00B6647E">
        <w:rPr>
          <w:rFonts w:ascii="Arial" w:hAnsi="Arial" w:cs="Arial"/>
          <w:sz w:val="20"/>
          <w:szCs w:val="20"/>
          <w:lang w:val="fr-FR" w:eastAsia="fr-FR"/>
        </w:rPr>
        <w:t xml:space="preserve">de </w:t>
      </w:r>
      <w:r w:rsidR="00814730" w:rsidRPr="00B6647E">
        <w:rPr>
          <w:rFonts w:ascii="Arial" w:hAnsi="Arial" w:cs="Arial"/>
          <w:sz w:val="20"/>
          <w:szCs w:val="20"/>
          <w:lang w:val="fr-FR" w:eastAsia="fr-FR"/>
        </w:rPr>
        <w:t xml:space="preserve">Kirundo (1,285 ha), Cankuzo (1,152 ha) et Karuzi (1,024 ha) </w:t>
      </w:r>
      <w:r w:rsidRPr="00B6647E">
        <w:rPr>
          <w:rFonts w:ascii="Arial" w:hAnsi="Arial" w:cs="Arial"/>
          <w:sz w:val="20"/>
          <w:szCs w:val="20"/>
          <w:lang w:val="fr-FR" w:eastAsia="fr-FR"/>
        </w:rPr>
        <w:t xml:space="preserve">et les plus petites dans </w:t>
      </w:r>
      <w:r w:rsidR="00814730" w:rsidRPr="00B6647E">
        <w:rPr>
          <w:rFonts w:ascii="Arial" w:hAnsi="Arial" w:cs="Arial"/>
          <w:sz w:val="20"/>
          <w:szCs w:val="20"/>
          <w:lang w:val="fr-FR" w:eastAsia="fr-FR"/>
        </w:rPr>
        <w:t>Kayanza (0,544 ha</w:t>
      </w:r>
      <w:r w:rsidRPr="00B6647E">
        <w:rPr>
          <w:rFonts w:ascii="Arial" w:hAnsi="Arial" w:cs="Arial"/>
          <w:sz w:val="20"/>
          <w:szCs w:val="20"/>
          <w:lang w:val="fr-FR" w:eastAsia="fr-FR"/>
        </w:rPr>
        <w:t xml:space="preserve"> et Ngozi (0,549 ha).</w:t>
      </w:r>
    </w:p>
    <w:p w:rsidR="00814730" w:rsidRPr="00B6647E" w:rsidRDefault="00814730" w:rsidP="00551F55">
      <w:pPr>
        <w:spacing w:after="0" w:line="240" w:lineRule="auto"/>
        <w:rPr>
          <w:rFonts w:ascii="Arial" w:hAnsi="Arial" w:cs="Arial"/>
          <w:lang w:val="fr-FR" w:eastAsia="fr-FR"/>
        </w:rPr>
      </w:pPr>
      <w:r w:rsidRPr="00B6647E">
        <w:rPr>
          <w:rFonts w:ascii="Arial" w:hAnsi="Arial" w:cs="Arial"/>
          <w:lang w:val="fr-FR" w:eastAsia="fr-FR"/>
        </w:rPr>
        <w:t xml:space="preserve"> </w:t>
      </w:r>
    </w:p>
    <w:p w:rsidR="00814730" w:rsidRPr="00B6647E" w:rsidRDefault="00814730" w:rsidP="00551F55">
      <w:pPr>
        <w:spacing w:after="0" w:line="240" w:lineRule="auto"/>
        <w:rPr>
          <w:rFonts w:ascii="Arial" w:hAnsi="Arial" w:cs="Arial"/>
          <w:b/>
          <w:sz w:val="20"/>
          <w:szCs w:val="20"/>
          <w:lang w:val="fr-FR" w:eastAsia="fr-FR"/>
        </w:rPr>
      </w:pPr>
      <w:r w:rsidRPr="00B6647E">
        <w:rPr>
          <w:rFonts w:ascii="Arial" w:hAnsi="Arial" w:cs="Arial"/>
          <w:b/>
          <w:sz w:val="20"/>
          <w:szCs w:val="20"/>
          <w:lang w:val="fr-FR" w:eastAsia="fr-FR"/>
        </w:rPr>
        <w:t xml:space="preserve">Graphique </w:t>
      </w:r>
      <w:r w:rsidR="007F30DD">
        <w:rPr>
          <w:rFonts w:ascii="Arial" w:hAnsi="Arial" w:cs="Arial"/>
          <w:b/>
          <w:sz w:val="20"/>
          <w:szCs w:val="20"/>
          <w:lang w:val="fr-FR" w:eastAsia="fr-FR"/>
        </w:rPr>
        <w:t>08</w:t>
      </w:r>
      <w:r w:rsidRPr="00B6647E">
        <w:rPr>
          <w:rFonts w:ascii="Arial" w:hAnsi="Arial" w:cs="Arial"/>
          <w:b/>
          <w:sz w:val="20"/>
          <w:szCs w:val="20"/>
          <w:lang w:val="fr-FR" w:eastAsia="fr-FR"/>
        </w:rPr>
        <w:t> : Superficie moyenne annuelle cultivée par ménage (en ha)</w:t>
      </w:r>
    </w:p>
    <w:p w:rsidR="00814730" w:rsidRPr="00B6647E" w:rsidRDefault="00814730" w:rsidP="00551F55">
      <w:pPr>
        <w:spacing w:after="0" w:line="240" w:lineRule="auto"/>
        <w:rPr>
          <w:rFonts w:ascii="Arial" w:hAnsi="Arial" w:cs="Arial"/>
          <w:lang w:val="fr-FR" w:eastAsia="fr-FR"/>
        </w:rPr>
      </w:pPr>
    </w:p>
    <w:p w:rsidR="00814730" w:rsidRPr="00B6647E" w:rsidRDefault="00142B80" w:rsidP="00551F55">
      <w:pPr>
        <w:spacing w:after="0" w:line="240" w:lineRule="auto"/>
        <w:rPr>
          <w:rFonts w:ascii="Arial" w:hAnsi="Arial" w:cs="Arial"/>
          <w:lang w:val="fr-FR" w:eastAsia="fr-FR"/>
        </w:rPr>
      </w:pPr>
      <w:r w:rsidRPr="00B6647E">
        <w:rPr>
          <w:noProof/>
          <w:lang w:val="fr-FR" w:eastAsia="fr-FR"/>
        </w:rPr>
        <w:drawing>
          <wp:inline distT="0" distB="0" distL="0" distR="0">
            <wp:extent cx="5715000" cy="3408770"/>
            <wp:effectExtent l="19050" t="0" r="0" b="0"/>
            <wp:docPr id="16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srcRect/>
                    <a:stretch>
                      <a:fillRect/>
                    </a:stretch>
                  </pic:blipFill>
                  <pic:spPr bwMode="auto">
                    <a:xfrm>
                      <a:off x="0" y="0"/>
                      <a:ext cx="5715000" cy="3408770"/>
                    </a:xfrm>
                    <a:prstGeom prst="rect">
                      <a:avLst/>
                    </a:prstGeom>
                    <a:noFill/>
                    <a:ln w="9525">
                      <a:noFill/>
                      <a:miter lim="800000"/>
                      <a:headEnd/>
                      <a:tailEnd/>
                    </a:ln>
                  </pic:spPr>
                </pic:pic>
              </a:graphicData>
            </a:graphic>
          </wp:inline>
        </w:drawing>
      </w:r>
    </w:p>
    <w:p w:rsidR="00E445BC" w:rsidRPr="009C5861" w:rsidRDefault="00E445BC" w:rsidP="00B24E80">
      <w:pPr>
        <w:pStyle w:val="Titre2"/>
        <w:keepNext w:val="0"/>
        <w:numPr>
          <w:ilvl w:val="1"/>
          <w:numId w:val="1"/>
        </w:numPr>
        <w:spacing w:before="240" w:after="200"/>
        <w:ind w:left="0" w:firstLine="0"/>
        <w:rPr>
          <w:rFonts w:cs="Arial"/>
          <w:u w:val="dotDash"/>
        </w:rPr>
      </w:pPr>
      <w:bookmarkStart w:id="209" w:name="_Toc322271300"/>
      <w:bookmarkStart w:id="210" w:name="_Toc336692122"/>
      <w:bookmarkStart w:id="211" w:name="_Toc354313862"/>
      <w:r w:rsidRPr="009C5861">
        <w:rPr>
          <w:rFonts w:cs="Arial"/>
          <w:u w:val="dotDash"/>
        </w:rPr>
        <w:t>système d’exploitation des parcelles</w:t>
      </w:r>
      <w:bookmarkEnd w:id="209"/>
      <w:bookmarkEnd w:id="210"/>
      <w:bookmarkEnd w:id="211"/>
    </w:p>
    <w:p w:rsidR="00E445BC" w:rsidRPr="009C5861" w:rsidRDefault="00E445BC" w:rsidP="00B24E80">
      <w:pPr>
        <w:pStyle w:val="Titre3"/>
        <w:keepNext w:val="0"/>
        <w:numPr>
          <w:ilvl w:val="2"/>
          <w:numId w:val="1"/>
        </w:numPr>
        <w:spacing w:before="200" w:after="120"/>
        <w:ind w:left="0" w:firstLine="0"/>
        <w:rPr>
          <w:rFonts w:cs="Arial"/>
          <w:szCs w:val="20"/>
        </w:rPr>
      </w:pPr>
      <w:bookmarkStart w:id="212" w:name="_Toc336692123"/>
      <w:bookmarkStart w:id="213" w:name="_Toc354313863"/>
      <w:r w:rsidRPr="009C5861">
        <w:rPr>
          <w:rFonts w:cs="Arial"/>
          <w:szCs w:val="20"/>
        </w:rPr>
        <w:t>Mode d’</w:t>
      </w:r>
      <w:bookmarkEnd w:id="212"/>
      <w:r w:rsidRPr="009C5861">
        <w:rPr>
          <w:rFonts w:cs="Arial"/>
          <w:szCs w:val="20"/>
        </w:rPr>
        <w:t>acquisition</w:t>
      </w:r>
      <w:bookmarkEnd w:id="213"/>
    </w:p>
    <w:p w:rsidR="00905A60" w:rsidRPr="009C5861" w:rsidRDefault="00905A60" w:rsidP="00905A60">
      <w:pPr>
        <w:spacing w:line="240" w:lineRule="auto"/>
        <w:jc w:val="both"/>
        <w:rPr>
          <w:rFonts w:ascii="Arial" w:hAnsi="Arial" w:cs="Arial"/>
          <w:sz w:val="20"/>
          <w:szCs w:val="20"/>
          <w:lang w:val="fr-FR" w:eastAsia="fr-FR"/>
        </w:rPr>
      </w:pPr>
      <w:r w:rsidRPr="009C5861">
        <w:rPr>
          <w:rFonts w:ascii="Arial" w:hAnsi="Arial" w:cs="Arial"/>
          <w:sz w:val="20"/>
          <w:szCs w:val="20"/>
          <w:lang w:eastAsia="en-US" w:bidi="en-US"/>
        </w:rPr>
        <w:t xml:space="preserve">Selon la déclaration des ménages, plus de 6 champs sur 10 proviennent d’un héritage (62,2%), un champ sur cinq a été acheté (19,7%) et 5,2% sont exploités à titre gratuit. </w:t>
      </w:r>
      <w:r w:rsidRPr="009C5861">
        <w:rPr>
          <w:rFonts w:ascii="Arial" w:hAnsi="Arial" w:cs="Arial"/>
          <w:sz w:val="20"/>
          <w:szCs w:val="20"/>
          <w:lang w:val="fr-FR" w:eastAsia="fr-FR"/>
        </w:rPr>
        <w:t>Le mode d</w:t>
      </w:r>
      <w:r w:rsidR="00C7678D">
        <w:rPr>
          <w:rFonts w:ascii="Arial" w:hAnsi="Arial" w:cs="Arial"/>
          <w:sz w:val="20"/>
          <w:szCs w:val="20"/>
          <w:lang w:val="fr-FR" w:eastAsia="fr-FR"/>
        </w:rPr>
        <w:t>e location</w:t>
      </w:r>
      <w:r w:rsidRPr="009C5861">
        <w:rPr>
          <w:rFonts w:ascii="Arial" w:hAnsi="Arial" w:cs="Arial"/>
          <w:sz w:val="20"/>
          <w:szCs w:val="20"/>
          <w:lang w:val="fr-FR" w:eastAsia="fr-FR"/>
        </w:rPr>
        <w:t xml:space="preserve"> le plus important est le loyer fixe (7,6%).</w:t>
      </w:r>
    </w:p>
    <w:p w:rsidR="00215ACB" w:rsidRPr="009C5861" w:rsidRDefault="00215ACB" w:rsidP="00551F55">
      <w:pPr>
        <w:spacing w:line="240" w:lineRule="auto"/>
        <w:jc w:val="both"/>
        <w:rPr>
          <w:rFonts w:ascii="Arial" w:hAnsi="Arial" w:cs="Arial"/>
          <w:sz w:val="20"/>
          <w:szCs w:val="20"/>
          <w:lang w:val="fr-FR" w:eastAsia="fr-FR"/>
        </w:rPr>
      </w:pPr>
      <w:r w:rsidRPr="009C5861">
        <w:rPr>
          <w:rFonts w:ascii="Arial" w:hAnsi="Arial" w:cs="Arial"/>
          <w:sz w:val="20"/>
          <w:szCs w:val="20"/>
          <w:lang w:val="fr-FR" w:eastAsia="fr-FR"/>
        </w:rPr>
        <w:t>Les ménages ont déclaré que plus de</w:t>
      </w:r>
      <w:r w:rsidR="00857CD5" w:rsidRPr="009C5861">
        <w:rPr>
          <w:rFonts w:ascii="Arial" w:hAnsi="Arial" w:cs="Arial"/>
          <w:sz w:val="20"/>
          <w:szCs w:val="20"/>
          <w:lang w:val="fr-FR" w:eastAsia="fr-FR"/>
        </w:rPr>
        <w:t xml:space="preserve">s trois quarts des </w:t>
      </w:r>
      <w:r w:rsidRPr="009C5861">
        <w:rPr>
          <w:rFonts w:ascii="Arial" w:hAnsi="Arial" w:cs="Arial"/>
          <w:sz w:val="20"/>
          <w:szCs w:val="20"/>
          <w:lang w:val="fr-FR" w:eastAsia="fr-FR"/>
        </w:rPr>
        <w:t>champs cultivés au cours de la campagne 2011-2012 proviennent d’un héritage dans les provinces de Mwaro (8</w:t>
      </w:r>
      <w:r w:rsidR="00857CD5" w:rsidRPr="009C5861">
        <w:rPr>
          <w:rFonts w:ascii="Arial" w:hAnsi="Arial" w:cs="Arial"/>
          <w:sz w:val="20"/>
          <w:szCs w:val="20"/>
          <w:lang w:val="fr-FR" w:eastAsia="fr-FR"/>
        </w:rPr>
        <w:t>2,9%</w:t>
      </w:r>
      <w:r w:rsidRPr="009C5861">
        <w:rPr>
          <w:rFonts w:ascii="Arial" w:hAnsi="Arial" w:cs="Arial"/>
          <w:sz w:val="20"/>
          <w:szCs w:val="20"/>
          <w:lang w:val="fr-FR" w:eastAsia="fr-FR"/>
        </w:rPr>
        <w:t>)</w:t>
      </w:r>
      <w:r w:rsidR="00857CD5" w:rsidRPr="009C5861">
        <w:rPr>
          <w:rFonts w:ascii="Arial" w:hAnsi="Arial" w:cs="Arial"/>
          <w:sz w:val="20"/>
          <w:szCs w:val="20"/>
          <w:lang w:val="fr-FR" w:eastAsia="fr-FR"/>
        </w:rPr>
        <w:t xml:space="preserve">, </w:t>
      </w:r>
      <w:r w:rsidRPr="009C5861">
        <w:rPr>
          <w:rFonts w:ascii="Arial" w:hAnsi="Arial" w:cs="Arial"/>
          <w:sz w:val="20"/>
          <w:szCs w:val="20"/>
          <w:lang w:val="fr-FR" w:eastAsia="fr-FR"/>
        </w:rPr>
        <w:t xml:space="preserve"> </w:t>
      </w:r>
      <w:r w:rsidR="00857CD5" w:rsidRPr="009C5861">
        <w:rPr>
          <w:rFonts w:ascii="Arial" w:hAnsi="Arial" w:cs="Arial"/>
          <w:sz w:val="20"/>
          <w:szCs w:val="20"/>
          <w:lang w:val="fr-FR" w:eastAsia="fr-FR"/>
        </w:rPr>
        <w:t xml:space="preserve">Kayanza (76,5%), et </w:t>
      </w:r>
      <w:r w:rsidRPr="009C5861">
        <w:rPr>
          <w:rFonts w:ascii="Arial" w:hAnsi="Arial" w:cs="Arial"/>
          <w:sz w:val="20"/>
          <w:szCs w:val="20"/>
          <w:lang w:val="fr-FR" w:eastAsia="fr-FR"/>
        </w:rPr>
        <w:t>Karuzi (</w:t>
      </w:r>
      <w:r w:rsidR="00857CD5" w:rsidRPr="009C5861">
        <w:rPr>
          <w:rFonts w:ascii="Arial" w:hAnsi="Arial" w:cs="Arial"/>
          <w:sz w:val="20"/>
          <w:szCs w:val="20"/>
          <w:lang w:val="fr-FR" w:eastAsia="fr-FR"/>
        </w:rPr>
        <w:t>75,8%</w:t>
      </w:r>
      <w:r w:rsidRPr="009C5861">
        <w:rPr>
          <w:rFonts w:ascii="Arial" w:hAnsi="Arial" w:cs="Arial"/>
          <w:sz w:val="20"/>
          <w:szCs w:val="20"/>
          <w:lang w:val="fr-FR" w:eastAsia="fr-FR"/>
        </w:rPr>
        <w:t xml:space="preserve">). </w:t>
      </w:r>
    </w:p>
    <w:p w:rsidR="003C15E8" w:rsidRPr="009C5861" w:rsidRDefault="003C15E8" w:rsidP="00551F55">
      <w:pPr>
        <w:spacing w:line="240" w:lineRule="auto"/>
        <w:jc w:val="both"/>
        <w:rPr>
          <w:rFonts w:ascii="Arial" w:hAnsi="Arial" w:cs="Arial"/>
          <w:sz w:val="20"/>
          <w:szCs w:val="20"/>
          <w:lang w:val="fr-FR" w:eastAsia="fr-FR"/>
        </w:rPr>
      </w:pPr>
      <w:r w:rsidRPr="009C5861">
        <w:rPr>
          <w:rFonts w:ascii="Arial" w:hAnsi="Arial" w:cs="Arial"/>
          <w:sz w:val="20"/>
          <w:szCs w:val="20"/>
          <w:lang w:val="fr-FR" w:eastAsia="fr-FR"/>
        </w:rPr>
        <w:t>La plus grande proportion de champs achetés et cultivés au cours d</w:t>
      </w:r>
      <w:r w:rsidR="00C7678D">
        <w:rPr>
          <w:rFonts w:ascii="Arial" w:hAnsi="Arial" w:cs="Arial"/>
          <w:sz w:val="20"/>
          <w:szCs w:val="20"/>
          <w:lang w:val="fr-FR" w:eastAsia="fr-FR"/>
        </w:rPr>
        <w:t>e l</w:t>
      </w:r>
      <w:r w:rsidRPr="009C5861">
        <w:rPr>
          <w:rFonts w:ascii="Arial" w:hAnsi="Arial" w:cs="Arial"/>
          <w:sz w:val="20"/>
          <w:szCs w:val="20"/>
          <w:lang w:val="fr-FR" w:eastAsia="fr-FR"/>
        </w:rPr>
        <w:t xml:space="preserve">a </w:t>
      </w:r>
      <w:r w:rsidR="00610C37" w:rsidRPr="009C5861">
        <w:rPr>
          <w:rFonts w:ascii="Arial" w:hAnsi="Arial" w:cs="Arial"/>
          <w:sz w:val="20"/>
          <w:szCs w:val="20"/>
          <w:lang w:val="fr-FR" w:eastAsia="fr-FR"/>
        </w:rPr>
        <w:t>campagne</w:t>
      </w:r>
      <w:r w:rsidRPr="009C5861">
        <w:rPr>
          <w:rFonts w:ascii="Arial" w:hAnsi="Arial" w:cs="Arial"/>
          <w:sz w:val="20"/>
          <w:szCs w:val="20"/>
          <w:lang w:val="fr-FR" w:eastAsia="fr-FR"/>
        </w:rPr>
        <w:t xml:space="preserve"> agricole 2011-2012 a été estimée dans la province de Cibitoke (</w:t>
      </w:r>
      <w:r w:rsidR="00857CD5" w:rsidRPr="009C5861">
        <w:rPr>
          <w:rFonts w:ascii="Arial" w:hAnsi="Arial" w:cs="Arial"/>
          <w:sz w:val="20"/>
          <w:szCs w:val="20"/>
          <w:lang w:val="fr-FR" w:eastAsia="fr-FR"/>
        </w:rPr>
        <w:t>37,7</w:t>
      </w:r>
      <w:r w:rsidRPr="009C5861">
        <w:rPr>
          <w:rFonts w:ascii="Arial" w:hAnsi="Arial" w:cs="Arial"/>
          <w:sz w:val="20"/>
          <w:szCs w:val="20"/>
          <w:lang w:val="fr-FR" w:eastAsia="fr-FR"/>
        </w:rPr>
        <w:t>%)</w:t>
      </w:r>
    </w:p>
    <w:p w:rsidR="00DA391D" w:rsidRPr="009C5861" w:rsidRDefault="00677234" w:rsidP="00FD014D">
      <w:pPr>
        <w:tabs>
          <w:tab w:val="left" w:pos="6705"/>
        </w:tabs>
        <w:spacing w:after="0" w:line="240" w:lineRule="auto"/>
        <w:rPr>
          <w:rFonts w:ascii="Arial" w:hAnsi="Arial" w:cs="Arial"/>
          <w:b/>
          <w:sz w:val="20"/>
          <w:szCs w:val="20"/>
          <w:lang w:eastAsia="en-US" w:bidi="en-US"/>
        </w:rPr>
      </w:pPr>
      <w:r w:rsidRPr="009C5861">
        <w:rPr>
          <w:rFonts w:ascii="Arial" w:hAnsi="Arial" w:cs="Arial"/>
          <w:b/>
          <w:sz w:val="20"/>
          <w:szCs w:val="20"/>
          <w:lang w:eastAsia="en-US" w:bidi="en-US"/>
        </w:rPr>
        <w:lastRenderedPageBreak/>
        <w:t xml:space="preserve">Tableau </w:t>
      </w:r>
      <w:r w:rsidR="00EE32E1">
        <w:rPr>
          <w:rFonts w:ascii="Arial" w:hAnsi="Arial" w:cs="Arial"/>
          <w:b/>
          <w:sz w:val="20"/>
          <w:szCs w:val="20"/>
          <w:lang w:eastAsia="en-US" w:bidi="en-US"/>
        </w:rPr>
        <w:t>32</w:t>
      </w:r>
      <w:r w:rsidR="00064CD6" w:rsidRPr="009C5861">
        <w:rPr>
          <w:rFonts w:ascii="Arial" w:hAnsi="Arial" w:cs="Arial"/>
          <w:b/>
          <w:sz w:val="20"/>
          <w:szCs w:val="20"/>
          <w:lang w:eastAsia="en-US" w:bidi="en-US"/>
        </w:rPr>
        <w:t xml:space="preserve"> : Pourcentage des champs cultivés selon le mode d’acquisition ou d’exploitation  </w:t>
      </w:r>
      <w:r w:rsidR="00DA391D" w:rsidRPr="009C5861">
        <w:rPr>
          <w:noProof/>
          <w:szCs w:val="20"/>
          <w:lang w:val="fr-FR" w:eastAsia="fr-FR"/>
        </w:rPr>
        <w:drawing>
          <wp:inline distT="0" distB="0" distL="0" distR="0">
            <wp:extent cx="5241925" cy="3519170"/>
            <wp:effectExtent l="19050" t="0" r="0" b="0"/>
            <wp:docPr id="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5241925" cy="3519170"/>
                    </a:xfrm>
                    <a:prstGeom prst="rect">
                      <a:avLst/>
                    </a:prstGeom>
                    <a:noFill/>
                    <a:ln w="9525">
                      <a:noFill/>
                      <a:miter lim="800000"/>
                      <a:headEnd/>
                      <a:tailEnd/>
                    </a:ln>
                  </pic:spPr>
                </pic:pic>
              </a:graphicData>
            </a:graphic>
          </wp:inline>
        </w:drawing>
      </w:r>
    </w:p>
    <w:p w:rsidR="00B91755" w:rsidRPr="009C5861" w:rsidRDefault="00B91755" w:rsidP="00B91755">
      <w:pPr>
        <w:spacing w:line="240" w:lineRule="auto"/>
        <w:jc w:val="both"/>
        <w:rPr>
          <w:rFonts w:ascii="Arial" w:hAnsi="Arial" w:cs="Arial"/>
          <w:sz w:val="20"/>
          <w:szCs w:val="20"/>
          <w:lang w:val="fr-FR" w:eastAsia="fr-FR"/>
        </w:rPr>
      </w:pPr>
      <w:r w:rsidRPr="009C5861">
        <w:rPr>
          <w:rFonts w:ascii="Arial" w:hAnsi="Arial" w:cs="Arial"/>
          <w:sz w:val="20"/>
          <w:szCs w:val="20"/>
          <w:lang w:val="fr-FR" w:eastAsia="fr-FR"/>
        </w:rPr>
        <w:t xml:space="preserve">Plus d’un champ sur dix cultivés a fait l’objet d’une location fixe dans les provinces de Bubanza (13,6%), Cibitoke (13,5%) et Kirundo (12,8%). </w:t>
      </w:r>
    </w:p>
    <w:p w:rsidR="00B91755" w:rsidRPr="009C5861" w:rsidRDefault="00B91755" w:rsidP="00B91755">
      <w:pPr>
        <w:spacing w:line="240" w:lineRule="auto"/>
        <w:jc w:val="both"/>
        <w:rPr>
          <w:rFonts w:ascii="Arial" w:hAnsi="Arial" w:cs="Arial"/>
          <w:sz w:val="20"/>
          <w:szCs w:val="20"/>
          <w:lang w:val="fr-FR" w:eastAsia="fr-FR"/>
        </w:rPr>
      </w:pPr>
      <w:r w:rsidRPr="009C5861">
        <w:rPr>
          <w:rFonts w:ascii="Arial" w:hAnsi="Arial" w:cs="Arial"/>
          <w:sz w:val="20"/>
          <w:szCs w:val="20"/>
          <w:lang w:val="fr-FR" w:eastAsia="fr-FR"/>
        </w:rPr>
        <w:t>Le métayage a concerné les plus grandes proportions des champs dans les provinces de Bubanza (7,3%), Cibitoke (4,6%), Bujumbura rural (4,2%)  et  Bururi (3,1%).</w:t>
      </w:r>
    </w:p>
    <w:p w:rsidR="00B91755" w:rsidRPr="009C5861" w:rsidRDefault="00B91755" w:rsidP="00B91755">
      <w:pPr>
        <w:spacing w:line="240" w:lineRule="auto"/>
        <w:jc w:val="both"/>
        <w:rPr>
          <w:rFonts w:ascii="Arial" w:hAnsi="Arial" w:cs="Arial"/>
          <w:sz w:val="20"/>
          <w:szCs w:val="20"/>
          <w:lang w:val="fr-FR" w:eastAsia="fr-FR"/>
        </w:rPr>
      </w:pPr>
      <w:r w:rsidRPr="009C5861">
        <w:rPr>
          <w:rFonts w:ascii="Arial" w:hAnsi="Arial" w:cs="Arial"/>
          <w:b/>
          <w:sz w:val="20"/>
          <w:szCs w:val="20"/>
          <w:lang w:eastAsia="en-US" w:bidi="en-US"/>
        </w:rPr>
        <w:t xml:space="preserve">Graphique </w:t>
      </w:r>
      <w:r w:rsidR="007F30DD">
        <w:rPr>
          <w:rFonts w:ascii="Arial" w:hAnsi="Arial" w:cs="Arial"/>
          <w:b/>
          <w:sz w:val="20"/>
          <w:szCs w:val="20"/>
          <w:lang w:eastAsia="en-US" w:bidi="en-US"/>
        </w:rPr>
        <w:t>09</w:t>
      </w:r>
      <w:r w:rsidRPr="009C5861">
        <w:rPr>
          <w:rFonts w:ascii="Arial" w:hAnsi="Arial" w:cs="Arial"/>
          <w:b/>
          <w:sz w:val="20"/>
          <w:szCs w:val="20"/>
          <w:lang w:eastAsia="en-US" w:bidi="en-US"/>
        </w:rPr>
        <w:t xml:space="preserve"> : Pourcentage des champs cultivés selon le mode d’acquisition ou d’exploitation  </w:t>
      </w:r>
    </w:p>
    <w:p w:rsidR="00B91755" w:rsidRPr="009C5861" w:rsidRDefault="00B91755" w:rsidP="00FD014D">
      <w:pPr>
        <w:tabs>
          <w:tab w:val="left" w:pos="6705"/>
        </w:tabs>
        <w:spacing w:after="0" w:line="240" w:lineRule="auto"/>
        <w:rPr>
          <w:rFonts w:ascii="Arial" w:hAnsi="Arial" w:cs="Arial"/>
          <w:b/>
          <w:sz w:val="20"/>
          <w:szCs w:val="20"/>
          <w:lang w:val="fr-FR" w:eastAsia="en-US" w:bidi="en-US"/>
        </w:rPr>
      </w:pPr>
    </w:p>
    <w:p w:rsidR="00064CD6" w:rsidRPr="009C5861" w:rsidRDefault="00B91755" w:rsidP="00FD014D">
      <w:pPr>
        <w:spacing w:after="0" w:line="240" w:lineRule="auto"/>
        <w:rPr>
          <w:rFonts w:ascii="Arial" w:hAnsi="Arial" w:cs="Arial"/>
          <w:sz w:val="20"/>
          <w:szCs w:val="20"/>
          <w:lang w:val="fr-FR" w:eastAsia="fr-FR"/>
        </w:rPr>
      </w:pPr>
      <w:r w:rsidRPr="009C5861">
        <w:rPr>
          <w:noProof/>
          <w:szCs w:val="20"/>
          <w:lang w:val="fr-FR" w:eastAsia="fr-FR"/>
        </w:rPr>
        <w:drawing>
          <wp:inline distT="0" distB="0" distL="0" distR="0">
            <wp:extent cx="5780121" cy="3519377"/>
            <wp:effectExtent l="19050" t="0" r="0" b="0"/>
            <wp:docPr id="7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srcRect/>
                    <a:stretch>
                      <a:fillRect/>
                    </a:stretch>
                  </pic:blipFill>
                  <pic:spPr bwMode="auto">
                    <a:xfrm>
                      <a:off x="0" y="0"/>
                      <a:ext cx="5780487" cy="3519600"/>
                    </a:xfrm>
                    <a:prstGeom prst="rect">
                      <a:avLst/>
                    </a:prstGeom>
                    <a:noFill/>
                    <a:ln w="9525">
                      <a:noFill/>
                      <a:miter lim="800000"/>
                      <a:headEnd/>
                      <a:tailEnd/>
                    </a:ln>
                  </pic:spPr>
                </pic:pic>
              </a:graphicData>
            </a:graphic>
          </wp:inline>
        </w:drawing>
      </w:r>
    </w:p>
    <w:p w:rsidR="00B91755" w:rsidRDefault="00B91755" w:rsidP="00FD014D">
      <w:pPr>
        <w:spacing w:after="0" w:line="240" w:lineRule="auto"/>
        <w:rPr>
          <w:rFonts w:ascii="Arial" w:hAnsi="Arial" w:cs="Arial"/>
          <w:sz w:val="20"/>
          <w:szCs w:val="20"/>
          <w:lang w:val="fr-FR" w:eastAsia="fr-FR"/>
        </w:rPr>
      </w:pPr>
    </w:p>
    <w:p w:rsidR="007F30DD" w:rsidRPr="009C5861" w:rsidRDefault="007F30DD" w:rsidP="00FD014D">
      <w:pPr>
        <w:spacing w:after="0" w:line="240" w:lineRule="auto"/>
        <w:rPr>
          <w:rFonts w:ascii="Arial" w:hAnsi="Arial" w:cs="Arial"/>
          <w:sz w:val="20"/>
          <w:szCs w:val="20"/>
          <w:lang w:val="fr-FR" w:eastAsia="fr-FR"/>
        </w:rPr>
      </w:pPr>
    </w:p>
    <w:p w:rsidR="00E445BC" w:rsidRPr="00B17C92" w:rsidRDefault="00E445BC" w:rsidP="00B24E80">
      <w:pPr>
        <w:pStyle w:val="Titre3"/>
        <w:keepNext w:val="0"/>
        <w:numPr>
          <w:ilvl w:val="2"/>
          <w:numId w:val="1"/>
        </w:numPr>
        <w:spacing w:before="200" w:after="120"/>
        <w:ind w:left="0" w:firstLine="0"/>
        <w:rPr>
          <w:rFonts w:cs="Arial"/>
          <w:szCs w:val="20"/>
        </w:rPr>
      </w:pPr>
      <w:bookmarkStart w:id="214" w:name="_Toc354313864"/>
      <w:r w:rsidRPr="00B17C92">
        <w:rPr>
          <w:rFonts w:cs="Arial"/>
          <w:szCs w:val="20"/>
        </w:rPr>
        <w:lastRenderedPageBreak/>
        <w:t>Gestion des parcelles interne aux ménages</w:t>
      </w:r>
      <w:bookmarkEnd w:id="214"/>
    </w:p>
    <w:p w:rsidR="006E61A8" w:rsidRPr="00B17C92" w:rsidRDefault="006E61A8" w:rsidP="00CD2B81">
      <w:pPr>
        <w:spacing w:after="120" w:line="240" w:lineRule="auto"/>
        <w:jc w:val="both"/>
        <w:rPr>
          <w:rFonts w:ascii="Arial" w:hAnsi="Arial" w:cs="Arial"/>
          <w:sz w:val="20"/>
          <w:szCs w:val="20"/>
          <w:lang w:val="fr-FR" w:eastAsia="fr-FR"/>
        </w:rPr>
      </w:pPr>
      <w:r w:rsidRPr="00B17C92">
        <w:rPr>
          <w:rFonts w:ascii="Arial" w:hAnsi="Arial" w:cs="Arial"/>
          <w:sz w:val="20"/>
          <w:szCs w:val="20"/>
          <w:lang w:val="fr-FR" w:eastAsia="fr-FR"/>
        </w:rPr>
        <w:t xml:space="preserve">Les estimations </w:t>
      </w:r>
      <w:r w:rsidR="00C32786" w:rsidRPr="00B17C92">
        <w:rPr>
          <w:rFonts w:ascii="Arial" w:hAnsi="Arial" w:cs="Arial"/>
          <w:sz w:val="20"/>
          <w:szCs w:val="20"/>
          <w:lang w:val="fr-FR" w:eastAsia="fr-FR"/>
        </w:rPr>
        <w:t xml:space="preserve">de l’enquête issues des déclarations des ménages </w:t>
      </w:r>
      <w:r w:rsidRPr="00B17C92">
        <w:rPr>
          <w:rFonts w:ascii="Arial" w:hAnsi="Arial" w:cs="Arial"/>
          <w:sz w:val="20"/>
          <w:szCs w:val="20"/>
          <w:lang w:val="fr-FR" w:eastAsia="fr-FR"/>
        </w:rPr>
        <w:t xml:space="preserve">indiquent </w:t>
      </w:r>
      <w:r w:rsidR="00C32786" w:rsidRPr="00B17C92">
        <w:rPr>
          <w:rFonts w:ascii="Arial" w:hAnsi="Arial" w:cs="Arial"/>
          <w:sz w:val="20"/>
          <w:szCs w:val="20"/>
          <w:lang w:val="fr-FR" w:eastAsia="fr-FR"/>
        </w:rPr>
        <w:t xml:space="preserve">clairement </w:t>
      </w:r>
      <w:r w:rsidRPr="00B17C92">
        <w:rPr>
          <w:rFonts w:ascii="Arial" w:hAnsi="Arial" w:cs="Arial"/>
          <w:sz w:val="20"/>
          <w:szCs w:val="20"/>
          <w:lang w:val="fr-FR" w:eastAsia="fr-FR"/>
        </w:rPr>
        <w:t xml:space="preserve">que la gestion </w:t>
      </w:r>
      <w:r w:rsidR="00C32786" w:rsidRPr="00B17C92">
        <w:rPr>
          <w:rFonts w:ascii="Arial" w:hAnsi="Arial" w:cs="Arial"/>
          <w:sz w:val="20"/>
          <w:szCs w:val="20"/>
          <w:lang w:val="fr-FR" w:eastAsia="fr-FR"/>
        </w:rPr>
        <w:t xml:space="preserve">collective </w:t>
      </w:r>
      <w:r w:rsidRPr="00B17C92">
        <w:rPr>
          <w:rFonts w:ascii="Arial" w:hAnsi="Arial" w:cs="Arial"/>
          <w:sz w:val="20"/>
          <w:szCs w:val="20"/>
          <w:lang w:val="fr-FR" w:eastAsia="fr-FR"/>
        </w:rPr>
        <w:t xml:space="preserve">des parcelles cultivées </w:t>
      </w:r>
      <w:r w:rsidR="00C32786" w:rsidRPr="00B17C92">
        <w:rPr>
          <w:rFonts w:ascii="Arial" w:hAnsi="Arial" w:cs="Arial"/>
          <w:sz w:val="20"/>
          <w:szCs w:val="20"/>
          <w:lang w:val="fr-FR" w:eastAsia="fr-FR"/>
        </w:rPr>
        <w:t xml:space="preserve">au sein des ménages </w:t>
      </w:r>
      <w:r w:rsidR="004C33AD" w:rsidRPr="00B17C92">
        <w:rPr>
          <w:rFonts w:ascii="Arial" w:hAnsi="Arial" w:cs="Arial"/>
          <w:sz w:val="20"/>
          <w:szCs w:val="20"/>
          <w:lang w:val="fr-FR" w:eastAsia="fr-FR"/>
        </w:rPr>
        <w:t xml:space="preserve">agricoles </w:t>
      </w:r>
      <w:r w:rsidRPr="00B17C92">
        <w:rPr>
          <w:rFonts w:ascii="Arial" w:hAnsi="Arial" w:cs="Arial"/>
          <w:sz w:val="20"/>
          <w:szCs w:val="20"/>
          <w:lang w:val="fr-FR" w:eastAsia="fr-FR"/>
        </w:rPr>
        <w:t>est très importante.</w:t>
      </w:r>
      <w:r w:rsidR="00B17C92" w:rsidRPr="00B17C92">
        <w:rPr>
          <w:rFonts w:ascii="Arial" w:hAnsi="Arial" w:cs="Arial"/>
          <w:sz w:val="20"/>
          <w:szCs w:val="20"/>
          <w:lang w:val="fr-FR" w:eastAsia="fr-FR"/>
        </w:rPr>
        <w:t xml:space="preserve"> En effet, il y a </w:t>
      </w:r>
      <w:r w:rsidR="00B17C92" w:rsidRPr="00B17C92">
        <w:rPr>
          <w:rFonts w:ascii="Arial" w:hAnsi="Arial" w:cs="Arial"/>
          <w:sz w:val="20"/>
          <w:szCs w:val="20"/>
        </w:rPr>
        <w:t xml:space="preserve"> 89,2% de parcelles qui sont gérées collectivement</w:t>
      </w:r>
      <w:r w:rsidR="00B17C92" w:rsidRPr="00B17C92">
        <w:rPr>
          <w:rStyle w:val="Appelnotedebasdep"/>
          <w:rFonts w:ascii="Arial" w:hAnsi="Arial" w:cs="Arial"/>
          <w:sz w:val="20"/>
          <w:szCs w:val="20"/>
        </w:rPr>
        <w:footnoteReference w:id="26"/>
      </w:r>
      <w:r w:rsidR="00B17C92" w:rsidRPr="00B17C92">
        <w:rPr>
          <w:rFonts w:ascii="Arial" w:hAnsi="Arial" w:cs="Arial"/>
          <w:sz w:val="20"/>
          <w:szCs w:val="20"/>
        </w:rPr>
        <w:t xml:space="preserve"> dans le ménage contre 10,8% d’entre elles gérées individuellement</w:t>
      </w:r>
      <w:r w:rsidR="00B17C92" w:rsidRPr="00B17C92">
        <w:rPr>
          <w:rStyle w:val="Appelnotedebasdep"/>
          <w:rFonts w:ascii="Arial" w:hAnsi="Arial" w:cs="Arial"/>
          <w:sz w:val="20"/>
          <w:szCs w:val="20"/>
        </w:rPr>
        <w:footnoteReference w:id="27"/>
      </w:r>
      <w:r w:rsidR="00B17C92" w:rsidRPr="00B17C92">
        <w:rPr>
          <w:rFonts w:ascii="Arial" w:hAnsi="Arial" w:cs="Arial"/>
          <w:sz w:val="20"/>
          <w:szCs w:val="20"/>
        </w:rPr>
        <w:t>.</w:t>
      </w:r>
    </w:p>
    <w:p w:rsidR="00E2631D" w:rsidRPr="00B17C92" w:rsidRDefault="00E2631D" w:rsidP="003D5F51">
      <w:pPr>
        <w:keepNext/>
        <w:spacing w:after="120" w:line="240" w:lineRule="auto"/>
        <w:jc w:val="both"/>
        <w:rPr>
          <w:rFonts w:ascii="Arial" w:hAnsi="Arial" w:cs="Arial"/>
          <w:b/>
          <w:sz w:val="20"/>
          <w:szCs w:val="20"/>
        </w:rPr>
      </w:pPr>
      <w:r w:rsidRPr="00B17C92">
        <w:rPr>
          <w:rFonts w:ascii="Arial" w:hAnsi="Arial" w:cs="Arial"/>
          <w:b/>
          <w:sz w:val="20"/>
          <w:szCs w:val="20"/>
        </w:rPr>
        <w:t xml:space="preserve">Tableau </w:t>
      </w:r>
      <w:r w:rsidR="00EE32E1">
        <w:rPr>
          <w:rFonts w:ascii="Arial" w:hAnsi="Arial" w:cs="Arial"/>
          <w:b/>
          <w:sz w:val="20"/>
          <w:szCs w:val="20"/>
        </w:rPr>
        <w:t>33</w:t>
      </w:r>
      <w:r w:rsidRPr="00B17C92">
        <w:rPr>
          <w:rFonts w:ascii="Arial" w:hAnsi="Arial" w:cs="Arial"/>
          <w:b/>
          <w:sz w:val="20"/>
          <w:szCs w:val="20"/>
        </w:rPr>
        <w:t> : Répartition des parcel</w:t>
      </w:r>
      <w:r w:rsidR="00B26D4E" w:rsidRPr="00B17C92">
        <w:rPr>
          <w:rFonts w:ascii="Arial" w:hAnsi="Arial" w:cs="Arial"/>
          <w:b/>
          <w:sz w:val="20"/>
          <w:szCs w:val="20"/>
        </w:rPr>
        <w:t>les selon le type leur gestion au sein des</w:t>
      </w:r>
      <w:r w:rsidRPr="00B17C92">
        <w:rPr>
          <w:rFonts w:ascii="Arial" w:hAnsi="Arial" w:cs="Arial"/>
          <w:b/>
          <w:sz w:val="20"/>
          <w:szCs w:val="20"/>
        </w:rPr>
        <w:t xml:space="preserve"> ménages (%)</w:t>
      </w:r>
    </w:p>
    <w:p w:rsidR="00EB4A7C" w:rsidRPr="00B17C92" w:rsidRDefault="00B26D4E" w:rsidP="003D5F51">
      <w:pPr>
        <w:spacing w:after="120" w:line="240" w:lineRule="auto"/>
        <w:rPr>
          <w:rFonts w:ascii="Arial" w:hAnsi="Arial" w:cs="Arial"/>
          <w:sz w:val="20"/>
          <w:szCs w:val="20"/>
          <w:lang w:val="fr-FR" w:eastAsia="fr-FR"/>
        </w:rPr>
      </w:pPr>
      <w:r w:rsidRPr="00B17C92">
        <w:rPr>
          <w:noProof/>
          <w:szCs w:val="20"/>
          <w:lang w:val="fr-FR" w:eastAsia="fr-FR"/>
        </w:rPr>
        <w:drawing>
          <wp:inline distT="0" distB="0" distL="0" distR="0">
            <wp:extent cx="2806700" cy="3487420"/>
            <wp:effectExtent l="19050" t="0" r="0" b="0"/>
            <wp:docPr id="8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srcRect/>
                    <a:stretch>
                      <a:fillRect/>
                    </a:stretch>
                  </pic:blipFill>
                  <pic:spPr bwMode="auto">
                    <a:xfrm>
                      <a:off x="0" y="0"/>
                      <a:ext cx="2806700" cy="3487420"/>
                    </a:xfrm>
                    <a:prstGeom prst="rect">
                      <a:avLst/>
                    </a:prstGeom>
                    <a:noFill/>
                    <a:ln w="9525">
                      <a:noFill/>
                      <a:miter lim="800000"/>
                      <a:headEnd/>
                      <a:tailEnd/>
                    </a:ln>
                  </pic:spPr>
                </pic:pic>
              </a:graphicData>
            </a:graphic>
          </wp:inline>
        </w:drawing>
      </w:r>
    </w:p>
    <w:p w:rsidR="006E61A8" w:rsidRPr="00B17C92" w:rsidRDefault="006E61A8" w:rsidP="00CD2B81">
      <w:pPr>
        <w:spacing w:after="120" w:line="240" w:lineRule="auto"/>
        <w:jc w:val="both"/>
        <w:rPr>
          <w:rFonts w:ascii="Arial" w:hAnsi="Arial" w:cs="Arial"/>
          <w:sz w:val="20"/>
          <w:szCs w:val="20"/>
        </w:rPr>
      </w:pPr>
      <w:r w:rsidRPr="00B17C92">
        <w:rPr>
          <w:rFonts w:ascii="Arial" w:hAnsi="Arial" w:cs="Arial"/>
          <w:sz w:val="20"/>
          <w:szCs w:val="20"/>
        </w:rPr>
        <w:t xml:space="preserve">De façon générale, la gestion collective </w:t>
      </w:r>
      <w:r w:rsidR="004C33AD" w:rsidRPr="00B17C92">
        <w:rPr>
          <w:rFonts w:ascii="Arial" w:hAnsi="Arial" w:cs="Arial"/>
          <w:sz w:val="20"/>
          <w:szCs w:val="20"/>
        </w:rPr>
        <w:t xml:space="preserve">des parcelles cultivées au sein des ménages agricoles </w:t>
      </w:r>
      <w:r w:rsidRPr="00B17C92">
        <w:rPr>
          <w:rFonts w:ascii="Arial" w:hAnsi="Arial" w:cs="Arial"/>
          <w:sz w:val="20"/>
          <w:szCs w:val="20"/>
        </w:rPr>
        <w:t>est très importante dans toutes les provinces. On note cependant</w:t>
      </w:r>
      <w:r w:rsidR="00B17C92" w:rsidRPr="00B17C92">
        <w:rPr>
          <w:rFonts w:ascii="Arial" w:hAnsi="Arial" w:cs="Arial"/>
          <w:sz w:val="20"/>
          <w:szCs w:val="20"/>
        </w:rPr>
        <w:t xml:space="preserve"> que</w:t>
      </w:r>
      <w:r w:rsidR="00002803" w:rsidRPr="00B17C92">
        <w:rPr>
          <w:rFonts w:ascii="Arial" w:hAnsi="Arial" w:cs="Arial"/>
          <w:sz w:val="20"/>
          <w:szCs w:val="20"/>
        </w:rPr>
        <w:t xml:space="preserve"> dans l</w:t>
      </w:r>
      <w:r w:rsidRPr="00B17C92">
        <w:rPr>
          <w:rFonts w:ascii="Arial" w:hAnsi="Arial" w:cs="Arial"/>
          <w:sz w:val="20"/>
          <w:szCs w:val="20"/>
        </w:rPr>
        <w:t xml:space="preserve">a province de Bujumbura rural, </w:t>
      </w:r>
      <w:r w:rsidR="00B17C92" w:rsidRPr="00B17C92">
        <w:rPr>
          <w:rFonts w:ascii="Arial" w:hAnsi="Arial" w:cs="Arial"/>
          <w:sz w:val="20"/>
          <w:szCs w:val="20"/>
        </w:rPr>
        <w:t xml:space="preserve">il ya </w:t>
      </w:r>
      <w:r w:rsidRPr="00B17C92">
        <w:rPr>
          <w:rFonts w:ascii="Arial" w:hAnsi="Arial" w:cs="Arial"/>
          <w:sz w:val="20"/>
          <w:szCs w:val="20"/>
        </w:rPr>
        <w:t xml:space="preserve">plus d’un tiers des parcelles </w:t>
      </w:r>
      <w:r w:rsidR="00002803" w:rsidRPr="00B17C92">
        <w:rPr>
          <w:rFonts w:ascii="Arial" w:hAnsi="Arial" w:cs="Arial"/>
          <w:sz w:val="20"/>
          <w:szCs w:val="20"/>
        </w:rPr>
        <w:t xml:space="preserve">qui ont </w:t>
      </w:r>
      <w:r w:rsidRPr="00B17C92">
        <w:rPr>
          <w:rFonts w:ascii="Arial" w:hAnsi="Arial" w:cs="Arial"/>
          <w:sz w:val="20"/>
          <w:szCs w:val="20"/>
        </w:rPr>
        <w:t>f</w:t>
      </w:r>
      <w:r w:rsidR="00002803" w:rsidRPr="00B17C92">
        <w:rPr>
          <w:rFonts w:ascii="Arial" w:hAnsi="Arial" w:cs="Arial"/>
          <w:sz w:val="20"/>
          <w:szCs w:val="20"/>
        </w:rPr>
        <w:t>ait</w:t>
      </w:r>
      <w:r w:rsidRPr="00B17C92">
        <w:rPr>
          <w:rFonts w:ascii="Arial" w:hAnsi="Arial" w:cs="Arial"/>
          <w:sz w:val="20"/>
          <w:szCs w:val="20"/>
        </w:rPr>
        <w:t xml:space="preserve"> l’objet de gestion individuelle </w:t>
      </w:r>
      <w:r w:rsidR="004C33AD" w:rsidRPr="00B17C92">
        <w:rPr>
          <w:rFonts w:ascii="Arial" w:hAnsi="Arial" w:cs="Arial"/>
          <w:sz w:val="20"/>
          <w:szCs w:val="20"/>
        </w:rPr>
        <w:t>par des membres des ménages</w:t>
      </w:r>
      <w:r w:rsidR="00002803" w:rsidRPr="00B17C92">
        <w:rPr>
          <w:rFonts w:ascii="Arial" w:hAnsi="Arial" w:cs="Arial"/>
          <w:sz w:val="20"/>
          <w:szCs w:val="20"/>
        </w:rPr>
        <w:t>. D</w:t>
      </w:r>
      <w:r w:rsidRPr="00B17C92">
        <w:rPr>
          <w:rFonts w:ascii="Arial" w:hAnsi="Arial" w:cs="Arial"/>
          <w:sz w:val="20"/>
          <w:szCs w:val="20"/>
        </w:rPr>
        <w:t xml:space="preserve">ans la province de Bubanza, il y a </w:t>
      </w:r>
      <w:r w:rsidR="00002803" w:rsidRPr="00B17C92">
        <w:rPr>
          <w:rFonts w:ascii="Arial" w:hAnsi="Arial" w:cs="Arial"/>
          <w:sz w:val="20"/>
          <w:szCs w:val="20"/>
        </w:rPr>
        <w:t>un peu plus d’une</w:t>
      </w:r>
      <w:r w:rsidRPr="00B17C92">
        <w:rPr>
          <w:rFonts w:ascii="Arial" w:hAnsi="Arial" w:cs="Arial"/>
          <w:sz w:val="20"/>
          <w:szCs w:val="20"/>
        </w:rPr>
        <w:t xml:space="preserve"> parcelle sur quatre gérée </w:t>
      </w:r>
      <w:r w:rsidR="00002803" w:rsidRPr="00B17C92">
        <w:rPr>
          <w:rFonts w:ascii="Arial" w:hAnsi="Arial" w:cs="Arial"/>
          <w:sz w:val="20"/>
          <w:szCs w:val="20"/>
        </w:rPr>
        <w:t>par un seul membre de ménage</w:t>
      </w:r>
      <w:r w:rsidRPr="00B17C92">
        <w:rPr>
          <w:rFonts w:ascii="Arial" w:hAnsi="Arial" w:cs="Arial"/>
          <w:sz w:val="20"/>
          <w:szCs w:val="20"/>
        </w:rPr>
        <w:t>.</w:t>
      </w:r>
    </w:p>
    <w:p w:rsidR="003B5605" w:rsidRPr="00B17C92" w:rsidRDefault="003B5605" w:rsidP="00551F55">
      <w:pPr>
        <w:spacing w:after="0" w:line="240" w:lineRule="auto"/>
        <w:rPr>
          <w:rFonts w:ascii="Arial" w:hAnsi="Arial" w:cs="Arial"/>
          <w:sz w:val="20"/>
          <w:szCs w:val="20"/>
          <w:lang w:val="fr-FR" w:eastAsia="fr-FR"/>
        </w:rPr>
      </w:pPr>
      <w:r w:rsidRPr="00B17C92">
        <w:rPr>
          <w:rFonts w:ascii="Arial" w:hAnsi="Arial" w:cs="Arial"/>
          <w:sz w:val="20"/>
          <w:szCs w:val="20"/>
          <w:lang w:val="fr-FR" w:eastAsia="fr-FR"/>
        </w:rPr>
        <w:t xml:space="preserve">A l’opposé, on estime à moins de 5% la proportion de parcelles faisant l’objet de gestion individuelle dans les provinces </w:t>
      </w:r>
      <w:r w:rsidR="00B17C92" w:rsidRPr="00B17C92">
        <w:rPr>
          <w:rFonts w:ascii="Arial" w:hAnsi="Arial" w:cs="Arial"/>
          <w:sz w:val="20"/>
          <w:szCs w:val="20"/>
          <w:lang w:val="fr-FR" w:eastAsia="fr-FR"/>
        </w:rPr>
        <w:t>de Muramvya</w:t>
      </w:r>
      <w:r w:rsidRPr="00B17C92">
        <w:rPr>
          <w:rFonts w:ascii="Arial" w:hAnsi="Arial" w:cs="Arial"/>
          <w:sz w:val="20"/>
          <w:szCs w:val="20"/>
          <w:lang w:val="fr-FR" w:eastAsia="fr-FR"/>
        </w:rPr>
        <w:t xml:space="preserve"> et Rutana</w:t>
      </w:r>
      <w:r w:rsidR="006E61A8" w:rsidRPr="00B17C92">
        <w:rPr>
          <w:rFonts w:ascii="Arial" w:hAnsi="Arial" w:cs="Arial"/>
          <w:sz w:val="20"/>
          <w:szCs w:val="20"/>
          <w:lang w:val="fr-FR" w:eastAsia="fr-FR"/>
        </w:rPr>
        <w:t>.</w:t>
      </w:r>
    </w:p>
    <w:p w:rsidR="00E445BC" w:rsidRPr="002921CE" w:rsidRDefault="00E445BC" w:rsidP="00B24E80">
      <w:pPr>
        <w:pStyle w:val="Titre3"/>
        <w:keepNext w:val="0"/>
        <w:numPr>
          <w:ilvl w:val="2"/>
          <w:numId w:val="1"/>
        </w:numPr>
        <w:spacing w:before="200" w:after="120"/>
        <w:ind w:left="0" w:firstLine="0"/>
        <w:rPr>
          <w:rFonts w:cs="Arial"/>
          <w:szCs w:val="20"/>
        </w:rPr>
      </w:pPr>
      <w:bookmarkStart w:id="215" w:name="_Toc336692124"/>
      <w:bookmarkStart w:id="216" w:name="_Toc354313865"/>
      <w:r w:rsidRPr="002921CE">
        <w:rPr>
          <w:rFonts w:cs="Arial"/>
          <w:szCs w:val="20"/>
        </w:rPr>
        <w:t>Dispositifs antiérosifs</w:t>
      </w:r>
      <w:bookmarkEnd w:id="215"/>
      <w:bookmarkEnd w:id="216"/>
    </w:p>
    <w:p w:rsidR="00763734" w:rsidRPr="002921CE" w:rsidRDefault="00151CBB" w:rsidP="00551F55">
      <w:pPr>
        <w:spacing w:after="0" w:line="240" w:lineRule="auto"/>
        <w:jc w:val="both"/>
        <w:rPr>
          <w:rFonts w:ascii="Arial" w:hAnsi="Arial" w:cs="Arial"/>
          <w:sz w:val="20"/>
          <w:szCs w:val="20"/>
          <w:lang w:val="fr-FR" w:eastAsia="fr-FR"/>
        </w:rPr>
      </w:pPr>
      <w:r w:rsidRPr="002921CE">
        <w:rPr>
          <w:rFonts w:ascii="Arial" w:hAnsi="Arial" w:cs="Arial"/>
          <w:sz w:val="20"/>
          <w:szCs w:val="20"/>
          <w:lang w:val="fr-FR" w:eastAsia="fr-FR"/>
        </w:rPr>
        <w:t>Au niveau national, o</w:t>
      </w:r>
      <w:r w:rsidR="00E30012" w:rsidRPr="002921CE">
        <w:rPr>
          <w:rFonts w:ascii="Arial" w:hAnsi="Arial" w:cs="Arial"/>
          <w:sz w:val="20"/>
          <w:szCs w:val="20"/>
          <w:lang w:val="fr-FR" w:eastAsia="fr-FR"/>
        </w:rPr>
        <w:t>n</w:t>
      </w:r>
      <w:r w:rsidR="00C21BD2" w:rsidRPr="002921CE">
        <w:rPr>
          <w:rFonts w:ascii="Arial" w:hAnsi="Arial" w:cs="Arial"/>
          <w:sz w:val="20"/>
          <w:szCs w:val="20"/>
          <w:lang w:val="fr-FR" w:eastAsia="fr-FR"/>
        </w:rPr>
        <w:t xml:space="preserve"> note qu’environ trois parcelles sur quatre n’ont bénéficié d’aucun dispositif antiérosif au cours de la campagne agricole 2011-2012. </w:t>
      </w:r>
      <w:r w:rsidR="00A3113D" w:rsidRPr="002921CE">
        <w:rPr>
          <w:rFonts w:ascii="Arial" w:hAnsi="Arial" w:cs="Arial"/>
          <w:sz w:val="20"/>
          <w:szCs w:val="20"/>
          <w:lang w:val="fr-FR" w:eastAsia="fr-FR"/>
        </w:rPr>
        <w:t xml:space="preserve">Les courbes de niveau avec haie </w:t>
      </w:r>
      <w:r w:rsidR="002921CE" w:rsidRPr="002921CE">
        <w:rPr>
          <w:rFonts w:ascii="Arial" w:hAnsi="Arial" w:cs="Arial"/>
          <w:sz w:val="20"/>
          <w:szCs w:val="20"/>
          <w:lang w:val="fr-FR" w:eastAsia="fr-FR"/>
        </w:rPr>
        <w:t>constituent</w:t>
      </w:r>
      <w:r w:rsidR="00A3113D" w:rsidRPr="002921CE">
        <w:rPr>
          <w:rFonts w:ascii="Arial" w:hAnsi="Arial" w:cs="Arial"/>
          <w:sz w:val="20"/>
          <w:szCs w:val="20"/>
          <w:lang w:val="fr-FR" w:eastAsia="fr-FR"/>
        </w:rPr>
        <w:t xml:space="preserve"> le dispositif antiérosif </w:t>
      </w:r>
      <w:r w:rsidR="00610C37" w:rsidRPr="002921CE">
        <w:rPr>
          <w:rFonts w:ascii="Arial" w:hAnsi="Arial" w:cs="Arial"/>
          <w:sz w:val="20"/>
          <w:szCs w:val="20"/>
          <w:lang w:val="fr-FR" w:eastAsia="fr-FR"/>
        </w:rPr>
        <w:t xml:space="preserve">qui </w:t>
      </w:r>
      <w:r w:rsidR="00A3113D" w:rsidRPr="002921CE">
        <w:rPr>
          <w:rFonts w:ascii="Arial" w:hAnsi="Arial" w:cs="Arial"/>
          <w:sz w:val="20"/>
          <w:szCs w:val="20"/>
          <w:lang w:val="fr-FR" w:eastAsia="fr-FR"/>
        </w:rPr>
        <w:t xml:space="preserve">a été le plus utilisé dans les parcelles </w:t>
      </w:r>
      <w:r w:rsidR="002921CE" w:rsidRPr="002921CE">
        <w:rPr>
          <w:rFonts w:ascii="Arial" w:hAnsi="Arial" w:cs="Arial"/>
          <w:sz w:val="20"/>
          <w:szCs w:val="20"/>
          <w:lang w:val="fr-FR" w:eastAsia="fr-FR"/>
        </w:rPr>
        <w:t>(13,6%)</w:t>
      </w:r>
      <w:r w:rsidR="00A3113D" w:rsidRPr="002921CE">
        <w:rPr>
          <w:rFonts w:ascii="Arial" w:hAnsi="Arial" w:cs="Arial"/>
          <w:sz w:val="20"/>
          <w:szCs w:val="20"/>
          <w:lang w:val="fr-FR" w:eastAsia="fr-FR"/>
        </w:rPr>
        <w:t>.</w:t>
      </w:r>
      <w:r w:rsidR="001059CD">
        <w:rPr>
          <w:rFonts w:ascii="Arial" w:hAnsi="Arial" w:cs="Arial"/>
          <w:sz w:val="20"/>
          <w:szCs w:val="20"/>
          <w:lang w:val="fr-FR" w:eastAsia="fr-FR"/>
        </w:rPr>
        <w:t xml:space="preserve"> </w:t>
      </w:r>
    </w:p>
    <w:p w:rsidR="00736D00" w:rsidRDefault="00736D00" w:rsidP="00551F55">
      <w:pPr>
        <w:spacing w:after="0" w:line="240" w:lineRule="auto"/>
        <w:jc w:val="both"/>
        <w:rPr>
          <w:rFonts w:ascii="Arial" w:hAnsi="Arial" w:cs="Arial"/>
          <w:sz w:val="20"/>
          <w:szCs w:val="20"/>
          <w:highlight w:val="yellow"/>
          <w:lang w:val="fr-FR" w:eastAsia="fr-FR"/>
        </w:rPr>
      </w:pPr>
    </w:p>
    <w:p w:rsidR="00A3113D" w:rsidRPr="00736D00" w:rsidRDefault="00A3113D" w:rsidP="00551F55">
      <w:pPr>
        <w:spacing w:after="0" w:line="240" w:lineRule="auto"/>
        <w:jc w:val="both"/>
        <w:rPr>
          <w:rFonts w:ascii="Arial" w:hAnsi="Arial" w:cs="Arial"/>
          <w:sz w:val="20"/>
          <w:szCs w:val="20"/>
          <w:lang w:val="fr-FR" w:eastAsia="fr-FR"/>
        </w:rPr>
      </w:pPr>
      <w:r w:rsidRPr="00736D00">
        <w:rPr>
          <w:rFonts w:ascii="Arial" w:hAnsi="Arial" w:cs="Arial"/>
          <w:sz w:val="20"/>
          <w:szCs w:val="20"/>
          <w:lang w:val="fr-FR" w:eastAsia="fr-FR"/>
        </w:rPr>
        <w:t xml:space="preserve">Les parcelles qui ont des courbes de niveau sans haie ne représentent que 3,2% de l’ensemble des parcelles cultivées au cours de la campagne 2011-2012. Les terrasses radicales avec haie n’existent que sur environ 2% des parcelles cultivées. </w:t>
      </w:r>
    </w:p>
    <w:p w:rsidR="00A3113D" w:rsidRPr="005E72E7" w:rsidRDefault="00A3113D" w:rsidP="00551F55">
      <w:pPr>
        <w:spacing w:after="0" w:line="240" w:lineRule="auto"/>
        <w:jc w:val="both"/>
        <w:rPr>
          <w:rFonts w:ascii="Arial" w:hAnsi="Arial" w:cs="Arial"/>
          <w:sz w:val="20"/>
          <w:szCs w:val="20"/>
          <w:highlight w:val="yellow"/>
          <w:lang w:val="fr-FR" w:eastAsia="fr-FR"/>
        </w:rPr>
      </w:pPr>
    </w:p>
    <w:p w:rsidR="00A3113D" w:rsidRPr="00736D00" w:rsidRDefault="00A3113D" w:rsidP="00551F55">
      <w:pPr>
        <w:keepNext/>
        <w:spacing w:line="240" w:lineRule="auto"/>
        <w:rPr>
          <w:rFonts w:ascii="Arial" w:hAnsi="Arial" w:cs="Arial"/>
          <w:b/>
          <w:sz w:val="20"/>
          <w:szCs w:val="20"/>
          <w:lang w:eastAsia="en-US" w:bidi="en-US"/>
        </w:rPr>
      </w:pPr>
      <w:r w:rsidRPr="00736D00">
        <w:rPr>
          <w:rFonts w:ascii="Arial" w:hAnsi="Arial" w:cs="Arial"/>
          <w:b/>
          <w:sz w:val="20"/>
          <w:szCs w:val="20"/>
          <w:lang w:eastAsia="en-US" w:bidi="en-US"/>
        </w:rPr>
        <w:lastRenderedPageBreak/>
        <w:t xml:space="preserve">Tableau </w:t>
      </w:r>
      <w:r w:rsidR="00EE32E1">
        <w:rPr>
          <w:rFonts w:ascii="Arial" w:hAnsi="Arial" w:cs="Arial"/>
          <w:b/>
          <w:sz w:val="20"/>
          <w:szCs w:val="20"/>
          <w:lang w:eastAsia="en-US" w:bidi="en-US"/>
        </w:rPr>
        <w:t>34</w:t>
      </w:r>
      <w:r w:rsidRPr="00736D00">
        <w:rPr>
          <w:rFonts w:ascii="Arial" w:hAnsi="Arial" w:cs="Arial"/>
          <w:b/>
          <w:sz w:val="20"/>
          <w:szCs w:val="20"/>
          <w:lang w:eastAsia="en-US" w:bidi="en-US"/>
        </w:rPr>
        <w:t> : Répartition des parcelles selon le dispositif antiérosif  (%)</w:t>
      </w:r>
    </w:p>
    <w:p w:rsidR="00EA6365" w:rsidRPr="005E72E7" w:rsidRDefault="002921CE" w:rsidP="00551F55">
      <w:pPr>
        <w:keepNext/>
        <w:spacing w:line="240" w:lineRule="auto"/>
        <w:rPr>
          <w:rFonts w:ascii="Arial" w:hAnsi="Arial" w:cs="Arial"/>
          <w:b/>
          <w:sz w:val="20"/>
          <w:szCs w:val="20"/>
          <w:highlight w:val="yellow"/>
          <w:lang w:eastAsia="en-US" w:bidi="en-US"/>
        </w:rPr>
      </w:pPr>
      <w:r w:rsidRPr="002921CE">
        <w:rPr>
          <w:noProof/>
          <w:szCs w:val="20"/>
          <w:lang w:val="fr-FR" w:eastAsia="fr-FR"/>
        </w:rPr>
        <w:drawing>
          <wp:inline distT="0" distB="0" distL="0" distR="0">
            <wp:extent cx="2700655" cy="1998980"/>
            <wp:effectExtent l="19050" t="0" r="4445" b="0"/>
            <wp:docPr id="8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srcRect/>
                    <a:stretch>
                      <a:fillRect/>
                    </a:stretch>
                  </pic:blipFill>
                  <pic:spPr bwMode="auto">
                    <a:xfrm>
                      <a:off x="0" y="0"/>
                      <a:ext cx="2700655" cy="1998980"/>
                    </a:xfrm>
                    <a:prstGeom prst="rect">
                      <a:avLst/>
                    </a:prstGeom>
                    <a:noFill/>
                    <a:ln w="9525">
                      <a:noFill/>
                      <a:miter lim="800000"/>
                      <a:headEnd/>
                      <a:tailEnd/>
                    </a:ln>
                  </pic:spPr>
                </pic:pic>
              </a:graphicData>
            </a:graphic>
          </wp:inline>
        </w:drawing>
      </w:r>
    </w:p>
    <w:p w:rsidR="00286097" w:rsidRPr="008642A8" w:rsidRDefault="00286097" w:rsidP="00CD2B81">
      <w:pPr>
        <w:spacing w:after="120" w:line="240" w:lineRule="auto"/>
        <w:jc w:val="both"/>
        <w:rPr>
          <w:rFonts w:ascii="Arial" w:hAnsi="Arial" w:cs="Arial"/>
          <w:sz w:val="20"/>
          <w:szCs w:val="20"/>
        </w:rPr>
      </w:pPr>
      <w:r w:rsidRPr="008642A8">
        <w:rPr>
          <w:rFonts w:ascii="Arial" w:hAnsi="Arial" w:cs="Arial"/>
          <w:sz w:val="20"/>
          <w:szCs w:val="20"/>
        </w:rPr>
        <w:t>Les provinces qui utilisent le plus des dispositifs antiérosifs en termes de proportions de parcelles sont </w:t>
      </w:r>
      <w:r w:rsidR="008642A8" w:rsidRPr="008642A8">
        <w:rPr>
          <w:rFonts w:ascii="Arial" w:hAnsi="Arial" w:cs="Arial"/>
          <w:sz w:val="20"/>
          <w:szCs w:val="20"/>
        </w:rPr>
        <w:t xml:space="preserve">: Mwaro (52,3%), Rutana (47,6%) et </w:t>
      </w:r>
      <w:r w:rsidRPr="008642A8">
        <w:rPr>
          <w:rFonts w:ascii="Arial" w:hAnsi="Arial" w:cs="Arial"/>
          <w:sz w:val="20"/>
          <w:szCs w:val="20"/>
        </w:rPr>
        <w:t>Bururi (4</w:t>
      </w:r>
      <w:r w:rsidR="008642A8" w:rsidRPr="008642A8">
        <w:rPr>
          <w:rFonts w:ascii="Arial" w:hAnsi="Arial" w:cs="Arial"/>
          <w:sz w:val="20"/>
          <w:szCs w:val="20"/>
        </w:rPr>
        <w:t>7</w:t>
      </w:r>
      <w:r w:rsidRPr="008642A8">
        <w:rPr>
          <w:rFonts w:ascii="Arial" w:hAnsi="Arial" w:cs="Arial"/>
          <w:sz w:val="20"/>
          <w:szCs w:val="20"/>
        </w:rPr>
        <w:t>,</w:t>
      </w:r>
      <w:r w:rsidR="008642A8" w:rsidRPr="008642A8">
        <w:rPr>
          <w:rFonts w:ascii="Arial" w:hAnsi="Arial" w:cs="Arial"/>
          <w:sz w:val="20"/>
          <w:szCs w:val="20"/>
        </w:rPr>
        <w:t>1</w:t>
      </w:r>
      <w:r w:rsidRPr="008642A8">
        <w:rPr>
          <w:rFonts w:ascii="Arial" w:hAnsi="Arial" w:cs="Arial"/>
          <w:sz w:val="20"/>
          <w:szCs w:val="20"/>
        </w:rPr>
        <w:t>%)</w:t>
      </w:r>
      <w:r w:rsidR="008642A8" w:rsidRPr="008642A8">
        <w:rPr>
          <w:rFonts w:ascii="Arial" w:hAnsi="Arial" w:cs="Arial"/>
          <w:sz w:val="20"/>
          <w:szCs w:val="20"/>
        </w:rPr>
        <w:t xml:space="preserve">. </w:t>
      </w:r>
      <w:r w:rsidR="00433A75" w:rsidRPr="008642A8">
        <w:rPr>
          <w:rFonts w:ascii="Arial" w:hAnsi="Arial" w:cs="Arial"/>
          <w:sz w:val="20"/>
          <w:szCs w:val="20"/>
        </w:rPr>
        <w:t xml:space="preserve">Les provinces de </w:t>
      </w:r>
      <w:r w:rsidR="008642A8" w:rsidRPr="008642A8">
        <w:rPr>
          <w:rFonts w:ascii="Arial" w:hAnsi="Arial" w:cs="Arial"/>
          <w:sz w:val="20"/>
          <w:szCs w:val="20"/>
        </w:rPr>
        <w:t>Ngozi (13,8%), Ruyigi (10,9%) et Cankuzo (10,4%)</w:t>
      </w:r>
      <w:r w:rsidR="00433A75" w:rsidRPr="008642A8">
        <w:rPr>
          <w:rFonts w:ascii="Arial" w:hAnsi="Arial" w:cs="Arial"/>
          <w:sz w:val="20"/>
          <w:szCs w:val="20"/>
        </w:rPr>
        <w:t xml:space="preserve"> enregistrent la plus faible utilisation de disposi</w:t>
      </w:r>
      <w:r w:rsidR="00875BAA" w:rsidRPr="008642A8">
        <w:rPr>
          <w:rFonts w:ascii="Arial" w:hAnsi="Arial" w:cs="Arial"/>
          <w:sz w:val="20"/>
          <w:szCs w:val="20"/>
        </w:rPr>
        <w:t>ti</w:t>
      </w:r>
      <w:r w:rsidR="00433A75" w:rsidRPr="008642A8">
        <w:rPr>
          <w:rFonts w:ascii="Arial" w:hAnsi="Arial" w:cs="Arial"/>
          <w:sz w:val="20"/>
          <w:szCs w:val="20"/>
        </w:rPr>
        <w:t xml:space="preserve">fs </w:t>
      </w:r>
      <w:r w:rsidR="00875BAA" w:rsidRPr="008642A8">
        <w:rPr>
          <w:rFonts w:ascii="Arial" w:hAnsi="Arial" w:cs="Arial"/>
          <w:sz w:val="20"/>
          <w:szCs w:val="20"/>
        </w:rPr>
        <w:t>antiérosifs</w:t>
      </w:r>
      <w:r w:rsidR="008642A8" w:rsidRPr="008642A8">
        <w:rPr>
          <w:rFonts w:ascii="Arial" w:hAnsi="Arial" w:cs="Arial"/>
          <w:sz w:val="20"/>
          <w:szCs w:val="20"/>
        </w:rPr>
        <w:t>.</w:t>
      </w:r>
    </w:p>
    <w:p w:rsidR="00433A75" w:rsidRPr="008642A8" w:rsidRDefault="00677234" w:rsidP="00CD2B81">
      <w:pPr>
        <w:keepNext/>
        <w:spacing w:after="120" w:line="240" w:lineRule="auto"/>
        <w:rPr>
          <w:rFonts w:ascii="Arial" w:hAnsi="Arial" w:cs="Arial"/>
          <w:b/>
          <w:sz w:val="20"/>
          <w:szCs w:val="20"/>
          <w:lang w:eastAsia="en-US" w:bidi="en-US"/>
        </w:rPr>
      </w:pPr>
      <w:r w:rsidRPr="008642A8">
        <w:rPr>
          <w:rFonts w:ascii="Arial" w:hAnsi="Arial" w:cs="Arial"/>
          <w:b/>
          <w:sz w:val="20"/>
          <w:szCs w:val="20"/>
          <w:lang w:eastAsia="en-US" w:bidi="en-US"/>
        </w:rPr>
        <w:t xml:space="preserve">Tableau </w:t>
      </w:r>
      <w:r w:rsidR="00EE32E1">
        <w:rPr>
          <w:rFonts w:ascii="Arial" w:hAnsi="Arial" w:cs="Arial"/>
          <w:b/>
          <w:sz w:val="20"/>
          <w:szCs w:val="20"/>
          <w:lang w:eastAsia="en-US" w:bidi="en-US"/>
        </w:rPr>
        <w:t>35</w:t>
      </w:r>
      <w:r w:rsidR="00433A75" w:rsidRPr="008642A8">
        <w:rPr>
          <w:rFonts w:ascii="Arial" w:hAnsi="Arial" w:cs="Arial"/>
          <w:b/>
          <w:sz w:val="20"/>
          <w:szCs w:val="20"/>
          <w:lang w:eastAsia="en-US" w:bidi="en-US"/>
        </w:rPr>
        <w:t> : Proportion de parcelles avec au moins un dispositif antiérosif</w:t>
      </w:r>
      <w:r w:rsidR="001628F8" w:rsidRPr="008642A8">
        <w:rPr>
          <w:rFonts w:ascii="Arial" w:hAnsi="Arial" w:cs="Arial"/>
          <w:b/>
          <w:sz w:val="20"/>
          <w:szCs w:val="20"/>
          <w:lang w:eastAsia="en-US" w:bidi="en-US"/>
        </w:rPr>
        <w:t xml:space="preserve"> </w:t>
      </w:r>
      <w:r w:rsidR="003E6FBC" w:rsidRPr="008642A8">
        <w:rPr>
          <w:rFonts w:ascii="Arial" w:hAnsi="Arial" w:cs="Arial"/>
          <w:b/>
          <w:sz w:val="20"/>
          <w:szCs w:val="20"/>
          <w:lang w:eastAsia="en-US" w:bidi="en-US"/>
        </w:rPr>
        <w:t>par</w:t>
      </w:r>
      <w:r w:rsidR="001628F8" w:rsidRPr="008642A8">
        <w:rPr>
          <w:rFonts w:ascii="Arial" w:hAnsi="Arial" w:cs="Arial"/>
          <w:b/>
          <w:sz w:val="20"/>
          <w:szCs w:val="20"/>
          <w:lang w:eastAsia="en-US" w:bidi="en-US"/>
        </w:rPr>
        <w:t xml:space="preserve"> province (%)</w:t>
      </w:r>
    </w:p>
    <w:p w:rsidR="00286097" w:rsidRDefault="008642A8" w:rsidP="00CD2B81">
      <w:pPr>
        <w:spacing w:after="120" w:line="240" w:lineRule="auto"/>
        <w:jc w:val="both"/>
        <w:rPr>
          <w:rFonts w:ascii="Arial" w:hAnsi="Arial" w:cs="Arial"/>
          <w:sz w:val="20"/>
          <w:szCs w:val="20"/>
          <w:highlight w:val="yellow"/>
          <w:lang w:val="fr-FR" w:eastAsia="fr-FR"/>
        </w:rPr>
      </w:pPr>
      <w:r w:rsidRPr="008642A8">
        <w:rPr>
          <w:noProof/>
          <w:szCs w:val="20"/>
          <w:lang w:val="fr-FR" w:eastAsia="fr-FR"/>
        </w:rPr>
        <w:drawing>
          <wp:inline distT="0" distB="0" distL="0" distR="0">
            <wp:extent cx="1647825" cy="3296285"/>
            <wp:effectExtent l="19050" t="0" r="9525" b="0"/>
            <wp:docPr id="8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srcRect/>
                    <a:stretch>
                      <a:fillRect/>
                    </a:stretch>
                  </pic:blipFill>
                  <pic:spPr bwMode="auto">
                    <a:xfrm>
                      <a:off x="0" y="0"/>
                      <a:ext cx="1647825" cy="3296285"/>
                    </a:xfrm>
                    <a:prstGeom prst="rect">
                      <a:avLst/>
                    </a:prstGeom>
                    <a:noFill/>
                    <a:ln w="9525">
                      <a:noFill/>
                      <a:miter lim="800000"/>
                      <a:headEnd/>
                      <a:tailEnd/>
                    </a:ln>
                  </pic:spPr>
                </pic:pic>
              </a:graphicData>
            </a:graphic>
          </wp:inline>
        </w:drawing>
      </w:r>
    </w:p>
    <w:p w:rsidR="001059CD" w:rsidRPr="00B6647E" w:rsidRDefault="001059CD" w:rsidP="001059CD">
      <w:pPr>
        <w:spacing w:after="120" w:line="240" w:lineRule="auto"/>
        <w:jc w:val="both"/>
        <w:rPr>
          <w:rFonts w:ascii="Arial" w:hAnsi="Arial" w:cs="Arial"/>
          <w:sz w:val="20"/>
          <w:szCs w:val="20"/>
        </w:rPr>
      </w:pPr>
      <w:r w:rsidRPr="001059CD">
        <w:rPr>
          <w:rFonts w:ascii="Arial" w:hAnsi="Arial" w:cs="Arial"/>
          <w:sz w:val="20"/>
          <w:szCs w:val="20"/>
        </w:rPr>
        <w:t>Les régions naturelles de Mumirwa (10%), d’Imbo (12,7%) et du Moso (14%) enregistrent la plus faible utilisation de dispositifs antiérosifs. A l’opposé, l’utilisation des dispositifs antiérosifs est la plus importante dans les régions de Bututsi (59,2%), Mugamba (51,2%) et Bugesera (33, 7%).</w:t>
      </w:r>
      <w:r w:rsidRPr="00B6647E">
        <w:rPr>
          <w:rFonts w:ascii="Arial" w:hAnsi="Arial" w:cs="Arial"/>
          <w:sz w:val="20"/>
          <w:szCs w:val="20"/>
        </w:rPr>
        <w:t xml:space="preserve"> </w:t>
      </w:r>
    </w:p>
    <w:p w:rsidR="001059CD" w:rsidRPr="001059CD" w:rsidRDefault="001059CD" w:rsidP="001059CD">
      <w:pPr>
        <w:pStyle w:val="retrait1"/>
        <w:numPr>
          <w:ilvl w:val="0"/>
          <w:numId w:val="0"/>
        </w:numPr>
        <w:spacing w:before="0" w:after="120" w:line="240" w:lineRule="auto"/>
        <w:rPr>
          <w:lang w:val="fr-FR" w:eastAsia="fr-FR"/>
        </w:rPr>
      </w:pPr>
      <w:r w:rsidRPr="001059CD">
        <w:rPr>
          <w:lang w:val="fr-FR" w:eastAsia="fr-FR"/>
        </w:rPr>
        <w:t xml:space="preserve">Le labour manuel est pratiqué dans plus de 95% des parcelles au cours des deux premières saisons (96,8% en saison A et 95,7% en saison B) et dans 83,6% des parcelles au cours de la saison C. Ces proportions sont globalement conservées sur les parcelles avec ou sans dispositif antiérosif </w:t>
      </w:r>
    </w:p>
    <w:p w:rsidR="001059CD" w:rsidRPr="001059CD" w:rsidRDefault="001059CD" w:rsidP="001059CD">
      <w:pPr>
        <w:spacing w:after="120" w:line="240" w:lineRule="auto"/>
        <w:jc w:val="both"/>
        <w:rPr>
          <w:rFonts w:ascii="Arial" w:hAnsi="Arial" w:cs="Arial"/>
          <w:sz w:val="20"/>
          <w:szCs w:val="20"/>
          <w:lang w:val="fr-FR" w:eastAsia="fr-FR"/>
        </w:rPr>
      </w:pPr>
      <w:r w:rsidRPr="001059CD">
        <w:rPr>
          <w:rFonts w:ascii="Arial" w:hAnsi="Arial" w:cs="Arial"/>
          <w:sz w:val="20"/>
          <w:szCs w:val="20"/>
          <w:lang w:val="fr-FR" w:eastAsia="fr-FR"/>
        </w:rPr>
        <w:t>Les parcelles ne bénéficiant d’aucun labour représentent 3,12% en saison A, 4,2% pendant la saison B et 16,4% au cours de la saison C</w:t>
      </w:r>
    </w:p>
    <w:p w:rsidR="001059CD" w:rsidRPr="001059CD" w:rsidRDefault="001059CD" w:rsidP="001059CD">
      <w:pPr>
        <w:pStyle w:val="retrait1"/>
        <w:numPr>
          <w:ilvl w:val="0"/>
          <w:numId w:val="0"/>
        </w:numPr>
        <w:spacing w:before="0" w:after="120" w:line="240" w:lineRule="auto"/>
        <w:rPr>
          <w:lang w:val="fr-FR" w:eastAsia="fr-FR"/>
        </w:rPr>
      </w:pPr>
      <w:r w:rsidRPr="001059CD">
        <w:rPr>
          <w:lang w:val="fr-FR" w:eastAsia="fr-FR"/>
        </w:rPr>
        <w:t xml:space="preserve">Le labour attelé et le labour motorisé sont pratiquant insignifiants sur l’ensemble des parcelles cultivées au cours des trois saisons </w:t>
      </w:r>
    </w:p>
    <w:p w:rsidR="001059CD" w:rsidRPr="005E72E7" w:rsidRDefault="001059CD" w:rsidP="00CD2B81">
      <w:pPr>
        <w:spacing w:after="120" w:line="240" w:lineRule="auto"/>
        <w:jc w:val="both"/>
        <w:rPr>
          <w:rFonts w:ascii="Arial" w:hAnsi="Arial" w:cs="Arial"/>
          <w:sz w:val="20"/>
          <w:szCs w:val="20"/>
          <w:highlight w:val="yellow"/>
          <w:lang w:val="fr-FR" w:eastAsia="fr-FR"/>
        </w:rPr>
      </w:pPr>
    </w:p>
    <w:p w:rsidR="001628F8" w:rsidRPr="003D5F51" w:rsidRDefault="001628F8" w:rsidP="00CD2B81">
      <w:pPr>
        <w:keepNext/>
        <w:spacing w:after="120" w:line="240" w:lineRule="auto"/>
        <w:rPr>
          <w:rFonts w:ascii="Arial" w:hAnsi="Arial" w:cs="Arial"/>
          <w:b/>
          <w:sz w:val="20"/>
          <w:szCs w:val="20"/>
          <w:lang w:eastAsia="en-US" w:bidi="en-US"/>
        </w:rPr>
      </w:pPr>
      <w:bookmarkStart w:id="217" w:name="_Toc322271301"/>
      <w:bookmarkStart w:id="218" w:name="_Toc336692125"/>
      <w:r w:rsidRPr="003D5F51">
        <w:rPr>
          <w:rFonts w:ascii="Arial" w:hAnsi="Arial" w:cs="Arial"/>
          <w:b/>
          <w:sz w:val="20"/>
          <w:szCs w:val="20"/>
          <w:lang w:eastAsia="en-US" w:bidi="en-US"/>
        </w:rPr>
        <w:lastRenderedPageBreak/>
        <w:t xml:space="preserve">Tableau </w:t>
      </w:r>
      <w:r w:rsidR="00EE32E1">
        <w:rPr>
          <w:rFonts w:ascii="Arial" w:hAnsi="Arial" w:cs="Arial"/>
          <w:b/>
          <w:sz w:val="20"/>
          <w:szCs w:val="20"/>
          <w:lang w:eastAsia="en-US" w:bidi="en-US"/>
        </w:rPr>
        <w:t>36</w:t>
      </w:r>
      <w:r w:rsidRPr="003D5F51">
        <w:rPr>
          <w:rFonts w:ascii="Arial" w:hAnsi="Arial" w:cs="Arial"/>
          <w:b/>
          <w:sz w:val="20"/>
          <w:szCs w:val="20"/>
          <w:lang w:eastAsia="en-US" w:bidi="en-US"/>
        </w:rPr>
        <w:t> : Proportion de parcelles avec au moins un dispositif antiérosif selon la région (%)</w:t>
      </w:r>
    </w:p>
    <w:p w:rsidR="001059CD" w:rsidRPr="005E72E7" w:rsidRDefault="001059CD" w:rsidP="00CD2B81">
      <w:pPr>
        <w:keepNext/>
        <w:spacing w:after="120" w:line="240" w:lineRule="auto"/>
        <w:rPr>
          <w:rFonts w:ascii="Arial" w:hAnsi="Arial" w:cs="Arial"/>
          <w:b/>
          <w:sz w:val="20"/>
          <w:szCs w:val="20"/>
          <w:highlight w:val="yellow"/>
          <w:lang w:eastAsia="en-US" w:bidi="en-US"/>
        </w:rPr>
      </w:pPr>
      <w:r w:rsidRPr="001059CD">
        <w:rPr>
          <w:noProof/>
          <w:szCs w:val="20"/>
          <w:lang w:val="fr-FR" w:eastAsia="fr-FR"/>
        </w:rPr>
        <w:drawing>
          <wp:inline distT="0" distB="0" distL="0" distR="0">
            <wp:extent cx="1647825" cy="2487930"/>
            <wp:effectExtent l="19050" t="0" r="9525" b="0"/>
            <wp:docPr id="8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srcRect/>
                    <a:stretch>
                      <a:fillRect/>
                    </a:stretch>
                  </pic:blipFill>
                  <pic:spPr bwMode="auto">
                    <a:xfrm>
                      <a:off x="0" y="0"/>
                      <a:ext cx="1647825" cy="2487930"/>
                    </a:xfrm>
                    <a:prstGeom prst="rect">
                      <a:avLst/>
                    </a:prstGeom>
                    <a:noFill/>
                    <a:ln w="9525">
                      <a:noFill/>
                      <a:miter lim="800000"/>
                      <a:headEnd/>
                      <a:tailEnd/>
                    </a:ln>
                  </pic:spPr>
                </pic:pic>
              </a:graphicData>
            </a:graphic>
          </wp:inline>
        </w:drawing>
      </w:r>
    </w:p>
    <w:p w:rsidR="00E445BC" w:rsidRPr="00B6647E" w:rsidRDefault="00E445BC" w:rsidP="00174E37">
      <w:pPr>
        <w:pStyle w:val="Titre2"/>
        <w:keepNext w:val="0"/>
        <w:numPr>
          <w:ilvl w:val="1"/>
          <w:numId w:val="1"/>
        </w:numPr>
        <w:spacing w:before="240" w:after="200"/>
        <w:ind w:left="0" w:firstLine="0"/>
        <w:rPr>
          <w:rFonts w:cs="Arial"/>
          <w:u w:val="dotDash"/>
        </w:rPr>
      </w:pPr>
      <w:bookmarkStart w:id="219" w:name="_Toc354313866"/>
      <w:r w:rsidRPr="00B6647E">
        <w:rPr>
          <w:rFonts w:cs="Arial"/>
          <w:u w:val="dotDash"/>
        </w:rPr>
        <w:t>Type de cultures pratiquées</w:t>
      </w:r>
      <w:bookmarkEnd w:id="217"/>
      <w:r w:rsidRPr="00B6647E">
        <w:rPr>
          <w:rFonts w:cs="Arial"/>
          <w:u w:val="dotDash"/>
        </w:rPr>
        <w:t xml:space="preserve"> au cours de</w:t>
      </w:r>
      <w:bookmarkEnd w:id="218"/>
      <w:r w:rsidR="00D43A17" w:rsidRPr="00B6647E">
        <w:rPr>
          <w:rFonts w:cs="Arial"/>
          <w:u w:val="dotDash"/>
        </w:rPr>
        <w:t>s trois saisons</w:t>
      </w:r>
      <w:bookmarkEnd w:id="219"/>
    </w:p>
    <w:p w:rsidR="00C7294B" w:rsidRPr="00B6647E" w:rsidRDefault="00C7294B" w:rsidP="00B24E80">
      <w:pPr>
        <w:pStyle w:val="Titre3"/>
        <w:keepNext w:val="0"/>
        <w:numPr>
          <w:ilvl w:val="2"/>
          <w:numId w:val="1"/>
        </w:numPr>
        <w:spacing w:before="200" w:after="120"/>
        <w:ind w:left="0" w:firstLine="0"/>
        <w:rPr>
          <w:rFonts w:cs="Arial"/>
          <w:szCs w:val="20"/>
        </w:rPr>
      </w:pPr>
      <w:bookmarkStart w:id="220" w:name="_Toc354313867"/>
      <w:r w:rsidRPr="00B6647E">
        <w:rPr>
          <w:rFonts w:cs="Arial"/>
          <w:szCs w:val="20"/>
        </w:rPr>
        <w:t>Structure de la superficie cultivée par saison et par relief</w:t>
      </w:r>
      <w:bookmarkEnd w:id="220"/>
    </w:p>
    <w:p w:rsidR="00174E37" w:rsidRPr="00B6647E" w:rsidRDefault="00C7294B" w:rsidP="00763734">
      <w:pPr>
        <w:spacing w:after="120" w:line="240" w:lineRule="auto"/>
        <w:jc w:val="both"/>
        <w:rPr>
          <w:rFonts w:ascii="Arial" w:hAnsi="Arial" w:cs="Arial"/>
          <w:sz w:val="20"/>
          <w:szCs w:val="20"/>
          <w:lang w:eastAsia="en-US" w:bidi="en-US"/>
        </w:rPr>
      </w:pPr>
      <w:r w:rsidRPr="00B6647E">
        <w:rPr>
          <w:rFonts w:ascii="Arial" w:hAnsi="Arial" w:cs="Arial"/>
          <w:sz w:val="20"/>
          <w:szCs w:val="20"/>
        </w:rPr>
        <w:t xml:space="preserve"> </w:t>
      </w:r>
      <w:r w:rsidR="00D75889" w:rsidRPr="00B6647E">
        <w:rPr>
          <w:rFonts w:ascii="Arial" w:hAnsi="Arial" w:cs="Arial"/>
          <w:sz w:val="20"/>
          <w:szCs w:val="20"/>
        </w:rPr>
        <w:t>La superficie totale cultivée pendant la campagne agricole 2011-2012 a été  estimé à 1.261.489 ha</w:t>
      </w:r>
      <w:r w:rsidR="00D75889" w:rsidRPr="00B6647E">
        <w:rPr>
          <w:rStyle w:val="Appelnotedebasdep"/>
          <w:rFonts w:ascii="Arial" w:hAnsi="Arial" w:cs="Arial"/>
          <w:sz w:val="20"/>
          <w:szCs w:val="20"/>
        </w:rPr>
        <w:footnoteReference w:id="28"/>
      </w:r>
      <w:r w:rsidR="00D75889" w:rsidRPr="00B6647E">
        <w:rPr>
          <w:rFonts w:ascii="Arial" w:hAnsi="Arial" w:cs="Arial"/>
          <w:sz w:val="20"/>
          <w:szCs w:val="20"/>
        </w:rPr>
        <w:t xml:space="preserve">. </w:t>
      </w:r>
      <w:r w:rsidR="00647FEB" w:rsidRPr="00B6647E">
        <w:rPr>
          <w:rFonts w:ascii="Arial" w:hAnsi="Arial" w:cs="Arial"/>
          <w:sz w:val="20"/>
          <w:szCs w:val="20"/>
        </w:rPr>
        <w:t>La superficie cultivée pendant la saison A représente 34,3% de la superficie cultivée pendant toute la campagne agricole, celle de la saison B en représente 35,4% et la saison C est formé de 30,3%.</w:t>
      </w:r>
    </w:p>
    <w:p w:rsidR="00647FEB" w:rsidRPr="00B6647E" w:rsidRDefault="00647FEB" w:rsidP="00174E37">
      <w:pPr>
        <w:spacing w:after="120" w:line="240" w:lineRule="auto"/>
        <w:rPr>
          <w:rFonts w:ascii="Arial" w:hAnsi="Arial" w:cs="Arial"/>
          <w:b/>
          <w:sz w:val="20"/>
          <w:szCs w:val="20"/>
          <w:lang w:eastAsia="en-US" w:bidi="en-US"/>
        </w:rPr>
      </w:pPr>
      <w:r w:rsidRPr="00B6647E">
        <w:rPr>
          <w:rFonts w:ascii="Arial" w:hAnsi="Arial" w:cs="Arial"/>
          <w:b/>
          <w:sz w:val="20"/>
          <w:szCs w:val="20"/>
          <w:lang w:eastAsia="en-US" w:bidi="en-US"/>
        </w:rPr>
        <w:t xml:space="preserve">Graphique </w:t>
      </w:r>
      <w:r w:rsidR="007F30DD">
        <w:rPr>
          <w:rFonts w:ascii="Arial" w:hAnsi="Arial" w:cs="Arial"/>
          <w:b/>
          <w:sz w:val="20"/>
          <w:szCs w:val="20"/>
          <w:lang w:eastAsia="en-US" w:bidi="en-US"/>
        </w:rPr>
        <w:t>10</w:t>
      </w:r>
      <w:r w:rsidRPr="00B6647E">
        <w:rPr>
          <w:rFonts w:ascii="Arial" w:hAnsi="Arial" w:cs="Arial"/>
          <w:b/>
          <w:sz w:val="20"/>
          <w:szCs w:val="20"/>
          <w:lang w:eastAsia="en-US" w:bidi="en-US"/>
        </w:rPr>
        <w:t xml:space="preserve"> : Superficie cultivée </w:t>
      </w:r>
      <w:r w:rsidR="00A270E4" w:rsidRPr="00B6647E">
        <w:rPr>
          <w:rFonts w:ascii="Arial" w:hAnsi="Arial" w:cs="Arial"/>
          <w:b/>
          <w:sz w:val="20"/>
          <w:szCs w:val="20"/>
          <w:lang w:eastAsia="en-US" w:bidi="en-US"/>
        </w:rPr>
        <w:t xml:space="preserve">par type de relief et </w:t>
      </w:r>
      <w:r w:rsidRPr="00B6647E">
        <w:rPr>
          <w:rFonts w:ascii="Arial" w:hAnsi="Arial" w:cs="Arial"/>
          <w:b/>
          <w:sz w:val="20"/>
          <w:szCs w:val="20"/>
          <w:lang w:eastAsia="en-US" w:bidi="en-US"/>
        </w:rPr>
        <w:t>par saison (en ha)</w:t>
      </w:r>
    </w:p>
    <w:p w:rsidR="00647FEB" w:rsidRPr="00B6647E" w:rsidRDefault="005179B2" w:rsidP="00174E37">
      <w:pPr>
        <w:spacing w:after="120" w:line="240" w:lineRule="auto"/>
        <w:rPr>
          <w:rFonts w:cs="Arial"/>
          <w:sz w:val="20"/>
          <w:szCs w:val="20"/>
          <w:lang w:eastAsia="en-US" w:bidi="en-US"/>
        </w:rPr>
      </w:pPr>
      <w:r w:rsidRPr="00B6647E">
        <w:rPr>
          <w:noProof/>
          <w:szCs w:val="20"/>
          <w:lang w:val="fr-FR" w:eastAsia="fr-FR"/>
        </w:rPr>
        <w:drawing>
          <wp:inline distT="0" distB="0" distL="0" distR="0">
            <wp:extent cx="5705475" cy="3432755"/>
            <wp:effectExtent l="19050" t="0" r="9525" b="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5705475" cy="3432755"/>
                    </a:xfrm>
                    <a:prstGeom prst="rect">
                      <a:avLst/>
                    </a:prstGeom>
                    <a:noFill/>
                    <a:ln w="9525">
                      <a:noFill/>
                      <a:miter lim="800000"/>
                      <a:headEnd/>
                      <a:tailEnd/>
                    </a:ln>
                  </pic:spPr>
                </pic:pic>
              </a:graphicData>
            </a:graphic>
          </wp:inline>
        </w:drawing>
      </w:r>
    </w:p>
    <w:p w:rsidR="00763734" w:rsidRPr="00B6647E" w:rsidRDefault="00763734" w:rsidP="00763734">
      <w:pPr>
        <w:spacing w:after="120" w:line="240" w:lineRule="auto"/>
        <w:jc w:val="both"/>
        <w:rPr>
          <w:rFonts w:ascii="Arial" w:hAnsi="Arial" w:cs="Arial"/>
          <w:sz w:val="20"/>
          <w:szCs w:val="20"/>
        </w:rPr>
      </w:pPr>
      <w:r w:rsidRPr="00B6647E">
        <w:rPr>
          <w:rFonts w:ascii="Arial" w:hAnsi="Arial" w:cs="Arial"/>
          <w:sz w:val="20"/>
          <w:szCs w:val="20"/>
        </w:rPr>
        <w:t>On note une diminution de la superficie cultivée en saison C de 11,6% par rapport à la saison A et de 14,4% comparée à la saison B.</w:t>
      </w:r>
    </w:p>
    <w:p w:rsidR="00763734" w:rsidRPr="00B6647E" w:rsidRDefault="00763734" w:rsidP="00763734">
      <w:pPr>
        <w:spacing w:after="120" w:line="240" w:lineRule="auto"/>
        <w:rPr>
          <w:rFonts w:ascii="Arial" w:hAnsi="Arial" w:cs="Arial"/>
          <w:sz w:val="20"/>
          <w:szCs w:val="20"/>
        </w:rPr>
      </w:pPr>
      <w:r w:rsidRPr="00B6647E">
        <w:rPr>
          <w:rFonts w:ascii="Arial" w:hAnsi="Arial" w:cs="Arial"/>
          <w:sz w:val="20"/>
          <w:szCs w:val="20"/>
        </w:rPr>
        <w:t>On note une augmentation de 13.904 ha de la superficie totale cultivée en saison B relativement à celle de la saison A. Celle cultivée pendant la saison C a diminué de 50.260 ha par rapport à celle de la saison A et de 64.164 ha comparée à la celle de la saison B.</w:t>
      </w:r>
    </w:p>
    <w:p w:rsidR="00763734" w:rsidRPr="00B6647E" w:rsidRDefault="00763734" w:rsidP="00763734">
      <w:pPr>
        <w:spacing w:after="120" w:line="240" w:lineRule="auto"/>
        <w:jc w:val="both"/>
        <w:rPr>
          <w:rFonts w:ascii="Arial" w:hAnsi="Arial" w:cs="Arial"/>
          <w:sz w:val="20"/>
          <w:szCs w:val="20"/>
        </w:rPr>
      </w:pPr>
      <w:r w:rsidRPr="00B6647E">
        <w:rPr>
          <w:rFonts w:ascii="Arial" w:hAnsi="Arial" w:cs="Arial"/>
          <w:sz w:val="20"/>
          <w:szCs w:val="20"/>
        </w:rPr>
        <w:lastRenderedPageBreak/>
        <w:t>Ces superficies ont été cultivées principalement sur les collines (83% au cours des saisons A, 83,9% en B et 79,7% pendant la saison C). Celles cultivées dans les plaines représentent environ 13,8% pendant les saisons A, 13,6% en saison B et 10,7% au cours de la saison C.</w:t>
      </w:r>
    </w:p>
    <w:p w:rsidR="00174E37" w:rsidRPr="00B6647E" w:rsidRDefault="00160775" w:rsidP="00174E37">
      <w:pPr>
        <w:spacing w:after="120" w:line="240" w:lineRule="auto"/>
        <w:jc w:val="both"/>
        <w:rPr>
          <w:rFonts w:ascii="Arial" w:hAnsi="Arial" w:cs="Arial"/>
          <w:sz w:val="20"/>
          <w:szCs w:val="20"/>
        </w:rPr>
      </w:pPr>
      <w:r w:rsidRPr="00B6647E">
        <w:rPr>
          <w:rFonts w:ascii="Arial" w:hAnsi="Arial" w:cs="Arial"/>
          <w:sz w:val="20"/>
          <w:szCs w:val="20"/>
        </w:rPr>
        <w:t>L</w:t>
      </w:r>
      <w:r w:rsidR="00815135" w:rsidRPr="00B6647E">
        <w:rPr>
          <w:rFonts w:ascii="Arial" w:hAnsi="Arial" w:cs="Arial"/>
          <w:sz w:val="20"/>
          <w:szCs w:val="20"/>
        </w:rPr>
        <w:t>a</w:t>
      </w:r>
      <w:r w:rsidRPr="00B6647E">
        <w:rPr>
          <w:rFonts w:ascii="Arial" w:hAnsi="Arial" w:cs="Arial"/>
          <w:sz w:val="20"/>
          <w:szCs w:val="20"/>
        </w:rPr>
        <w:t xml:space="preserve"> superficie cultivée dans les marais </w:t>
      </w:r>
      <w:r w:rsidR="002703C5" w:rsidRPr="00B6647E">
        <w:rPr>
          <w:rFonts w:ascii="Arial" w:hAnsi="Arial" w:cs="Arial"/>
          <w:sz w:val="20"/>
          <w:szCs w:val="20"/>
        </w:rPr>
        <w:t xml:space="preserve">(représente 3,2% de </w:t>
      </w:r>
      <w:r w:rsidR="00815135" w:rsidRPr="00B6647E">
        <w:rPr>
          <w:rFonts w:ascii="Arial" w:hAnsi="Arial" w:cs="Arial"/>
          <w:sz w:val="20"/>
          <w:szCs w:val="20"/>
        </w:rPr>
        <w:t xml:space="preserve">la superficie totale cultivée en </w:t>
      </w:r>
      <w:r w:rsidR="002703C5" w:rsidRPr="00B6647E">
        <w:rPr>
          <w:rFonts w:ascii="Arial" w:hAnsi="Arial" w:cs="Arial"/>
          <w:sz w:val="20"/>
          <w:szCs w:val="20"/>
        </w:rPr>
        <w:t>saison A, 3,5% de celle de la saison B et 9,6% de celle d</w:t>
      </w:r>
      <w:r w:rsidR="00815135" w:rsidRPr="00B6647E">
        <w:rPr>
          <w:rFonts w:ascii="Arial" w:hAnsi="Arial" w:cs="Arial"/>
          <w:sz w:val="20"/>
          <w:szCs w:val="20"/>
        </w:rPr>
        <w:t xml:space="preserve">e </w:t>
      </w:r>
      <w:r w:rsidR="002703C5" w:rsidRPr="00B6647E">
        <w:rPr>
          <w:rFonts w:ascii="Arial" w:hAnsi="Arial" w:cs="Arial"/>
          <w:sz w:val="20"/>
          <w:szCs w:val="20"/>
        </w:rPr>
        <w:t xml:space="preserve">la saison C) </w:t>
      </w:r>
      <w:r w:rsidR="00815135" w:rsidRPr="00B6647E">
        <w:rPr>
          <w:rFonts w:ascii="Arial" w:hAnsi="Arial" w:cs="Arial"/>
          <w:sz w:val="20"/>
          <w:szCs w:val="20"/>
        </w:rPr>
        <w:t>a</w:t>
      </w:r>
      <w:r w:rsidRPr="00B6647E">
        <w:rPr>
          <w:rFonts w:ascii="Arial" w:hAnsi="Arial" w:cs="Arial"/>
          <w:sz w:val="20"/>
          <w:szCs w:val="20"/>
        </w:rPr>
        <w:t xml:space="preserve"> connu par contre une augmentation importante pendant la saison C. En effet, elle </w:t>
      </w:r>
      <w:r w:rsidR="00815135" w:rsidRPr="00B6647E">
        <w:rPr>
          <w:rFonts w:ascii="Arial" w:hAnsi="Arial" w:cs="Arial"/>
          <w:sz w:val="20"/>
          <w:szCs w:val="20"/>
        </w:rPr>
        <w:t>est passée</w:t>
      </w:r>
      <w:r w:rsidR="002703C5" w:rsidRPr="00B6647E">
        <w:rPr>
          <w:rFonts w:ascii="Arial" w:hAnsi="Arial" w:cs="Arial"/>
          <w:sz w:val="20"/>
          <w:szCs w:val="20"/>
        </w:rPr>
        <w:t xml:space="preserve"> </w:t>
      </w:r>
      <w:r w:rsidR="00815135" w:rsidRPr="00B6647E">
        <w:rPr>
          <w:rFonts w:ascii="Arial" w:hAnsi="Arial" w:cs="Arial"/>
          <w:sz w:val="20"/>
          <w:szCs w:val="20"/>
        </w:rPr>
        <w:t>de</w:t>
      </w:r>
      <w:r w:rsidR="002703C5" w:rsidRPr="00B6647E">
        <w:rPr>
          <w:rFonts w:ascii="Arial" w:hAnsi="Arial" w:cs="Arial"/>
          <w:sz w:val="20"/>
          <w:szCs w:val="20"/>
        </w:rPr>
        <w:t xml:space="preserve"> </w:t>
      </w:r>
      <w:r w:rsidRPr="00B6647E">
        <w:rPr>
          <w:rFonts w:ascii="Arial" w:hAnsi="Arial" w:cs="Arial"/>
          <w:sz w:val="20"/>
          <w:szCs w:val="20"/>
        </w:rPr>
        <w:t xml:space="preserve">13.999 ha au cours de la saison A, </w:t>
      </w:r>
      <w:r w:rsidR="002703C5" w:rsidRPr="00B6647E">
        <w:rPr>
          <w:rFonts w:ascii="Arial" w:hAnsi="Arial" w:cs="Arial"/>
          <w:sz w:val="20"/>
          <w:szCs w:val="20"/>
        </w:rPr>
        <w:t xml:space="preserve">à 15.723 ha en saison B </w:t>
      </w:r>
      <w:r w:rsidR="00815135" w:rsidRPr="00B6647E">
        <w:rPr>
          <w:rFonts w:ascii="Arial" w:hAnsi="Arial" w:cs="Arial"/>
          <w:sz w:val="20"/>
          <w:szCs w:val="20"/>
        </w:rPr>
        <w:t>puis</w:t>
      </w:r>
      <w:r w:rsidR="002703C5" w:rsidRPr="00B6647E">
        <w:rPr>
          <w:rFonts w:ascii="Arial" w:hAnsi="Arial" w:cs="Arial"/>
          <w:sz w:val="20"/>
          <w:szCs w:val="20"/>
        </w:rPr>
        <w:t xml:space="preserve"> à</w:t>
      </w:r>
      <w:r w:rsidRPr="00B6647E">
        <w:rPr>
          <w:rFonts w:ascii="Arial" w:hAnsi="Arial" w:cs="Arial"/>
          <w:sz w:val="20"/>
          <w:szCs w:val="20"/>
        </w:rPr>
        <w:t xml:space="preserve"> 36.706 ha pendant la saison C, soit plus du double de chacune des deux autres saisons.</w:t>
      </w:r>
    </w:p>
    <w:p w:rsidR="00DD284A" w:rsidRPr="00B6647E" w:rsidRDefault="003C583B" w:rsidP="00174E37">
      <w:pPr>
        <w:spacing w:after="120" w:line="240" w:lineRule="auto"/>
        <w:jc w:val="both"/>
        <w:rPr>
          <w:rFonts w:ascii="Arial" w:hAnsi="Arial" w:cs="Arial"/>
          <w:sz w:val="20"/>
          <w:szCs w:val="20"/>
        </w:rPr>
      </w:pPr>
      <w:r w:rsidRPr="00B6647E">
        <w:rPr>
          <w:rFonts w:ascii="Arial" w:hAnsi="Arial" w:cs="Arial"/>
          <w:sz w:val="20"/>
          <w:szCs w:val="20"/>
        </w:rPr>
        <w:t>Les plus grandes superficies cultivées pendant toute la campagne agricole 2011-2012</w:t>
      </w:r>
      <w:r w:rsidR="00FD109E" w:rsidRPr="00B6647E">
        <w:rPr>
          <w:rFonts w:ascii="Arial" w:hAnsi="Arial" w:cs="Arial"/>
          <w:sz w:val="20"/>
          <w:szCs w:val="20"/>
        </w:rPr>
        <w:t xml:space="preserve"> </w:t>
      </w:r>
      <w:r w:rsidRPr="00B6647E">
        <w:rPr>
          <w:rFonts w:ascii="Arial" w:hAnsi="Arial" w:cs="Arial"/>
          <w:sz w:val="20"/>
          <w:szCs w:val="20"/>
        </w:rPr>
        <w:t>ont été estimées dans</w:t>
      </w:r>
      <w:r w:rsidR="00FD109E" w:rsidRPr="00B6647E">
        <w:rPr>
          <w:rFonts w:ascii="Arial" w:hAnsi="Arial" w:cs="Arial"/>
          <w:sz w:val="20"/>
          <w:szCs w:val="20"/>
        </w:rPr>
        <w:t xml:space="preserve"> la région naturelle de </w:t>
      </w:r>
      <w:r w:rsidRPr="00B6647E">
        <w:rPr>
          <w:rFonts w:ascii="Arial" w:hAnsi="Arial" w:cs="Arial"/>
          <w:sz w:val="20"/>
          <w:szCs w:val="20"/>
        </w:rPr>
        <w:t>Kirimiro</w:t>
      </w:r>
      <w:r w:rsidR="00FD109E" w:rsidRPr="00B6647E">
        <w:rPr>
          <w:rFonts w:ascii="Arial" w:hAnsi="Arial" w:cs="Arial"/>
          <w:sz w:val="20"/>
          <w:szCs w:val="20"/>
        </w:rPr>
        <w:t xml:space="preserve"> </w:t>
      </w:r>
      <w:r w:rsidRPr="00B6647E">
        <w:rPr>
          <w:rFonts w:ascii="Arial" w:hAnsi="Arial" w:cs="Arial"/>
          <w:sz w:val="20"/>
          <w:szCs w:val="20"/>
        </w:rPr>
        <w:t>(229.429 ha</w:t>
      </w:r>
      <w:r w:rsidR="00FD109E" w:rsidRPr="00B6647E">
        <w:rPr>
          <w:rFonts w:ascii="Arial" w:hAnsi="Arial" w:cs="Arial"/>
          <w:sz w:val="20"/>
          <w:szCs w:val="20"/>
        </w:rPr>
        <w:t xml:space="preserve"> soit 18,2%</w:t>
      </w:r>
      <w:r w:rsidRPr="00B6647E">
        <w:rPr>
          <w:rFonts w:ascii="Arial" w:hAnsi="Arial" w:cs="Arial"/>
          <w:sz w:val="20"/>
          <w:szCs w:val="20"/>
        </w:rPr>
        <w:t>)</w:t>
      </w:r>
      <w:r w:rsidR="00FD109E" w:rsidRPr="00B6647E">
        <w:rPr>
          <w:rFonts w:ascii="Arial" w:hAnsi="Arial" w:cs="Arial"/>
          <w:sz w:val="20"/>
          <w:szCs w:val="20"/>
        </w:rPr>
        <w:t>.</w:t>
      </w:r>
      <w:r w:rsidRPr="00B6647E">
        <w:rPr>
          <w:rFonts w:ascii="Arial" w:hAnsi="Arial" w:cs="Arial"/>
          <w:sz w:val="20"/>
          <w:szCs w:val="20"/>
        </w:rPr>
        <w:t xml:space="preserve"> Vienne</w:t>
      </w:r>
      <w:r w:rsidR="00FD109E" w:rsidRPr="00B6647E">
        <w:rPr>
          <w:rFonts w:ascii="Arial" w:hAnsi="Arial" w:cs="Arial"/>
          <w:sz w:val="20"/>
          <w:szCs w:val="20"/>
        </w:rPr>
        <w:t>n</w:t>
      </w:r>
      <w:r w:rsidRPr="00B6647E">
        <w:rPr>
          <w:rFonts w:ascii="Arial" w:hAnsi="Arial" w:cs="Arial"/>
          <w:sz w:val="20"/>
          <w:szCs w:val="20"/>
        </w:rPr>
        <w:t>t ensuite dans l’ordre les régions de Bugesera (</w:t>
      </w:r>
      <w:r w:rsidR="00FD109E" w:rsidRPr="00B6647E">
        <w:rPr>
          <w:rFonts w:ascii="Arial" w:hAnsi="Arial" w:cs="Arial"/>
          <w:sz w:val="20"/>
          <w:szCs w:val="20"/>
        </w:rPr>
        <w:t xml:space="preserve">174.119 ha, soit </w:t>
      </w:r>
      <w:r w:rsidRPr="00B6647E">
        <w:rPr>
          <w:rFonts w:ascii="Arial" w:hAnsi="Arial" w:cs="Arial"/>
          <w:sz w:val="20"/>
          <w:szCs w:val="20"/>
        </w:rPr>
        <w:t>13,8%), Buyenzi (</w:t>
      </w:r>
      <w:r w:rsidR="00FD109E" w:rsidRPr="00B6647E">
        <w:rPr>
          <w:rFonts w:ascii="Arial" w:hAnsi="Arial" w:cs="Arial"/>
          <w:sz w:val="20"/>
          <w:szCs w:val="20"/>
        </w:rPr>
        <w:t>156.623 ha, soit</w:t>
      </w:r>
      <w:r w:rsidR="00C7678D">
        <w:rPr>
          <w:rFonts w:ascii="Arial" w:hAnsi="Arial" w:cs="Arial"/>
          <w:sz w:val="20"/>
          <w:szCs w:val="20"/>
        </w:rPr>
        <w:t xml:space="preserve"> </w:t>
      </w:r>
      <w:r w:rsidRPr="00B6647E">
        <w:rPr>
          <w:rFonts w:ascii="Arial" w:hAnsi="Arial" w:cs="Arial"/>
          <w:sz w:val="20"/>
          <w:szCs w:val="20"/>
        </w:rPr>
        <w:t>12</w:t>
      </w:r>
      <w:r w:rsidR="00FD109E" w:rsidRPr="00B6647E">
        <w:rPr>
          <w:rFonts w:ascii="Arial" w:hAnsi="Arial" w:cs="Arial"/>
          <w:sz w:val="20"/>
          <w:szCs w:val="20"/>
        </w:rPr>
        <w:t>,4</w:t>
      </w:r>
      <w:r w:rsidRPr="00B6647E">
        <w:rPr>
          <w:rFonts w:ascii="Arial" w:hAnsi="Arial" w:cs="Arial"/>
          <w:sz w:val="20"/>
          <w:szCs w:val="20"/>
        </w:rPr>
        <w:t xml:space="preserve">%), </w:t>
      </w:r>
      <w:r w:rsidR="00FD109E" w:rsidRPr="00B6647E">
        <w:rPr>
          <w:rFonts w:ascii="Arial" w:hAnsi="Arial" w:cs="Arial"/>
          <w:sz w:val="20"/>
          <w:szCs w:val="20"/>
        </w:rPr>
        <w:t>Bweru</w:t>
      </w:r>
      <w:r w:rsidR="00C7678D">
        <w:rPr>
          <w:rFonts w:ascii="Arial" w:hAnsi="Arial" w:cs="Arial"/>
          <w:sz w:val="20"/>
          <w:szCs w:val="20"/>
        </w:rPr>
        <w:t xml:space="preserve"> </w:t>
      </w:r>
      <w:r w:rsidRPr="00B6647E">
        <w:rPr>
          <w:rFonts w:ascii="Arial" w:hAnsi="Arial" w:cs="Arial"/>
          <w:sz w:val="20"/>
          <w:szCs w:val="20"/>
        </w:rPr>
        <w:t>(</w:t>
      </w:r>
      <w:r w:rsidR="00FD109E" w:rsidRPr="00B6647E">
        <w:rPr>
          <w:rFonts w:ascii="Arial" w:hAnsi="Arial" w:cs="Arial"/>
          <w:sz w:val="20"/>
          <w:szCs w:val="20"/>
        </w:rPr>
        <w:t xml:space="preserve">155.079 ha, soit </w:t>
      </w:r>
      <w:r w:rsidRPr="00B6647E">
        <w:rPr>
          <w:rFonts w:ascii="Arial" w:hAnsi="Arial" w:cs="Arial"/>
          <w:sz w:val="20"/>
          <w:szCs w:val="20"/>
        </w:rPr>
        <w:t xml:space="preserve">12,3%). Les plus </w:t>
      </w:r>
      <w:r w:rsidR="00FD109E" w:rsidRPr="00B6647E">
        <w:rPr>
          <w:rFonts w:ascii="Arial" w:hAnsi="Arial" w:cs="Arial"/>
          <w:sz w:val="20"/>
          <w:szCs w:val="20"/>
        </w:rPr>
        <w:t>petites</w:t>
      </w:r>
      <w:r w:rsidRPr="00B6647E">
        <w:rPr>
          <w:rFonts w:ascii="Arial" w:hAnsi="Arial" w:cs="Arial"/>
          <w:sz w:val="20"/>
          <w:szCs w:val="20"/>
        </w:rPr>
        <w:t xml:space="preserve"> </w:t>
      </w:r>
      <w:r w:rsidR="00FD109E" w:rsidRPr="00B6647E">
        <w:rPr>
          <w:rFonts w:ascii="Arial" w:hAnsi="Arial" w:cs="Arial"/>
          <w:sz w:val="20"/>
          <w:szCs w:val="20"/>
        </w:rPr>
        <w:t>superficies</w:t>
      </w:r>
      <w:r w:rsidRPr="00B6647E">
        <w:rPr>
          <w:rFonts w:ascii="Arial" w:hAnsi="Arial" w:cs="Arial"/>
          <w:sz w:val="20"/>
          <w:szCs w:val="20"/>
        </w:rPr>
        <w:t xml:space="preserve"> ont été enregistrées dans Bututsi </w:t>
      </w:r>
      <w:r w:rsidR="00FD109E" w:rsidRPr="00B6647E">
        <w:rPr>
          <w:rFonts w:ascii="Arial" w:hAnsi="Arial" w:cs="Arial"/>
          <w:sz w:val="20"/>
          <w:szCs w:val="20"/>
        </w:rPr>
        <w:t xml:space="preserve">(28 ?188 ha, soit 2,2%) </w:t>
      </w:r>
      <w:r w:rsidRPr="00B6647E">
        <w:rPr>
          <w:rFonts w:ascii="Arial" w:hAnsi="Arial" w:cs="Arial"/>
          <w:sz w:val="20"/>
          <w:szCs w:val="20"/>
        </w:rPr>
        <w:t>et Buragane</w:t>
      </w:r>
      <w:r w:rsidR="00FD109E" w:rsidRPr="00B6647E">
        <w:rPr>
          <w:rFonts w:ascii="Arial" w:hAnsi="Arial" w:cs="Arial"/>
          <w:sz w:val="20"/>
          <w:szCs w:val="20"/>
        </w:rPr>
        <w:t xml:space="preserve"> (44.414 ha, soit 3,5%)</w:t>
      </w:r>
      <w:r w:rsidRPr="00B6647E">
        <w:rPr>
          <w:rFonts w:ascii="Arial" w:hAnsi="Arial" w:cs="Arial"/>
          <w:sz w:val="20"/>
          <w:szCs w:val="20"/>
        </w:rPr>
        <w:t xml:space="preserve"> </w:t>
      </w:r>
    </w:p>
    <w:p w:rsidR="00BC2B20" w:rsidRPr="00B6647E" w:rsidRDefault="00BC2B20" w:rsidP="00174E37">
      <w:pPr>
        <w:spacing w:after="120" w:line="240" w:lineRule="auto"/>
        <w:rPr>
          <w:rFonts w:ascii="Arial" w:hAnsi="Arial" w:cs="Arial"/>
          <w:b/>
          <w:sz w:val="20"/>
          <w:szCs w:val="20"/>
        </w:rPr>
      </w:pPr>
      <w:r w:rsidRPr="00B6647E">
        <w:rPr>
          <w:rFonts w:ascii="Arial" w:hAnsi="Arial" w:cs="Arial"/>
          <w:b/>
          <w:sz w:val="20"/>
          <w:szCs w:val="20"/>
        </w:rPr>
        <w:t xml:space="preserve">Tableau </w:t>
      </w:r>
      <w:r w:rsidR="00EE32E1">
        <w:rPr>
          <w:rFonts w:ascii="Arial" w:hAnsi="Arial" w:cs="Arial"/>
          <w:b/>
          <w:sz w:val="20"/>
          <w:szCs w:val="20"/>
        </w:rPr>
        <w:t>37</w:t>
      </w:r>
      <w:r w:rsidRPr="00B6647E">
        <w:rPr>
          <w:rFonts w:ascii="Arial" w:hAnsi="Arial" w:cs="Arial"/>
          <w:b/>
          <w:sz w:val="20"/>
          <w:szCs w:val="20"/>
        </w:rPr>
        <w:t xml:space="preserve"> : Superficie cultivée selon la saison et la </w:t>
      </w:r>
      <w:r w:rsidR="00DC0144" w:rsidRPr="00B6647E">
        <w:rPr>
          <w:rFonts w:ascii="Arial" w:hAnsi="Arial" w:cs="Arial"/>
          <w:b/>
          <w:sz w:val="20"/>
          <w:szCs w:val="20"/>
        </w:rPr>
        <w:t>région naturelle</w:t>
      </w:r>
    </w:p>
    <w:p w:rsidR="00BC2B20" w:rsidRPr="00B6647E" w:rsidRDefault="00841E7F" w:rsidP="00174E37">
      <w:pPr>
        <w:spacing w:after="120" w:line="240" w:lineRule="auto"/>
        <w:rPr>
          <w:rFonts w:ascii="Arial" w:hAnsi="Arial" w:cs="Arial"/>
          <w:sz w:val="20"/>
          <w:szCs w:val="20"/>
        </w:rPr>
      </w:pPr>
      <w:r w:rsidRPr="00B6647E">
        <w:rPr>
          <w:noProof/>
          <w:szCs w:val="20"/>
          <w:lang w:val="fr-FR" w:eastAsia="fr-FR"/>
        </w:rPr>
        <w:drawing>
          <wp:inline distT="0" distB="0" distL="0" distR="0">
            <wp:extent cx="4000500" cy="3095625"/>
            <wp:effectExtent l="19050" t="0" r="0" b="0"/>
            <wp:docPr id="4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srcRect/>
                    <a:stretch>
                      <a:fillRect/>
                    </a:stretch>
                  </pic:blipFill>
                  <pic:spPr bwMode="auto">
                    <a:xfrm>
                      <a:off x="0" y="0"/>
                      <a:ext cx="4000500" cy="3095625"/>
                    </a:xfrm>
                    <a:prstGeom prst="rect">
                      <a:avLst/>
                    </a:prstGeom>
                    <a:noFill/>
                    <a:ln w="9525">
                      <a:noFill/>
                      <a:miter lim="800000"/>
                      <a:headEnd/>
                      <a:tailEnd/>
                    </a:ln>
                  </pic:spPr>
                </pic:pic>
              </a:graphicData>
            </a:graphic>
          </wp:inline>
        </w:drawing>
      </w:r>
    </w:p>
    <w:p w:rsidR="00174E37" w:rsidRPr="00B6647E" w:rsidRDefault="00174E37" w:rsidP="00174E37">
      <w:pPr>
        <w:spacing w:after="120" w:line="240" w:lineRule="auto"/>
        <w:jc w:val="both"/>
        <w:rPr>
          <w:rFonts w:ascii="Arial" w:hAnsi="Arial" w:cs="Arial"/>
          <w:sz w:val="20"/>
          <w:szCs w:val="20"/>
        </w:rPr>
      </w:pPr>
      <w:r w:rsidRPr="00B6647E">
        <w:rPr>
          <w:rFonts w:ascii="Arial" w:hAnsi="Arial" w:cs="Arial"/>
          <w:sz w:val="20"/>
          <w:szCs w:val="20"/>
        </w:rPr>
        <w:t>Relativement aux saisons A et B, les superficies cultivées au cours de la saison C ont diminué dans toutes les régions naturelles sauf dans celle de Bututsi dans laquelle les superficies cultivées dans les marais pendant la saison C (2.022 ha) sont très largement supérieures à celles cultivées au cours de la saison A qui sont pratiquement nulles et à celles de la saison B qui ont</w:t>
      </w:r>
      <w:r w:rsidR="00C7678D">
        <w:rPr>
          <w:rFonts w:ascii="Arial" w:hAnsi="Arial" w:cs="Arial"/>
          <w:sz w:val="20"/>
          <w:szCs w:val="20"/>
        </w:rPr>
        <w:t xml:space="preserve"> été estimées à seulement 37 ha.</w:t>
      </w:r>
    </w:p>
    <w:p w:rsidR="00FD014D" w:rsidRPr="00B6647E" w:rsidRDefault="00DD284A" w:rsidP="00174E37">
      <w:pPr>
        <w:spacing w:after="120" w:line="240" w:lineRule="auto"/>
        <w:jc w:val="both"/>
        <w:rPr>
          <w:rFonts w:ascii="Arial" w:hAnsi="Arial" w:cs="Arial"/>
          <w:sz w:val="20"/>
          <w:szCs w:val="20"/>
        </w:rPr>
      </w:pPr>
      <w:r w:rsidRPr="00B6647E">
        <w:rPr>
          <w:rFonts w:ascii="Arial" w:hAnsi="Arial" w:cs="Arial"/>
          <w:sz w:val="20"/>
          <w:szCs w:val="20"/>
        </w:rPr>
        <w:t xml:space="preserve">Les superficies cultivées sur les collines représentent plus de 90% des superficies </w:t>
      </w:r>
      <w:r w:rsidR="00EB3E56" w:rsidRPr="00B6647E">
        <w:rPr>
          <w:rFonts w:ascii="Arial" w:hAnsi="Arial" w:cs="Arial"/>
          <w:sz w:val="20"/>
          <w:szCs w:val="20"/>
        </w:rPr>
        <w:t xml:space="preserve">totales </w:t>
      </w:r>
      <w:r w:rsidRPr="00B6647E">
        <w:rPr>
          <w:rFonts w:ascii="Arial" w:hAnsi="Arial" w:cs="Arial"/>
          <w:sz w:val="20"/>
          <w:szCs w:val="20"/>
        </w:rPr>
        <w:t>cultivées dans les régions naturelles de Bugesera</w:t>
      </w:r>
      <w:r w:rsidR="00EB3E56" w:rsidRPr="00B6647E">
        <w:rPr>
          <w:rFonts w:ascii="Arial" w:hAnsi="Arial" w:cs="Arial"/>
          <w:sz w:val="20"/>
          <w:szCs w:val="20"/>
        </w:rPr>
        <w:t xml:space="preserve"> (90,4% en saison A et 91% en saison B)</w:t>
      </w:r>
      <w:r w:rsidRPr="00B6647E">
        <w:rPr>
          <w:rFonts w:ascii="Arial" w:hAnsi="Arial" w:cs="Arial"/>
          <w:sz w:val="20"/>
          <w:szCs w:val="20"/>
        </w:rPr>
        <w:t>, Bututsi</w:t>
      </w:r>
      <w:r w:rsidR="00EB3E56" w:rsidRPr="00B6647E">
        <w:rPr>
          <w:rFonts w:ascii="Arial" w:hAnsi="Arial" w:cs="Arial"/>
          <w:sz w:val="20"/>
          <w:szCs w:val="20"/>
        </w:rPr>
        <w:t xml:space="preserve"> (96% en saison A et 95,9% en saison B)</w:t>
      </w:r>
      <w:r w:rsidRPr="00B6647E">
        <w:rPr>
          <w:rFonts w:ascii="Arial" w:hAnsi="Arial" w:cs="Arial"/>
          <w:sz w:val="20"/>
          <w:szCs w:val="20"/>
        </w:rPr>
        <w:t>, Buyenzi</w:t>
      </w:r>
      <w:r w:rsidR="00EB3E56" w:rsidRPr="00B6647E">
        <w:rPr>
          <w:rFonts w:ascii="Arial" w:hAnsi="Arial" w:cs="Arial"/>
          <w:sz w:val="20"/>
          <w:szCs w:val="20"/>
        </w:rPr>
        <w:t xml:space="preserve"> (94,6% en saison A et 92% en saison B)</w:t>
      </w:r>
      <w:r w:rsidRPr="00B6647E">
        <w:rPr>
          <w:rFonts w:ascii="Arial" w:hAnsi="Arial" w:cs="Arial"/>
          <w:sz w:val="20"/>
          <w:szCs w:val="20"/>
        </w:rPr>
        <w:t>, Kirimiro</w:t>
      </w:r>
      <w:r w:rsidR="00EB3E56" w:rsidRPr="00B6647E">
        <w:rPr>
          <w:rFonts w:ascii="Arial" w:hAnsi="Arial" w:cs="Arial"/>
          <w:sz w:val="20"/>
          <w:szCs w:val="20"/>
        </w:rPr>
        <w:t>(94,3% en saison A et 94,2% en saison B)</w:t>
      </w:r>
      <w:r w:rsidRPr="00B6647E">
        <w:rPr>
          <w:rFonts w:ascii="Arial" w:hAnsi="Arial" w:cs="Arial"/>
          <w:sz w:val="20"/>
          <w:szCs w:val="20"/>
        </w:rPr>
        <w:t>, Mugamba</w:t>
      </w:r>
      <w:r w:rsidR="00EB3E56" w:rsidRPr="00B6647E">
        <w:rPr>
          <w:rFonts w:ascii="Arial" w:hAnsi="Arial" w:cs="Arial"/>
          <w:sz w:val="20"/>
          <w:szCs w:val="20"/>
        </w:rPr>
        <w:t xml:space="preserve"> (96,6% en saison A et 98,2% en saison B)</w:t>
      </w:r>
      <w:r w:rsidRPr="00B6647E">
        <w:rPr>
          <w:rFonts w:ascii="Arial" w:hAnsi="Arial" w:cs="Arial"/>
          <w:sz w:val="20"/>
          <w:szCs w:val="20"/>
        </w:rPr>
        <w:t xml:space="preserve"> et Mumirwa</w:t>
      </w:r>
      <w:r w:rsidR="00EB3E56" w:rsidRPr="00B6647E">
        <w:rPr>
          <w:rFonts w:ascii="Arial" w:hAnsi="Arial" w:cs="Arial"/>
          <w:sz w:val="20"/>
          <w:szCs w:val="20"/>
        </w:rPr>
        <w:t xml:space="preserve"> (94,5% en saison A et 95,9% en saison B)</w:t>
      </w:r>
      <w:r w:rsidR="00174E37" w:rsidRPr="00B6647E">
        <w:rPr>
          <w:rFonts w:ascii="Arial" w:hAnsi="Arial" w:cs="Arial"/>
          <w:sz w:val="20"/>
          <w:szCs w:val="20"/>
        </w:rPr>
        <w:t>.</w:t>
      </w:r>
    </w:p>
    <w:p w:rsidR="00DD284A" w:rsidRPr="00B6647E" w:rsidRDefault="001E0FE0" w:rsidP="00174E37">
      <w:pPr>
        <w:spacing w:after="120" w:line="240" w:lineRule="auto"/>
        <w:jc w:val="both"/>
        <w:rPr>
          <w:rFonts w:ascii="Arial" w:hAnsi="Arial" w:cs="Arial"/>
          <w:sz w:val="20"/>
          <w:szCs w:val="20"/>
        </w:rPr>
      </w:pPr>
      <w:r w:rsidRPr="00B6647E">
        <w:rPr>
          <w:rFonts w:ascii="Arial" w:hAnsi="Arial" w:cs="Arial"/>
          <w:sz w:val="20"/>
          <w:szCs w:val="20"/>
        </w:rPr>
        <w:t>Les superficies cultivées dans les plaines représentent moi</w:t>
      </w:r>
      <w:r w:rsidR="00C7678D">
        <w:rPr>
          <w:rFonts w:ascii="Arial" w:hAnsi="Arial" w:cs="Arial"/>
          <w:sz w:val="20"/>
          <w:szCs w:val="20"/>
        </w:rPr>
        <w:t>n</w:t>
      </w:r>
      <w:r w:rsidRPr="00B6647E">
        <w:rPr>
          <w:rFonts w:ascii="Arial" w:hAnsi="Arial" w:cs="Arial"/>
          <w:sz w:val="20"/>
          <w:szCs w:val="20"/>
        </w:rPr>
        <w:t xml:space="preserve">s de </w:t>
      </w:r>
      <w:r w:rsidR="00365126" w:rsidRPr="00B6647E">
        <w:rPr>
          <w:rFonts w:ascii="Arial" w:hAnsi="Arial" w:cs="Arial"/>
          <w:sz w:val="20"/>
          <w:szCs w:val="20"/>
        </w:rPr>
        <w:t>1</w:t>
      </w:r>
      <w:r w:rsidRPr="00B6647E">
        <w:rPr>
          <w:rFonts w:ascii="Arial" w:hAnsi="Arial" w:cs="Arial"/>
          <w:sz w:val="20"/>
          <w:szCs w:val="20"/>
        </w:rPr>
        <w:t xml:space="preserve">0% des superficies totales cultivées dans les régions sauf </w:t>
      </w:r>
      <w:r w:rsidR="00365126" w:rsidRPr="00B6647E">
        <w:rPr>
          <w:rFonts w:ascii="Arial" w:hAnsi="Arial" w:cs="Arial"/>
          <w:sz w:val="20"/>
          <w:szCs w:val="20"/>
        </w:rPr>
        <w:t xml:space="preserve">dans </w:t>
      </w:r>
      <w:r w:rsidR="00DD284A" w:rsidRPr="00B6647E">
        <w:rPr>
          <w:rFonts w:ascii="Arial" w:hAnsi="Arial" w:cs="Arial"/>
          <w:sz w:val="20"/>
          <w:szCs w:val="20"/>
        </w:rPr>
        <w:t xml:space="preserve">les régions l’Imbo </w:t>
      </w:r>
      <w:r w:rsidRPr="00B6647E">
        <w:rPr>
          <w:rFonts w:ascii="Arial" w:hAnsi="Arial" w:cs="Arial"/>
          <w:sz w:val="20"/>
          <w:szCs w:val="20"/>
        </w:rPr>
        <w:t xml:space="preserve">(60,1% en saison A et 57,2% en saison B), </w:t>
      </w:r>
      <w:r w:rsidR="00DD284A" w:rsidRPr="00B6647E">
        <w:rPr>
          <w:rFonts w:ascii="Arial" w:hAnsi="Arial" w:cs="Arial"/>
          <w:sz w:val="20"/>
          <w:szCs w:val="20"/>
        </w:rPr>
        <w:t>du Moso</w:t>
      </w:r>
      <w:r w:rsidRPr="00B6647E">
        <w:rPr>
          <w:rFonts w:ascii="Arial" w:hAnsi="Arial" w:cs="Arial"/>
          <w:sz w:val="20"/>
          <w:szCs w:val="20"/>
        </w:rPr>
        <w:t xml:space="preserve"> (56,8% en saison A et 55,2% en saison B)</w:t>
      </w:r>
      <w:r w:rsidR="00365126" w:rsidRPr="00B6647E">
        <w:rPr>
          <w:rFonts w:ascii="Arial" w:hAnsi="Arial" w:cs="Arial"/>
          <w:sz w:val="20"/>
          <w:szCs w:val="20"/>
        </w:rPr>
        <w:t xml:space="preserve"> et dans une moindre mesure dans celles de Buyogoma (22,7% en saison A et 16,3% en saison B) et Buragane (11,9% en saison A et 9% en saison B).</w:t>
      </w:r>
    </w:p>
    <w:p w:rsidR="00FD014D" w:rsidRPr="00B6647E" w:rsidRDefault="00FD014D">
      <w:pPr>
        <w:rPr>
          <w:rFonts w:ascii="Arial" w:hAnsi="Arial" w:cs="Arial"/>
          <w:b/>
          <w:sz w:val="20"/>
          <w:szCs w:val="20"/>
        </w:rPr>
      </w:pPr>
      <w:r w:rsidRPr="00B6647E">
        <w:rPr>
          <w:rFonts w:ascii="Arial" w:hAnsi="Arial" w:cs="Arial"/>
          <w:b/>
          <w:sz w:val="20"/>
          <w:szCs w:val="20"/>
        </w:rPr>
        <w:br w:type="page"/>
      </w:r>
    </w:p>
    <w:p w:rsidR="00BC2B20" w:rsidRPr="00B6647E" w:rsidRDefault="00BC2B20" w:rsidP="00174E37">
      <w:pPr>
        <w:spacing w:after="120" w:line="240" w:lineRule="auto"/>
        <w:jc w:val="both"/>
        <w:rPr>
          <w:rFonts w:ascii="Arial" w:hAnsi="Arial" w:cs="Arial"/>
          <w:b/>
          <w:sz w:val="20"/>
          <w:szCs w:val="20"/>
        </w:rPr>
      </w:pPr>
      <w:r w:rsidRPr="00B6647E">
        <w:rPr>
          <w:rFonts w:ascii="Arial" w:hAnsi="Arial" w:cs="Arial"/>
          <w:b/>
          <w:sz w:val="20"/>
          <w:szCs w:val="20"/>
        </w:rPr>
        <w:lastRenderedPageBreak/>
        <w:t xml:space="preserve">Tableau </w:t>
      </w:r>
      <w:r w:rsidR="00EE32E1">
        <w:rPr>
          <w:rFonts w:ascii="Arial" w:hAnsi="Arial" w:cs="Arial"/>
          <w:b/>
          <w:sz w:val="20"/>
          <w:szCs w:val="20"/>
        </w:rPr>
        <w:t>38</w:t>
      </w:r>
      <w:r w:rsidRPr="00B6647E">
        <w:rPr>
          <w:rFonts w:ascii="Arial" w:hAnsi="Arial" w:cs="Arial"/>
          <w:b/>
          <w:sz w:val="20"/>
          <w:szCs w:val="20"/>
        </w:rPr>
        <w:t> : Structure de la superficie cultivée par type de relief selon la saison et la région naturelle (%)</w:t>
      </w:r>
    </w:p>
    <w:p w:rsidR="00174E37" w:rsidRPr="00B6647E" w:rsidRDefault="00BC2B20" w:rsidP="00174E37">
      <w:pPr>
        <w:spacing w:after="120" w:line="240" w:lineRule="auto"/>
        <w:rPr>
          <w:rFonts w:ascii="Arial" w:hAnsi="Arial" w:cs="Arial"/>
          <w:sz w:val="20"/>
          <w:szCs w:val="20"/>
        </w:rPr>
      </w:pPr>
      <w:r w:rsidRPr="00B6647E">
        <w:rPr>
          <w:noProof/>
          <w:szCs w:val="20"/>
          <w:lang w:val="fr-FR" w:eastAsia="fr-FR"/>
        </w:rPr>
        <w:drawing>
          <wp:inline distT="0" distB="0" distL="0" distR="0">
            <wp:extent cx="5731510" cy="2805332"/>
            <wp:effectExtent l="19050" t="0" r="2540" b="0"/>
            <wp:docPr id="3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srcRect/>
                    <a:stretch>
                      <a:fillRect/>
                    </a:stretch>
                  </pic:blipFill>
                  <pic:spPr bwMode="auto">
                    <a:xfrm>
                      <a:off x="0" y="0"/>
                      <a:ext cx="5731510" cy="2805332"/>
                    </a:xfrm>
                    <a:prstGeom prst="rect">
                      <a:avLst/>
                    </a:prstGeom>
                    <a:noFill/>
                    <a:ln w="9525">
                      <a:noFill/>
                      <a:miter lim="800000"/>
                      <a:headEnd/>
                      <a:tailEnd/>
                    </a:ln>
                  </pic:spPr>
                </pic:pic>
              </a:graphicData>
            </a:graphic>
          </wp:inline>
        </w:drawing>
      </w:r>
    </w:p>
    <w:p w:rsidR="00174E37" w:rsidRPr="00B6647E" w:rsidRDefault="00DA66B9" w:rsidP="00174E37">
      <w:pPr>
        <w:spacing w:after="120" w:line="240" w:lineRule="auto"/>
        <w:rPr>
          <w:rFonts w:ascii="Arial" w:hAnsi="Arial" w:cs="Arial"/>
          <w:sz w:val="20"/>
          <w:szCs w:val="20"/>
        </w:rPr>
      </w:pPr>
      <w:r w:rsidRPr="00B6647E">
        <w:rPr>
          <w:rFonts w:ascii="Arial" w:hAnsi="Arial" w:cs="Arial"/>
          <w:sz w:val="20"/>
          <w:szCs w:val="20"/>
        </w:rPr>
        <w:t xml:space="preserve">La part des superficies cultivées dans les marais bien que globalement faible, est largement au profit de la saison C où elle est supérieure à 5% dans toutes régions sauf à Mumirwa (2,5%). </w:t>
      </w:r>
    </w:p>
    <w:p w:rsidR="00DC0144" w:rsidRPr="00B6647E" w:rsidRDefault="00EE32E1" w:rsidP="00174E37">
      <w:pPr>
        <w:spacing w:after="120" w:line="240" w:lineRule="auto"/>
        <w:rPr>
          <w:rFonts w:ascii="Arial" w:hAnsi="Arial" w:cs="Arial"/>
          <w:b/>
          <w:sz w:val="20"/>
          <w:szCs w:val="20"/>
        </w:rPr>
      </w:pPr>
      <w:r>
        <w:rPr>
          <w:rFonts w:ascii="Arial" w:hAnsi="Arial" w:cs="Arial"/>
          <w:b/>
          <w:sz w:val="20"/>
          <w:szCs w:val="20"/>
        </w:rPr>
        <w:t>Tableau 39</w:t>
      </w:r>
      <w:r w:rsidR="00DC0144" w:rsidRPr="00B6647E">
        <w:rPr>
          <w:rFonts w:ascii="Arial" w:hAnsi="Arial" w:cs="Arial"/>
          <w:b/>
          <w:sz w:val="20"/>
          <w:szCs w:val="20"/>
        </w:rPr>
        <w:t> : Superficie cultivée selon la saison et la province</w:t>
      </w:r>
    </w:p>
    <w:p w:rsidR="00CE6571" w:rsidRPr="00B6647E" w:rsidRDefault="00841E7F" w:rsidP="00CF5B7A">
      <w:pPr>
        <w:spacing w:after="120" w:line="240" w:lineRule="auto"/>
        <w:rPr>
          <w:rFonts w:ascii="Arial" w:hAnsi="Arial" w:cs="Arial"/>
          <w:sz w:val="20"/>
          <w:szCs w:val="20"/>
        </w:rPr>
      </w:pPr>
      <w:r w:rsidRPr="00B6647E">
        <w:rPr>
          <w:noProof/>
          <w:sz w:val="20"/>
          <w:szCs w:val="20"/>
          <w:lang w:val="fr-FR" w:eastAsia="fr-FR"/>
        </w:rPr>
        <w:drawing>
          <wp:inline distT="0" distB="0" distL="0" distR="0">
            <wp:extent cx="4000500" cy="4057650"/>
            <wp:effectExtent l="19050" t="0" r="0" b="0"/>
            <wp:docPr id="4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srcRect/>
                    <a:stretch>
                      <a:fillRect/>
                    </a:stretch>
                  </pic:blipFill>
                  <pic:spPr bwMode="auto">
                    <a:xfrm>
                      <a:off x="0" y="0"/>
                      <a:ext cx="4000500" cy="4057650"/>
                    </a:xfrm>
                    <a:prstGeom prst="rect">
                      <a:avLst/>
                    </a:prstGeom>
                    <a:noFill/>
                    <a:ln w="9525">
                      <a:noFill/>
                      <a:miter lim="800000"/>
                      <a:headEnd/>
                      <a:tailEnd/>
                    </a:ln>
                  </pic:spPr>
                </pic:pic>
              </a:graphicData>
            </a:graphic>
          </wp:inline>
        </w:drawing>
      </w:r>
    </w:p>
    <w:p w:rsidR="00763734" w:rsidRPr="00B6647E" w:rsidRDefault="00763734" w:rsidP="00763734">
      <w:pPr>
        <w:spacing w:after="120" w:line="240" w:lineRule="auto"/>
        <w:rPr>
          <w:rFonts w:ascii="Arial" w:hAnsi="Arial" w:cs="Arial"/>
          <w:sz w:val="20"/>
          <w:szCs w:val="20"/>
        </w:rPr>
      </w:pPr>
      <w:r w:rsidRPr="00B6647E">
        <w:rPr>
          <w:rFonts w:ascii="Arial" w:hAnsi="Arial" w:cs="Arial"/>
          <w:sz w:val="20"/>
          <w:szCs w:val="20"/>
        </w:rPr>
        <w:t>Cette part est supérieure à 10% dans six régions sur onze : Bututsi (21,1%), Buyogoma (15,1%), Buyenzi (14,7%), Moso (12,2%), Bweru (10,8%) et Buragane (10,4%).</w:t>
      </w:r>
    </w:p>
    <w:p w:rsidR="00763734" w:rsidRPr="00B6647E" w:rsidRDefault="00763734" w:rsidP="00763734">
      <w:pPr>
        <w:spacing w:after="120" w:line="240" w:lineRule="auto"/>
        <w:jc w:val="both"/>
        <w:rPr>
          <w:rFonts w:ascii="Arial" w:hAnsi="Arial" w:cs="Arial"/>
          <w:sz w:val="20"/>
          <w:szCs w:val="20"/>
        </w:rPr>
      </w:pPr>
      <w:r w:rsidRPr="00B6647E">
        <w:rPr>
          <w:rFonts w:ascii="Arial" w:hAnsi="Arial" w:cs="Arial"/>
          <w:sz w:val="20"/>
          <w:szCs w:val="20"/>
        </w:rPr>
        <w:t xml:space="preserve">Les superficies cultivées </w:t>
      </w:r>
      <w:r w:rsidR="00C7678D">
        <w:rPr>
          <w:rFonts w:ascii="Arial" w:hAnsi="Arial" w:cs="Arial"/>
          <w:sz w:val="20"/>
          <w:szCs w:val="20"/>
        </w:rPr>
        <w:t xml:space="preserve">les plus élevées </w:t>
      </w:r>
      <w:r w:rsidRPr="00B6647E">
        <w:rPr>
          <w:rFonts w:ascii="Arial" w:hAnsi="Arial" w:cs="Arial"/>
          <w:sz w:val="20"/>
          <w:szCs w:val="20"/>
        </w:rPr>
        <w:t xml:space="preserve">sur l’ensemble de la campagne agricole 2011-2012 ont été enregistrées dans les provinces de Kirundo (195.024 ha, soit 15,5%), Muyinga (129.491 ha, soit 10,3%), Gitega (107.912 ha, soit 8,6%), Karuzi (98.008 ha, soit 7,8%). </w:t>
      </w:r>
    </w:p>
    <w:p w:rsidR="00763734" w:rsidRPr="00B6647E" w:rsidRDefault="00763734" w:rsidP="00763734">
      <w:pPr>
        <w:spacing w:after="120" w:line="240" w:lineRule="auto"/>
        <w:jc w:val="both"/>
        <w:rPr>
          <w:rFonts w:ascii="Arial" w:hAnsi="Arial" w:cs="Arial"/>
          <w:sz w:val="20"/>
          <w:szCs w:val="20"/>
        </w:rPr>
      </w:pPr>
      <w:r w:rsidRPr="00B6647E">
        <w:rPr>
          <w:rFonts w:ascii="Arial" w:hAnsi="Arial" w:cs="Arial"/>
          <w:sz w:val="20"/>
          <w:szCs w:val="20"/>
        </w:rPr>
        <w:lastRenderedPageBreak/>
        <w:t>Les superficies cultivées annuelles dans les provinces de Bubanza (49.288 ha), Muramvya (45.089 ha), Mwaro (37.073 ha) et Rutana (47.484 ha) représentent moins de 4% de la superficie totale annuelle.</w:t>
      </w:r>
    </w:p>
    <w:p w:rsidR="00F609B1" w:rsidRPr="00B6647E" w:rsidRDefault="00FD0BEF" w:rsidP="00CF5B7A">
      <w:pPr>
        <w:spacing w:after="120" w:line="240" w:lineRule="auto"/>
        <w:jc w:val="both"/>
        <w:rPr>
          <w:rFonts w:ascii="Arial" w:hAnsi="Arial" w:cs="Arial"/>
          <w:sz w:val="20"/>
          <w:szCs w:val="20"/>
        </w:rPr>
      </w:pPr>
      <w:r w:rsidRPr="00B6647E">
        <w:rPr>
          <w:rFonts w:ascii="Arial" w:hAnsi="Arial" w:cs="Arial"/>
          <w:sz w:val="20"/>
          <w:szCs w:val="20"/>
        </w:rPr>
        <w:t xml:space="preserve">Les superficies cultivées sur les collines au cours </w:t>
      </w:r>
      <w:r w:rsidR="008A0E9F" w:rsidRPr="00B6647E">
        <w:rPr>
          <w:rFonts w:ascii="Arial" w:hAnsi="Arial" w:cs="Arial"/>
          <w:sz w:val="20"/>
          <w:szCs w:val="20"/>
        </w:rPr>
        <w:t>des saisons</w:t>
      </w:r>
      <w:r w:rsidRPr="00B6647E">
        <w:rPr>
          <w:rFonts w:ascii="Arial" w:hAnsi="Arial" w:cs="Arial"/>
          <w:sz w:val="20"/>
          <w:szCs w:val="20"/>
        </w:rPr>
        <w:t xml:space="preserve"> A et B représentent plus de 90% des superficies </w:t>
      </w:r>
      <w:r w:rsidR="00171487" w:rsidRPr="00B6647E">
        <w:rPr>
          <w:rFonts w:ascii="Arial" w:hAnsi="Arial" w:cs="Arial"/>
          <w:sz w:val="20"/>
          <w:szCs w:val="20"/>
        </w:rPr>
        <w:t xml:space="preserve">totales </w:t>
      </w:r>
      <w:r w:rsidRPr="00B6647E">
        <w:rPr>
          <w:rFonts w:ascii="Arial" w:hAnsi="Arial" w:cs="Arial"/>
          <w:sz w:val="20"/>
          <w:szCs w:val="20"/>
        </w:rPr>
        <w:t>cultivées dans les provinces de Gitega</w:t>
      </w:r>
      <w:r w:rsidR="00171487" w:rsidRPr="00B6647E">
        <w:rPr>
          <w:rFonts w:ascii="Arial" w:hAnsi="Arial" w:cs="Arial"/>
          <w:sz w:val="20"/>
          <w:szCs w:val="20"/>
        </w:rPr>
        <w:t xml:space="preserve"> (96,6% en saison A et 95,2% en saison B)</w:t>
      </w:r>
      <w:r w:rsidRPr="00B6647E">
        <w:rPr>
          <w:rFonts w:ascii="Arial" w:hAnsi="Arial" w:cs="Arial"/>
          <w:sz w:val="20"/>
          <w:szCs w:val="20"/>
        </w:rPr>
        <w:t>, Karuzi</w:t>
      </w:r>
      <w:r w:rsidR="00171487" w:rsidRPr="00B6647E">
        <w:rPr>
          <w:rFonts w:ascii="Arial" w:hAnsi="Arial" w:cs="Arial"/>
          <w:sz w:val="20"/>
          <w:szCs w:val="20"/>
        </w:rPr>
        <w:t xml:space="preserve"> (95,9% en saison A et 96,2% en saison B)</w:t>
      </w:r>
      <w:r w:rsidRPr="00B6647E">
        <w:rPr>
          <w:rFonts w:ascii="Arial" w:hAnsi="Arial" w:cs="Arial"/>
          <w:sz w:val="20"/>
          <w:szCs w:val="20"/>
        </w:rPr>
        <w:t>, Kayanza</w:t>
      </w:r>
      <w:r w:rsidR="00171487" w:rsidRPr="00B6647E">
        <w:rPr>
          <w:rFonts w:ascii="Arial" w:hAnsi="Arial" w:cs="Arial"/>
          <w:sz w:val="20"/>
          <w:szCs w:val="20"/>
        </w:rPr>
        <w:t xml:space="preserve"> (92,5% en saison A et 91,2% en saison B)</w:t>
      </w:r>
      <w:r w:rsidRPr="00B6647E">
        <w:rPr>
          <w:rFonts w:ascii="Arial" w:hAnsi="Arial" w:cs="Arial"/>
          <w:sz w:val="20"/>
          <w:szCs w:val="20"/>
        </w:rPr>
        <w:t>, Kirundo</w:t>
      </w:r>
      <w:r w:rsidR="00171487" w:rsidRPr="00B6647E">
        <w:rPr>
          <w:rFonts w:ascii="Arial" w:hAnsi="Arial" w:cs="Arial"/>
          <w:sz w:val="20"/>
          <w:szCs w:val="20"/>
        </w:rPr>
        <w:t xml:space="preserve"> (91,3% en saison A et 91,7% en saison B)</w:t>
      </w:r>
      <w:r w:rsidRPr="00B6647E">
        <w:rPr>
          <w:rFonts w:ascii="Arial" w:hAnsi="Arial" w:cs="Arial"/>
          <w:sz w:val="20"/>
          <w:szCs w:val="20"/>
        </w:rPr>
        <w:t>, Muramvya</w:t>
      </w:r>
      <w:r w:rsidR="00171487" w:rsidRPr="00B6647E">
        <w:rPr>
          <w:rFonts w:ascii="Arial" w:hAnsi="Arial" w:cs="Arial"/>
          <w:sz w:val="20"/>
          <w:szCs w:val="20"/>
        </w:rPr>
        <w:t xml:space="preserve"> (94,4% en saison A et 96% en saison B)</w:t>
      </w:r>
      <w:r w:rsidRPr="00B6647E">
        <w:rPr>
          <w:rFonts w:ascii="Arial" w:hAnsi="Arial" w:cs="Arial"/>
          <w:sz w:val="20"/>
          <w:szCs w:val="20"/>
        </w:rPr>
        <w:t>, Mwaro</w:t>
      </w:r>
      <w:r w:rsidR="00171487" w:rsidRPr="00B6647E">
        <w:rPr>
          <w:rFonts w:ascii="Arial" w:hAnsi="Arial" w:cs="Arial"/>
          <w:sz w:val="20"/>
          <w:szCs w:val="20"/>
        </w:rPr>
        <w:t xml:space="preserve"> (94,7% en saison A et 97% en saison B)</w:t>
      </w:r>
      <w:r w:rsidRPr="00B6647E">
        <w:rPr>
          <w:rFonts w:ascii="Arial" w:hAnsi="Arial" w:cs="Arial"/>
          <w:sz w:val="20"/>
          <w:szCs w:val="20"/>
        </w:rPr>
        <w:t xml:space="preserve"> et Ngozi</w:t>
      </w:r>
      <w:r w:rsidR="00171487" w:rsidRPr="00B6647E">
        <w:rPr>
          <w:rFonts w:ascii="Arial" w:hAnsi="Arial" w:cs="Arial"/>
          <w:sz w:val="20"/>
          <w:szCs w:val="20"/>
        </w:rPr>
        <w:t xml:space="preserve"> (95,5% en saison A et 92,1% en saison B)</w:t>
      </w:r>
      <w:r w:rsidRPr="00B6647E">
        <w:rPr>
          <w:rFonts w:ascii="Arial" w:hAnsi="Arial" w:cs="Arial"/>
          <w:sz w:val="20"/>
          <w:szCs w:val="20"/>
        </w:rPr>
        <w:t>.</w:t>
      </w:r>
    </w:p>
    <w:p w:rsidR="00F609B1" w:rsidRPr="00B6647E" w:rsidRDefault="00F609B1" w:rsidP="00CF5B7A">
      <w:pPr>
        <w:spacing w:after="120" w:line="240" w:lineRule="auto"/>
        <w:jc w:val="both"/>
        <w:rPr>
          <w:rFonts w:ascii="Arial" w:hAnsi="Arial" w:cs="Arial"/>
          <w:sz w:val="20"/>
          <w:szCs w:val="20"/>
        </w:rPr>
      </w:pPr>
      <w:r w:rsidRPr="00B6647E">
        <w:rPr>
          <w:rFonts w:ascii="Arial" w:hAnsi="Arial" w:cs="Arial"/>
          <w:sz w:val="20"/>
          <w:szCs w:val="20"/>
        </w:rPr>
        <w:t>Les plus grandes proportions de superficies cultivées dans les plaines ont été estimées dans les p</w:t>
      </w:r>
      <w:r w:rsidR="00C12391" w:rsidRPr="00B6647E">
        <w:rPr>
          <w:rFonts w:ascii="Arial" w:hAnsi="Arial" w:cs="Arial"/>
          <w:sz w:val="20"/>
          <w:szCs w:val="20"/>
        </w:rPr>
        <w:t xml:space="preserve">rovinces </w:t>
      </w:r>
      <w:r w:rsidRPr="00B6647E">
        <w:rPr>
          <w:rFonts w:ascii="Arial" w:hAnsi="Arial" w:cs="Arial"/>
          <w:sz w:val="20"/>
          <w:szCs w:val="20"/>
        </w:rPr>
        <w:t>de</w:t>
      </w:r>
      <w:r w:rsidR="00C12391" w:rsidRPr="00B6647E">
        <w:rPr>
          <w:rFonts w:ascii="Arial" w:hAnsi="Arial" w:cs="Arial"/>
          <w:sz w:val="20"/>
          <w:szCs w:val="20"/>
        </w:rPr>
        <w:t xml:space="preserve"> Ruyigi (59,5% en saison A, 59,3% au cours de la saison B et 51,7% pendant la saison C)</w:t>
      </w:r>
      <w:r w:rsidR="000B160F" w:rsidRPr="00B6647E">
        <w:rPr>
          <w:rFonts w:ascii="Arial" w:hAnsi="Arial" w:cs="Arial"/>
          <w:sz w:val="20"/>
          <w:szCs w:val="20"/>
        </w:rPr>
        <w:t>, Makamba</w:t>
      </w:r>
      <w:r w:rsidR="00203C7C" w:rsidRPr="00B6647E">
        <w:rPr>
          <w:rFonts w:ascii="Arial" w:hAnsi="Arial" w:cs="Arial"/>
          <w:sz w:val="20"/>
          <w:szCs w:val="20"/>
        </w:rPr>
        <w:t xml:space="preserve"> (59,5% en saison A, 59,3% au cours de la saison B et 51,7% pendant la saison C)</w:t>
      </w:r>
      <w:r w:rsidR="000B160F" w:rsidRPr="00B6647E">
        <w:rPr>
          <w:rFonts w:ascii="Arial" w:hAnsi="Arial" w:cs="Arial"/>
          <w:sz w:val="20"/>
          <w:szCs w:val="20"/>
        </w:rPr>
        <w:t>, Bubanza</w:t>
      </w:r>
      <w:r w:rsidR="00203C7C" w:rsidRPr="00B6647E">
        <w:rPr>
          <w:rFonts w:ascii="Arial" w:hAnsi="Arial" w:cs="Arial"/>
          <w:sz w:val="20"/>
          <w:szCs w:val="20"/>
        </w:rPr>
        <w:t xml:space="preserve"> (32,9% en saison A, 29,3% au cours de la saison B et 24,1% pendant la saison C)</w:t>
      </w:r>
      <w:r w:rsidR="000B160F" w:rsidRPr="00B6647E">
        <w:rPr>
          <w:rFonts w:ascii="Arial" w:hAnsi="Arial" w:cs="Arial"/>
          <w:sz w:val="20"/>
          <w:szCs w:val="20"/>
        </w:rPr>
        <w:t>, Bujumbura rural</w:t>
      </w:r>
      <w:r w:rsidR="00203C7C" w:rsidRPr="00B6647E">
        <w:rPr>
          <w:rFonts w:ascii="Arial" w:hAnsi="Arial" w:cs="Arial"/>
          <w:sz w:val="20"/>
          <w:szCs w:val="20"/>
        </w:rPr>
        <w:t xml:space="preserve"> (25% en saison A, 24,3% au cours de la saison B et 14,1% pendant la saison C)</w:t>
      </w:r>
      <w:r w:rsidR="000B160F" w:rsidRPr="00B6647E">
        <w:rPr>
          <w:rFonts w:ascii="Arial" w:hAnsi="Arial" w:cs="Arial"/>
          <w:sz w:val="20"/>
          <w:szCs w:val="20"/>
        </w:rPr>
        <w:t>,</w:t>
      </w:r>
      <w:r w:rsidR="00203C7C" w:rsidRPr="00B6647E">
        <w:rPr>
          <w:rFonts w:ascii="Arial" w:hAnsi="Arial" w:cs="Arial"/>
          <w:sz w:val="20"/>
          <w:szCs w:val="20"/>
        </w:rPr>
        <w:t xml:space="preserve"> </w:t>
      </w:r>
      <w:r w:rsidR="000B160F" w:rsidRPr="00B6647E">
        <w:rPr>
          <w:rFonts w:ascii="Arial" w:hAnsi="Arial" w:cs="Arial"/>
          <w:sz w:val="20"/>
          <w:szCs w:val="20"/>
        </w:rPr>
        <w:t>Rutana</w:t>
      </w:r>
      <w:r w:rsidR="00203C7C" w:rsidRPr="00B6647E">
        <w:rPr>
          <w:rFonts w:ascii="Arial" w:hAnsi="Arial" w:cs="Arial"/>
          <w:sz w:val="20"/>
          <w:szCs w:val="20"/>
        </w:rPr>
        <w:t xml:space="preserve"> (23,6% en saison A, 21,5% au cours de la saison B et 24,7% pendant la saison C)</w:t>
      </w:r>
      <w:r w:rsidRPr="00B6647E">
        <w:rPr>
          <w:rFonts w:ascii="Arial" w:hAnsi="Arial" w:cs="Arial"/>
          <w:sz w:val="20"/>
          <w:szCs w:val="20"/>
        </w:rPr>
        <w:t>.</w:t>
      </w:r>
    </w:p>
    <w:p w:rsidR="00C12391" w:rsidRPr="00B6647E" w:rsidRDefault="00203C7C" w:rsidP="00CF5B7A">
      <w:pPr>
        <w:spacing w:after="120" w:line="240" w:lineRule="auto"/>
        <w:jc w:val="both"/>
        <w:rPr>
          <w:rFonts w:ascii="Arial" w:hAnsi="Arial" w:cs="Arial"/>
          <w:sz w:val="20"/>
          <w:szCs w:val="20"/>
        </w:rPr>
      </w:pPr>
      <w:r w:rsidRPr="00B6647E">
        <w:rPr>
          <w:rFonts w:ascii="Arial" w:hAnsi="Arial" w:cs="Arial"/>
          <w:sz w:val="20"/>
          <w:szCs w:val="20"/>
        </w:rPr>
        <w:t xml:space="preserve">Au niveau des marais, on note six provinces qui ont cultivé moins de 10% de </w:t>
      </w:r>
      <w:r w:rsidR="00F609B1" w:rsidRPr="00B6647E">
        <w:rPr>
          <w:rFonts w:ascii="Arial" w:hAnsi="Arial" w:cs="Arial"/>
          <w:sz w:val="20"/>
          <w:szCs w:val="20"/>
        </w:rPr>
        <w:t>leurs superficies</w:t>
      </w:r>
      <w:r w:rsidRPr="00B6647E">
        <w:rPr>
          <w:rFonts w:ascii="Arial" w:hAnsi="Arial" w:cs="Arial"/>
          <w:sz w:val="20"/>
          <w:szCs w:val="20"/>
        </w:rPr>
        <w:t xml:space="preserve"> au cours de la saison C. Il s’agit de : Cibitoke (1,8%), </w:t>
      </w:r>
      <w:r w:rsidR="00F609B1" w:rsidRPr="00B6647E">
        <w:rPr>
          <w:rFonts w:ascii="Arial" w:hAnsi="Arial" w:cs="Arial"/>
          <w:sz w:val="20"/>
          <w:szCs w:val="20"/>
        </w:rPr>
        <w:t>Bujumbura</w:t>
      </w:r>
      <w:r w:rsidRPr="00B6647E">
        <w:rPr>
          <w:rFonts w:ascii="Arial" w:hAnsi="Arial" w:cs="Arial"/>
          <w:sz w:val="20"/>
          <w:szCs w:val="20"/>
        </w:rPr>
        <w:t xml:space="preserve"> rural (2,3%), Karuzi (5,4%), </w:t>
      </w:r>
      <w:r w:rsidR="00F609B1" w:rsidRPr="00B6647E">
        <w:rPr>
          <w:rFonts w:ascii="Arial" w:hAnsi="Arial" w:cs="Arial"/>
          <w:sz w:val="20"/>
          <w:szCs w:val="20"/>
        </w:rPr>
        <w:t>Kirundo (5,9%), Makamba -7,3%) et Bubanza (9,7%).</w:t>
      </w:r>
    </w:p>
    <w:p w:rsidR="00DC0144" w:rsidRPr="00B6647E" w:rsidRDefault="00DC0144" w:rsidP="00CF5B7A">
      <w:pPr>
        <w:keepNext/>
        <w:spacing w:after="120" w:line="240" w:lineRule="auto"/>
        <w:jc w:val="both"/>
        <w:rPr>
          <w:rFonts w:ascii="Arial" w:hAnsi="Arial" w:cs="Arial"/>
          <w:b/>
          <w:sz w:val="20"/>
          <w:szCs w:val="20"/>
        </w:rPr>
      </w:pPr>
      <w:r w:rsidRPr="00B6647E">
        <w:rPr>
          <w:rFonts w:ascii="Arial" w:hAnsi="Arial" w:cs="Arial"/>
          <w:b/>
          <w:sz w:val="20"/>
          <w:szCs w:val="20"/>
        </w:rPr>
        <w:t xml:space="preserve">Tableau </w:t>
      </w:r>
      <w:r w:rsidR="00EE32E1">
        <w:rPr>
          <w:rFonts w:ascii="Arial" w:hAnsi="Arial" w:cs="Arial"/>
          <w:b/>
          <w:sz w:val="20"/>
          <w:szCs w:val="20"/>
        </w:rPr>
        <w:t>40</w:t>
      </w:r>
      <w:r w:rsidRPr="00B6647E">
        <w:rPr>
          <w:rFonts w:ascii="Arial" w:hAnsi="Arial" w:cs="Arial"/>
          <w:b/>
          <w:sz w:val="20"/>
          <w:szCs w:val="20"/>
        </w:rPr>
        <w:t> : Structure de la superficie cultivée par type de relief selon la saison et la province (%)</w:t>
      </w:r>
    </w:p>
    <w:p w:rsidR="00533105" w:rsidRPr="00B6647E" w:rsidRDefault="00B45D6A" w:rsidP="00CF5B7A">
      <w:pPr>
        <w:keepNext/>
        <w:spacing w:after="120" w:line="240" w:lineRule="auto"/>
        <w:rPr>
          <w:rFonts w:ascii="Arial" w:hAnsi="Arial" w:cs="Arial"/>
          <w:sz w:val="20"/>
          <w:szCs w:val="20"/>
        </w:rPr>
      </w:pPr>
      <w:r w:rsidRPr="00B6647E">
        <w:rPr>
          <w:noProof/>
          <w:szCs w:val="20"/>
          <w:lang w:val="fr-FR" w:eastAsia="fr-FR"/>
        </w:rPr>
        <w:drawing>
          <wp:inline distT="0" distB="0" distL="0" distR="0">
            <wp:extent cx="5731510" cy="3677143"/>
            <wp:effectExtent l="19050" t="0" r="2540" b="0"/>
            <wp:docPr id="3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srcRect/>
                    <a:stretch>
                      <a:fillRect/>
                    </a:stretch>
                  </pic:blipFill>
                  <pic:spPr bwMode="auto">
                    <a:xfrm>
                      <a:off x="0" y="0"/>
                      <a:ext cx="5731510" cy="3677143"/>
                    </a:xfrm>
                    <a:prstGeom prst="rect">
                      <a:avLst/>
                    </a:prstGeom>
                    <a:noFill/>
                    <a:ln w="9525">
                      <a:noFill/>
                      <a:miter lim="800000"/>
                      <a:headEnd/>
                      <a:tailEnd/>
                    </a:ln>
                  </pic:spPr>
                </pic:pic>
              </a:graphicData>
            </a:graphic>
          </wp:inline>
        </w:drawing>
      </w:r>
    </w:p>
    <w:p w:rsidR="0089543B" w:rsidRPr="00B6647E" w:rsidRDefault="0089543B" w:rsidP="00B24E80">
      <w:pPr>
        <w:pStyle w:val="Titre3"/>
        <w:keepNext w:val="0"/>
        <w:numPr>
          <w:ilvl w:val="2"/>
          <w:numId w:val="1"/>
        </w:numPr>
        <w:spacing w:before="200" w:after="120"/>
        <w:ind w:left="0" w:firstLine="0"/>
        <w:rPr>
          <w:rFonts w:cs="Arial"/>
          <w:szCs w:val="20"/>
        </w:rPr>
      </w:pPr>
      <w:bookmarkStart w:id="221" w:name="_Toc354313868"/>
      <w:r w:rsidRPr="00B6647E">
        <w:rPr>
          <w:rFonts w:cs="Arial"/>
          <w:szCs w:val="20"/>
        </w:rPr>
        <w:t>Type d’association</w:t>
      </w:r>
      <w:bookmarkEnd w:id="221"/>
    </w:p>
    <w:p w:rsidR="00D33452" w:rsidRPr="00B6647E" w:rsidRDefault="00D33452" w:rsidP="00551F55">
      <w:pPr>
        <w:spacing w:line="240" w:lineRule="auto"/>
        <w:jc w:val="both"/>
        <w:rPr>
          <w:rFonts w:ascii="Arial" w:hAnsi="Arial" w:cs="Arial"/>
          <w:sz w:val="20"/>
          <w:szCs w:val="20"/>
        </w:rPr>
      </w:pPr>
      <w:r w:rsidRPr="00B6647E">
        <w:rPr>
          <w:rFonts w:ascii="Arial" w:hAnsi="Arial" w:cs="Arial"/>
          <w:sz w:val="20"/>
          <w:szCs w:val="20"/>
        </w:rPr>
        <w:t>Au cours</w:t>
      </w:r>
      <w:r w:rsidR="00FB0E4A" w:rsidRPr="00B6647E">
        <w:rPr>
          <w:rFonts w:ascii="Arial" w:hAnsi="Arial" w:cs="Arial"/>
          <w:sz w:val="20"/>
          <w:szCs w:val="20"/>
        </w:rPr>
        <w:t xml:space="preserve"> de la saison A, les parcelles en</w:t>
      </w:r>
      <w:r w:rsidRPr="00B6647E">
        <w:rPr>
          <w:rFonts w:ascii="Arial" w:hAnsi="Arial" w:cs="Arial"/>
          <w:sz w:val="20"/>
          <w:szCs w:val="20"/>
        </w:rPr>
        <w:t xml:space="preserve"> cultures pures représentent 32,1% des parcelles qui portent des cultures vivrières contre 39,5% en saison B et 59,9% en saison C. </w:t>
      </w:r>
      <w:r w:rsidR="00487306" w:rsidRPr="00B6647E">
        <w:rPr>
          <w:rFonts w:ascii="Arial" w:hAnsi="Arial" w:cs="Arial"/>
          <w:sz w:val="20"/>
          <w:szCs w:val="20"/>
        </w:rPr>
        <w:t>Les parcelles avec des cultures associées constituent 67,9% en saison A (26,2% de parcelles avec deux cultures, 23% avec trois cultures, 14,2% avec quatre cultures et 4,5% avec cinq cultures), 60,5% pendant la saison B (29,</w:t>
      </w:r>
      <w:r w:rsidR="00D43A30" w:rsidRPr="00B6647E">
        <w:rPr>
          <w:rFonts w:ascii="Arial" w:hAnsi="Arial" w:cs="Arial"/>
          <w:sz w:val="20"/>
          <w:szCs w:val="20"/>
        </w:rPr>
        <w:t>3</w:t>
      </w:r>
      <w:r w:rsidR="00487306" w:rsidRPr="00B6647E">
        <w:rPr>
          <w:rFonts w:ascii="Arial" w:hAnsi="Arial" w:cs="Arial"/>
          <w:sz w:val="20"/>
          <w:szCs w:val="20"/>
        </w:rPr>
        <w:t xml:space="preserve">% de parcelles avec deux cultures, </w:t>
      </w:r>
      <w:r w:rsidR="00D43A30" w:rsidRPr="00B6647E">
        <w:rPr>
          <w:rFonts w:ascii="Arial" w:hAnsi="Arial" w:cs="Arial"/>
          <w:sz w:val="20"/>
          <w:szCs w:val="20"/>
        </w:rPr>
        <w:t>18,8</w:t>
      </w:r>
      <w:r w:rsidR="00487306" w:rsidRPr="00B6647E">
        <w:rPr>
          <w:rFonts w:ascii="Arial" w:hAnsi="Arial" w:cs="Arial"/>
          <w:sz w:val="20"/>
          <w:szCs w:val="20"/>
        </w:rPr>
        <w:t xml:space="preserve">% avec trois cultures, </w:t>
      </w:r>
      <w:r w:rsidR="00D43A30" w:rsidRPr="00B6647E">
        <w:rPr>
          <w:rFonts w:ascii="Arial" w:hAnsi="Arial" w:cs="Arial"/>
          <w:sz w:val="20"/>
          <w:szCs w:val="20"/>
        </w:rPr>
        <w:t>9,5</w:t>
      </w:r>
      <w:r w:rsidR="00487306" w:rsidRPr="00B6647E">
        <w:rPr>
          <w:rFonts w:ascii="Arial" w:hAnsi="Arial" w:cs="Arial"/>
          <w:sz w:val="20"/>
          <w:szCs w:val="20"/>
        </w:rPr>
        <w:t xml:space="preserve">% avec quatre cultures et </w:t>
      </w:r>
      <w:r w:rsidR="00D43A30" w:rsidRPr="00B6647E">
        <w:rPr>
          <w:rFonts w:ascii="Arial" w:hAnsi="Arial" w:cs="Arial"/>
          <w:sz w:val="20"/>
          <w:szCs w:val="20"/>
        </w:rPr>
        <w:t>2,9</w:t>
      </w:r>
      <w:r w:rsidR="00487306" w:rsidRPr="00B6647E">
        <w:rPr>
          <w:rFonts w:ascii="Arial" w:hAnsi="Arial" w:cs="Arial"/>
          <w:sz w:val="20"/>
          <w:szCs w:val="20"/>
        </w:rPr>
        <w:t>% avec cinq cultures) et 40,2% au cours de la saison C (2</w:t>
      </w:r>
      <w:r w:rsidR="00D43A30" w:rsidRPr="00B6647E">
        <w:rPr>
          <w:rFonts w:ascii="Arial" w:hAnsi="Arial" w:cs="Arial"/>
          <w:sz w:val="20"/>
          <w:szCs w:val="20"/>
        </w:rPr>
        <w:t>8</w:t>
      </w:r>
      <w:r w:rsidR="00487306" w:rsidRPr="00B6647E">
        <w:rPr>
          <w:rFonts w:ascii="Arial" w:hAnsi="Arial" w:cs="Arial"/>
          <w:sz w:val="20"/>
          <w:szCs w:val="20"/>
        </w:rPr>
        <w:t>,</w:t>
      </w:r>
      <w:r w:rsidR="00D43A30" w:rsidRPr="00B6647E">
        <w:rPr>
          <w:rFonts w:ascii="Arial" w:hAnsi="Arial" w:cs="Arial"/>
          <w:sz w:val="20"/>
          <w:szCs w:val="20"/>
        </w:rPr>
        <w:t>5</w:t>
      </w:r>
      <w:r w:rsidR="00487306" w:rsidRPr="00B6647E">
        <w:rPr>
          <w:rFonts w:ascii="Arial" w:hAnsi="Arial" w:cs="Arial"/>
          <w:sz w:val="20"/>
          <w:szCs w:val="20"/>
        </w:rPr>
        <w:t xml:space="preserve">% de parcelles avec deux cultures, </w:t>
      </w:r>
      <w:r w:rsidR="00D43A30" w:rsidRPr="00B6647E">
        <w:rPr>
          <w:rFonts w:ascii="Arial" w:hAnsi="Arial" w:cs="Arial"/>
          <w:sz w:val="20"/>
          <w:szCs w:val="20"/>
        </w:rPr>
        <w:t>8,9</w:t>
      </w:r>
      <w:r w:rsidR="00487306" w:rsidRPr="00B6647E">
        <w:rPr>
          <w:rFonts w:ascii="Arial" w:hAnsi="Arial" w:cs="Arial"/>
          <w:sz w:val="20"/>
          <w:szCs w:val="20"/>
        </w:rPr>
        <w:t xml:space="preserve">% avec trois cultures, </w:t>
      </w:r>
      <w:r w:rsidR="00D43A30" w:rsidRPr="00B6647E">
        <w:rPr>
          <w:rFonts w:ascii="Arial" w:hAnsi="Arial" w:cs="Arial"/>
          <w:sz w:val="20"/>
          <w:szCs w:val="20"/>
        </w:rPr>
        <w:t>2,4</w:t>
      </w:r>
      <w:r w:rsidR="00487306" w:rsidRPr="00B6647E">
        <w:rPr>
          <w:rFonts w:ascii="Arial" w:hAnsi="Arial" w:cs="Arial"/>
          <w:sz w:val="20"/>
          <w:szCs w:val="20"/>
        </w:rPr>
        <w:t xml:space="preserve">% avec quatre cultures et </w:t>
      </w:r>
      <w:r w:rsidR="00D43A30" w:rsidRPr="00B6647E">
        <w:rPr>
          <w:rFonts w:ascii="Arial" w:hAnsi="Arial" w:cs="Arial"/>
          <w:sz w:val="20"/>
          <w:szCs w:val="20"/>
        </w:rPr>
        <w:t>0,4</w:t>
      </w:r>
      <w:r w:rsidR="00487306" w:rsidRPr="00B6647E">
        <w:rPr>
          <w:rFonts w:ascii="Arial" w:hAnsi="Arial" w:cs="Arial"/>
          <w:sz w:val="20"/>
          <w:szCs w:val="20"/>
        </w:rPr>
        <w:t xml:space="preserve">% avec cinq cultures). </w:t>
      </w:r>
      <w:r w:rsidRPr="00B6647E">
        <w:rPr>
          <w:rFonts w:ascii="Arial" w:hAnsi="Arial" w:cs="Arial"/>
          <w:sz w:val="20"/>
          <w:szCs w:val="20"/>
        </w:rPr>
        <w:t xml:space="preserve">On constate </w:t>
      </w:r>
      <w:r w:rsidR="00B249BE" w:rsidRPr="00B6647E">
        <w:rPr>
          <w:rFonts w:ascii="Arial" w:hAnsi="Arial" w:cs="Arial"/>
          <w:sz w:val="20"/>
          <w:szCs w:val="20"/>
        </w:rPr>
        <w:t>une quasi</w:t>
      </w:r>
      <w:r w:rsidRPr="00B6647E">
        <w:rPr>
          <w:rFonts w:ascii="Arial" w:hAnsi="Arial" w:cs="Arial"/>
          <w:sz w:val="20"/>
          <w:szCs w:val="20"/>
        </w:rPr>
        <w:t xml:space="preserve"> inversion </w:t>
      </w:r>
      <w:r w:rsidR="00F365C7" w:rsidRPr="00B6647E">
        <w:rPr>
          <w:rFonts w:ascii="Arial" w:hAnsi="Arial" w:cs="Arial"/>
          <w:sz w:val="20"/>
          <w:szCs w:val="20"/>
        </w:rPr>
        <w:t>des</w:t>
      </w:r>
      <w:r w:rsidR="00B249BE" w:rsidRPr="00B6647E">
        <w:rPr>
          <w:rFonts w:ascii="Arial" w:hAnsi="Arial" w:cs="Arial"/>
          <w:sz w:val="20"/>
          <w:szCs w:val="20"/>
        </w:rPr>
        <w:t xml:space="preserve"> proportions des parcelles en cultures pures et celles en cultures associées </w:t>
      </w:r>
      <w:r w:rsidR="00F365C7" w:rsidRPr="00B6647E">
        <w:rPr>
          <w:rFonts w:ascii="Arial" w:hAnsi="Arial" w:cs="Arial"/>
          <w:sz w:val="20"/>
          <w:szCs w:val="20"/>
        </w:rPr>
        <w:t>entre l</w:t>
      </w:r>
      <w:r w:rsidR="00B249BE" w:rsidRPr="00B6647E">
        <w:rPr>
          <w:rFonts w:ascii="Arial" w:hAnsi="Arial" w:cs="Arial"/>
          <w:sz w:val="20"/>
          <w:szCs w:val="20"/>
        </w:rPr>
        <w:t>es</w:t>
      </w:r>
      <w:r w:rsidRPr="00B6647E">
        <w:rPr>
          <w:rFonts w:ascii="Arial" w:hAnsi="Arial" w:cs="Arial"/>
          <w:sz w:val="20"/>
          <w:szCs w:val="20"/>
        </w:rPr>
        <w:t xml:space="preserve"> saisons A et B </w:t>
      </w:r>
      <w:r w:rsidR="00B249BE" w:rsidRPr="00B6647E">
        <w:rPr>
          <w:rFonts w:ascii="Arial" w:hAnsi="Arial" w:cs="Arial"/>
          <w:sz w:val="20"/>
          <w:szCs w:val="20"/>
        </w:rPr>
        <w:t>d’une part et la saison C</w:t>
      </w:r>
      <w:r w:rsidR="00BC5AAE" w:rsidRPr="00B6647E">
        <w:rPr>
          <w:rFonts w:ascii="Arial" w:hAnsi="Arial" w:cs="Arial"/>
          <w:sz w:val="20"/>
          <w:szCs w:val="20"/>
        </w:rPr>
        <w:t xml:space="preserve"> parce qu’en saison C une partie des parcelles de cultures </w:t>
      </w:r>
      <w:r w:rsidR="00BC5AAE" w:rsidRPr="00B6647E">
        <w:rPr>
          <w:rFonts w:ascii="Arial" w:hAnsi="Arial" w:cs="Arial"/>
          <w:sz w:val="20"/>
          <w:szCs w:val="20"/>
        </w:rPr>
        <w:lastRenderedPageBreak/>
        <w:t>saisonnières sont laissées en friches et du coup ce sont les cultures permanentes moins propices aux associations en cette période qui dominent.</w:t>
      </w:r>
      <w:r w:rsidR="00F43D7C" w:rsidRPr="00B6647E">
        <w:rPr>
          <w:rFonts w:ascii="Arial" w:hAnsi="Arial" w:cs="Arial"/>
          <w:sz w:val="20"/>
          <w:szCs w:val="20"/>
        </w:rPr>
        <w:t xml:space="preserve"> </w:t>
      </w:r>
    </w:p>
    <w:p w:rsidR="00677234" w:rsidRPr="00B6647E" w:rsidRDefault="00677234" w:rsidP="00551F55">
      <w:pPr>
        <w:spacing w:line="240" w:lineRule="auto"/>
        <w:jc w:val="both"/>
        <w:rPr>
          <w:rFonts w:ascii="Arial" w:hAnsi="Arial" w:cs="Arial"/>
          <w:b/>
          <w:sz w:val="20"/>
          <w:szCs w:val="20"/>
        </w:rPr>
      </w:pPr>
      <w:r w:rsidRPr="00B6647E">
        <w:rPr>
          <w:rFonts w:ascii="Arial" w:hAnsi="Arial" w:cs="Arial"/>
          <w:b/>
          <w:sz w:val="20"/>
          <w:szCs w:val="20"/>
        </w:rPr>
        <w:t xml:space="preserve">Tableau </w:t>
      </w:r>
      <w:r w:rsidR="00EE32E1">
        <w:rPr>
          <w:rFonts w:ascii="Arial" w:hAnsi="Arial" w:cs="Arial"/>
          <w:b/>
          <w:sz w:val="20"/>
          <w:szCs w:val="20"/>
        </w:rPr>
        <w:t>41</w:t>
      </w:r>
      <w:r w:rsidRPr="00B6647E">
        <w:rPr>
          <w:rFonts w:ascii="Arial" w:hAnsi="Arial" w:cs="Arial"/>
          <w:b/>
          <w:sz w:val="20"/>
          <w:szCs w:val="20"/>
        </w:rPr>
        <w:t> : Proportion de parcelles par type d’association et par saison</w:t>
      </w:r>
    </w:p>
    <w:p w:rsidR="00534094" w:rsidRPr="00B6647E" w:rsidRDefault="00D43A30" w:rsidP="00551F55">
      <w:pPr>
        <w:spacing w:line="240" w:lineRule="auto"/>
        <w:jc w:val="both"/>
        <w:rPr>
          <w:rFonts w:cs="Arial"/>
          <w:sz w:val="20"/>
          <w:szCs w:val="20"/>
        </w:rPr>
      </w:pPr>
      <w:r w:rsidRPr="00B6647E">
        <w:rPr>
          <w:noProof/>
          <w:szCs w:val="20"/>
          <w:lang w:val="fr-FR" w:eastAsia="fr-FR"/>
        </w:rPr>
        <w:drawing>
          <wp:inline distT="0" distB="0" distL="0" distR="0">
            <wp:extent cx="3829050" cy="2724150"/>
            <wp:effectExtent l="19050" t="0" r="0" b="0"/>
            <wp:docPr id="5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srcRect/>
                    <a:stretch>
                      <a:fillRect/>
                    </a:stretch>
                  </pic:blipFill>
                  <pic:spPr bwMode="auto">
                    <a:xfrm>
                      <a:off x="0" y="0"/>
                      <a:ext cx="3829050" cy="2724150"/>
                    </a:xfrm>
                    <a:prstGeom prst="rect">
                      <a:avLst/>
                    </a:prstGeom>
                    <a:noFill/>
                    <a:ln w="9525">
                      <a:noFill/>
                      <a:miter lim="800000"/>
                      <a:headEnd/>
                      <a:tailEnd/>
                    </a:ln>
                  </pic:spPr>
                </pic:pic>
              </a:graphicData>
            </a:graphic>
          </wp:inline>
        </w:drawing>
      </w:r>
    </w:p>
    <w:p w:rsidR="00534094" w:rsidRPr="00B6647E" w:rsidRDefault="00937178" w:rsidP="00551F55">
      <w:pPr>
        <w:spacing w:line="240" w:lineRule="auto"/>
        <w:jc w:val="both"/>
        <w:rPr>
          <w:rFonts w:ascii="Arial" w:hAnsi="Arial" w:cs="Arial"/>
          <w:i/>
          <w:sz w:val="20"/>
          <w:szCs w:val="20"/>
        </w:rPr>
      </w:pPr>
      <w:r w:rsidRPr="00B6647E">
        <w:rPr>
          <w:rFonts w:ascii="Arial" w:hAnsi="Arial" w:cs="Arial"/>
          <w:i/>
          <w:sz w:val="20"/>
          <w:szCs w:val="20"/>
        </w:rPr>
        <w:t xml:space="preserve">a) </w:t>
      </w:r>
      <w:r w:rsidR="00534094" w:rsidRPr="00B6647E">
        <w:rPr>
          <w:rFonts w:ascii="Arial" w:hAnsi="Arial" w:cs="Arial"/>
          <w:i/>
          <w:sz w:val="20"/>
          <w:szCs w:val="20"/>
        </w:rPr>
        <w:t>Cultures pures</w:t>
      </w:r>
    </w:p>
    <w:p w:rsidR="00574848" w:rsidRPr="00B6647E" w:rsidRDefault="00574848" w:rsidP="00551F55">
      <w:pPr>
        <w:spacing w:line="240" w:lineRule="auto"/>
        <w:jc w:val="both"/>
        <w:rPr>
          <w:rFonts w:ascii="Arial" w:hAnsi="Arial" w:cs="Arial"/>
          <w:sz w:val="20"/>
          <w:szCs w:val="20"/>
        </w:rPr>
      </w:pPr>
      <w:r w:rsidRPr="00B6647E">
        <w:rPr>
          <w:rFonts w:ascii="Arial" w:hAnsi="Arial" w:cs="Arial"/>
          <w:sz w:val="20"/>
          <w:szCs w:val="20"/>
        </w:rPr>
        <w:t>En saison A, les principales cultures pures sont : la patate douce (</w:t>
      </w:r>
      <w:r w:rsidR="00FA02F7" w:rsidRPr="00B6647E">
        <w:rPr>
          <w:rFonts w:ascii="Arial" w:hAnsi="Arial" w:cs="Arial"/>
          <w:sz w:val="20"/>
          <w:szCs w:val="20"/>
        </w:rPr>
        <w:t>8,8</w:t>
      </w:r>
      <w:r w:rsidRPr="00B6647E">
        <w:rPr>
          <w:rFonts w:ascii="Arial" w:hAnsi="Arial" w:cs="Arial"/>
          <w:sz w:val="20"/>
          <w:szCs w:val="20"/>
        </w:rPr>
        <w:t>%), le manioc (</w:t>
      </w:r>
      <w:r w:rsidR="00FA02F7" w:rsidRPr="00B6647E">
        <w:rPr>
          <w:rFonts w:ascii="Arial" w:hAnsi="Arial" w:cs="Arial"/>
          <w:sz w:val="20"/>
          <w:szCs w:val="20"/>
        </w:rPr>
        <w:t>8,2</w:t>
      </w:r>
      <w:r w:rsidRPr="00B6647E">
        <w:rPr>
          <w:rFonts w:ascii="Arial" w:hAnsi="Arial" w:cs="Arial"/>
          <w:sz w:val="20"/>
          <w:szCs w:val="20"/>
        </w:rPr>
        <w:t>%), la banane (5%), le maïs (</w:t>
      </w:r>
      <w:r w:rsidR="00FA02F7" w:rsidRPr="00B6647E">
        <w:rPr>
          <w:rFonts w:ascii="Arial" w:hAnsi="Arial" w:cs="Arial"/>
          <w:sz w:val="20"/>
          <w:szCs w:val="20"/>
        </w:rPr>
        <w:t>3,8</w:t>
      </w:r>
      <w:r w:rsidRPr="00B6647E">
        <w:rPr>
          <w:rFonts w:ascii="Arial" w:hAnsi="Arial" w:cs="Arial"/>
          <w:sz w:val="20"/>
          <w:szCs w:val="20"/>
        </w:rPr>
        <w:t>%), et le haricot (</w:t>
      </w:r>
      <w:r w:rsidR="00FA02F7" w:rsidRPr="00B6647E">
        <w:rPr>
          <w:rFonts w:ascii="Arial" w:hAnsi="Arial" w:cs="Arial"/>
          <w:sz w:val="20"/>
          <w:szCs w:val="20"/>
        </w:rPr>
        <w:t>2</w:t>
      </w:r>
      <w:r w:rsidRPr="00B6647E">
        <w:rPr>
          <w:rFonts w:ascii="Arial" w:hAnsi="Arial" w:cs="Arial"/>
          <w:sz w:val="20"/>
          <w:szCs w:val="20"/>
        </w:rPr>
        <w:t>,</w:t>
      </w:r>
      <w:r w:rsidR="00FA02F7" w:rsidRPr="00B6647E">
        <w:rPr>
          <w:rFonts w:ascii="Arial" w:hAnsi="Arial" w:cs="Arial"/>
          <w:sz w:val="20"/>
          <w:szCs w:val="20"/>
        </w:rPr>
        <w:t>1</w:t>
      </w:r>
      <w:r w:rsidRPr="00B6647E">
        <w:rPr>
          <w:rFonts w:ascii="Arial" w:hAnsi="Arial" w:cs="Arial"/>
          <w:sz w:val="20"/>
          <w:szCs w:val="20"/>
        </w:rPr>
        <w:t xml:space="preserve">%). Au cours de la saison B, les proportions les plus élevées de parcelles </w:t>
      </w:r>
      <w:r w:rsidR="00D90EC7" w:rsidRPr="00B6647E">
        <w:rPr>
          <w:rFonts w:ascii="Arial" w:hAnsi="Arial" w:cs="Arial"/>
          <w:sz w:val="20"/>
          <w:szCs w:val="20"/>
        </w:rPr>
        <w:t>cultivées</w:t>
      </w:r>
      <w:r w:rsidRPr="00B6647E">
        <w:rPr>
          <w:rFonts w:ascii="Arial" w:hAnsi="Arial" w:cs="Arial"/>
          <w:sz w:val="20"/>
          <w:szCs w:val="20"/>
        </w:rPr>
        <w:t xml:space="preserve"> en culture pure ont été observées pour le manioc (</w:t>
      </w:r>
      <w:r w:rsidR="00FA02F7" w:rsidRPr="00B6647E">
        <w:rPr>
          <w:rFonts w:ascii="Arial" w:hAnsi="Arial" w:cs="Arial"/>
          <w:sz w:val="20"/>
          <w:szCs w:val="20"/>
        </w:rPr>
        <w:t>10</w:t>
      </w:r>
      <w:r w:rsidRPr="00B6647E">
        <w:rPr>
          <w:rFonts w:ascii="Arial" w:hAnsi="Arial" w:cs="Arial"/>
          <w:sz w:val="20"/>
          <w:szCs w:val="20"/>
        </w:rPr>
        <w:t>%), le haricot (</w:t>
      </w:r>
      <w:r w:rsidR="00FA02F7" w:rsidRPr="00B6647E">
        <w:rPr>
          <w:rFonts w:ascii="Arial" w:hAnsi="Arial" w:cs="Arial"/>
          <w:sz w:val="20"/>
          <w:szCs w:val="20"/>
        </w:rPr>
        <w:t>8,7</w:t>
      </w:r>
      <w:r w:rsidRPr="00B6647E">
        <w:rPr>
          <w:rFonts w:ascii="Arial" w:hAnsi="Arial" w:cs="Arial"/>
          <w:sz w:val="20"/>
          <w:szCs w:val="20"/>
        </w:rPr>
        <w:t>%), la patate douce (</w:t>
      </w:r>
      <w:r w:rsidR="00FA02F7" w:rsidRPr="00B6647E">
        <w:rPr>
          <w:rFonts w:ascii="Arial" w:hAnsi="Arial" w:cs="Arial"/>
          <w:sz w:val="20"/>
          <w:szCs w:val="20"/>
        </w:rPr>
        <w:t>8,3</w:t>
      </w:r>
      <w:r w:rsidRPr="00B6647E">
        <w:rPr>
          <w:rFonts w:ascii="Arial" w:hAnsi="Arial" w:cs="Arial"/>
          <w:sz w:val="20"/>
          <w:szCs w:val="20"/>
        </w:rPr>
        <w:t>%), la banane (</w:t>
      </w:r>
      <w:r w:rsidR="00FA02F7" w:rsidRPr="00B6647E">
        <w:rPr>
          <w:rFonts w:ascii="Arial" w:hAnsi="Arial" w:cs="Arial"/>
          <w:sz w:val="20"/>
          <w:szCs w:val="20"/>
        </w:rPr>
        <w:t>5,4</w:t>
      </w:r>
      <w:r w:rsidRPr="00B6647E">
        <w:rPr>
          <w:rFonts w:ascii="Arial" w:hAnsi="Arial" w:cs="Arial"/>
          <w:sz w:val="20"/>
          <w:szCs w:val="20"/>
        </w:rPr>
        <w:t>%), le riz (</w:t>
      </w:r>
      <w:r w:rsidR="00FA02F7" w:rsidRPr="00B6647E">
        <w:rPr>
          <w:rFonts w:ascii="Arial" w:hAnsi="Arial" w:cs="Arial"/>
          <w:sz w:val="20"/>
          <w:szCs w:val="20"/>
        </w:rPr>
        <w:t>3</w:t>
      </w:r>
      <w:r w:rsidRPr="00B6647E">
        <w:rPr>
          <w:rFonts w:ascii="Arial" w:hAnsi="Arial" w:cs="Arial"/>
          <w:sz w:val="20"/>
          <w:szCs w:val="20"/>
        </w:rPr>
        <w:t>,</w:t>
      </w:r>
      <w:r w:rsidR="00FA02F7" w:rsidRPr="00B6647E">
        <w:rPr>
          <w:rFonts w:ascii="Arial" w:hAnsi="Arial" w:cs="Arial"/>
          <w:sz w:val="20"/>
          <w:szCs w:val="20"/>
        </w:rPr>
        <w:t>1</w:t>
      </w:r>
      <w:r w:rsidRPr="00B6647E">
        <w:rPr>
          <w:rFonts w:ascii="Arial" w:hAnsi="Arial" w:cs="Arial"/>
          <w:sz w:val="20"/>
          <w:szCs w:val="20"/>
        </w:rPr>
        <w:t xml:space="preserve">%). Pendant la saison C, </w:t>
      </w:r>
      <w:r w:rsidR="005552D5" w:rsidRPr="00B6647E">
        <w:rPr>
          <w:rFonts w:ascii="Arial" w:hAnsi="Arial" w:cs="Arial"/>
          <w:sz w:val="20"/>
          <w:szCs w:val="20"/>
        </w:rPr>
        <w:t>l</w:t>
      </w:r>
      <w:r w:rsidRPr="00B6647E">
        <w:rPr>
          <w:rFonts w:ascii="Arial" w:hAnsi="Arial" w:cs="Arial"/>
          <w:sz w:val="20"/>
          <w:szCs w:val="20"/>
        </w:rPr>
        <w:t>es proportions les plus élevées de parcelles en culture pure ont été le manioc (</w:t>
      </w:r>
      <w:r w:rsidR="00FA02F7" w:rsidRPr="00B6647E">
        <w:rPr>
          <w:rFonts w:ascii="Arial" w:hAnsi="Arial" w:cs="Arial"/>
          <w:sz w:val="20"/>
          <w:szCs w:val="20"/>
        </w:rPr>
        <w:t>21,5</w:t>
      </w:r>
      <w:r w:rsidRPr="00B6647E">
        <w:rPr>
          <w:rFonts w:ascii="Arial" w:hAnsi="Arial" w:cs="Arial"/>
          <w:sz w:val="20"/>
          <w:szCs w:val="20"/>
        </w:rPr>
        <w:t>%), la banane (</w:t>
      </w:r>
      <w:r w:rsidR="00FA02F7" w:rsidRPr="00B6647E">
        <w:rPr>
          <w:rFonts w:ascii="Arial" w:hAnsi="Arial" w:cs="Arial"/>
          <w:sz w:val="20"/>
          <w:szCs w:val="20"/>
        </w:rPr>
        <w:t>17,5</w:t>
      </w:r>
      <w:r w:rsidRPr="00B6647E">
        <w:rPr>
          <w:rFonts w:ascii="Arial" w:hAnsi="Arial" w:cs="Arial"/>
          <w:sz w:val="20"/>
          <w:szCs w:val="20"/>
        </w:rPr>
        <w:t>%), la patate douce (</w:t>
      </w:r>
      <w:r w:rsidR="00FA02F7" w:rsidRPr="00B6647E">
        <w:rPr>
          <w:rFonts w:ascii="Arial" w:hAnsi="Arial" w:cs="Arial"/>
          <w:sz w:val="20"/>
          <w:szCs w:val="20"/>
        </w:rPr>
        <w:t>13</w:t>
      </w:r>
      <w:r w:rsidRPr="00B6647E">
        <w:rPr>
          <w:rFonts w:ascii="Arial" w:hAnsi="Arial" w:cs="Arial"/>
          <w:sz w:val="20"/>
          <w:szCs w:val="20"/>
        </w:rPr>
        <w:t xml:space="preserve">%). Le haricot vient loin derrière avec seulement </w:t>
      </w:r>
      <w:r w:rsidR="00FA02F7" w:rsidRPr="00B6647E">
        <w:rPr>
          <w:rFonts w:ascii="Arial" w:hAnsi="Arial" w:cs="Arial"/>
          <w:sz w:val="20"/>
          <w:szCs w:val="20"/>
        </w:rPr>
        <w:t>2</w:t>
      </w:r>
      <w:r w:rsidRPr="00B6647E">
        <w:rPr>
          <w:rFonts w:ascii="Arial" w:hAnsi="Arial" w:cs="Arial"/>
          <w:sz w:val="20"/>
          <w:szCs w:val="20"/>
        </w:rPr>
        <w:t>% des parcelles en pure.</w:t>
      </w:r>
    </w:p>
    <w:p w:rsidR="00D33452" w:rsidRPr="00B6647E" w:rsidRDefault="00D33452" w:rsidP="00551F55">
      <w:pPr>
        <w:spacing w:line="240" w:lineRule="auto"/>
        <w:jc w:val="both"/>
        <w:rPr>
          <w:rFonts w:ascii="Arial" w:hAnsi="Arial" w:cs="Arial"/>
          <w:b/>
          <w:sz w:val="20"/>
          <w:szCs w:val="20"/>
        </w:rPr>
      </w:pPr>
      <w:r w:rsidRPr="00B6647E">
        <w:rPr>
          <w:rFonts w:ascii="Arial" w:hAnsi="Arial" w:cs="Arial"/>
          <w:b/>
          <w:sz w:val="20"/>
          <w:szCs w:val="20"/>
        </w:rPr>
        <w:t>Tableau</w:t>
      </w:r>
      <w:r w:rsidR="00EE32E1">
        <w:rPr>
          <w:rFonts w:ascii="Arial" w:hAnsi="Arial" w:cs="Arial"/>
          <w:b/>
          <w:sz w:val="20"/>
          <w:szCs w:val="20"/>
        </w:rPr>
        <w:t xml:space="preserve"> 42</w:t>
      </w:r>
      <w:r w:rsidRPr="00B6647E">
        <w:rPr>
          <w:rFonts w:ascii="Arial" w:hAnsi="Arial" w:cs="Arial"/>
          <w:b/>
          <w:sz w:val="20"/>
          <w:szCs w:val="20"/>
        </w:rPr>
        <w:t xml:space="preserve"> : Proportion de parcelles </w:t>
      </w:r>
      <w:r w:rsidR="00513D2C" w:rsidRPr="00B6647E">
        <w:rPr>
          <w:rFonts w:ascii="Arial" w:hAnsi="Arial" w:cs="Arial"/>
          <w:b/>
          <w:sz w:val="20"/>
          <w:szCs w:val="20"/>
        </w:rPr>
        <w:t>portant l</w:t>
      </w:r>
      <w:r w:rsidRPr="00B6647E">
        <w:rPr>
          <w:rFonts w:ascii="Arial" w:hAnsi="Arial" w:cs="Arial"/>
          <w:b/>
          <w:sz w:val="20"/>
          <w:szCs w:val="20"/>
        </w:rPr>
        <w:t>es principales cultures pures par saison</w:t>
      </w:r>
    </w:p>
    <w:p w:rsidR="00D33452" w:rsidRPr="00B6647E" w:rsidRDefault="00426FB5" w:rsidP="00551F55">
      <w:pPr>
        <w:spacing w:line="240" w:lineRule="auto"/>
        <w:jc w:val="both"/>
        <w:rPr>
          <w:rFonts w:ascii="Arial" w:hAnsi="Arial" w:cs="Arial"/>
          <w:sz w:val="20"/>
          <w:szCs w:val="20"/>
        </w:rPr>
      </w:pPr>
      <w:r w:rsidRPr="00B6647E">
        <w:rPr>
          <w:noProof/>
          <w:szCs w:val="20"/>
          <w:lang w:val="fr-FR" w:eastAsia="fr-FR"/>
        </w:rPr>
        <w:drawing>
          <wp:inline distT="0" distB="0" distL="0" distR="0">
            <wp:extent cx="5619750" cy="1838325"/>
            <wp:effectExtent l="19050" t="0" r="0" b="0"/>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a:stretch>
                      <a:fillRect/>
                    </a:stretch>
                  </pic:blipFill>
                  <pic:spPr bwMode="auto">
                    <a:xfrm>
                      <a:off x="0" y="0"/>
                      <a:ext cx="5619750" cy="1838325"/>
                    </a:xfrm>
                    <a:prstGeom prst="rect">
                      <a:avLst/>
                    </a:prstGeom>
                    <a:noFill/>
                    <a:ln w="9525">
                      <a:noFill/>
                      <a:miter lim="800000"/>
                      <a:headEnd/>
                      <a:tailEnd/>
                    </a:ln>
                  </pic:spPr>
                </pic:pic>
              </a:graphicData>
            </a:graphic>
          </wp:inline>
        </w:drawing>
      </w:r>
    </w:p>
    <w:p w:rsidR="00635E74" w:rsidRPr="00B6647E" w:rsidRDefault="00F365C7" w:rsidP="00551F55">
      <w:pPr>
        <w:spacing w:line="240" w:lineRule="auto"/>
        <w:jc w:val="both"/>
        <w:rPr>
          <w:rFonts w:ascii="Arial" w:hAnsi="Arial" w:cs="Arial"/>
          <w:sz w:val="20"/>
          <w:szCs w:val="20"/>
        </w:rPr>
      </w:pPr>
      <w:r w:rsidRPr="00B6647E">
        <w:rPr>
          <w:rFonts w:ascii="Arial" w:hAnsi="Arial" w:cs="Arial"/>
          <w:sz w:val="20"/>
          <w:szCs w:val="20"/>
        </w:rPr>
        <w:t xml:space="preserve">On note que la patate douce, le manioc, la banane et le haricot font partie des cinq cultures les plus cultivées en pure au cours des trois saisons. A ces quatre cultures s’ajoutent le maïs en saison A, le riz au cours de la saison B et le blé pendant la saison </w:t>
      </w:r>
      <w:r w:rsidR="00D90EC7" w:rsidRPr="00B6647E">
        <w:rPr>
          <w:rFonts w:ascii="Arial" w:hAnsi="Arial" w:cs="Arial"/>
          <w:sz w:val="20"/>
          <w:szCs w:val="20"/>
        </w:rPr>
        <w:t>C</w:t>
      </w:r>
      <w:r w:rsidRPr="00B6647E">
        <w:rPr>
          <w:rFonts w:ascii="Arial" w:hAnsi="Arial" w:cs="Arial"/>
          <w:sz w:val="20"/>
          <w:szCs w:val="20"/>
        </w:rPr>
        <w:t>.</w:t>
      </w:r>
    </w:p>
    <w:p w:rsidR="00534094" w:rsidRPr="00B6647E" w:rsidRDefault="00937178" w:rsidP="00551F55">
      <w:pPr>
        <w:spacing w:line="240" w:lineRule="auto"/>
        <w:jc w:val="both"/>
        <w:rPr>
          <w:rFonts w:ascii="Arial" w:hAnsi="Arial" w:cs="Arial"/>
          <w:i/>
          <w:sz w:val="20"/>
          <w:szCs w:val="20"/>
        </w:rPr>
      </w:pPr>
      <w:r w:rsidRPr="00B6647E">
        <w:rPr>
          <w:rFonts w:ascii="Arial" w:hAnsi="Arial" w:cs="Arial"/>
          <w:i/>
          <w:sz w:val="20"/>
          <w:szCs w:val="20"/>
        </w:rPr>
        <w:t xml:space="preserve">b) </w:t>
      </w:r>
      <w:r w:rsidR="00534094" w:rsidRPr="00B6647E">
        <w:rPr>
          <w:rFonts w:ascii="Arial" w:hAnsi="Arial" w:cs="Arial"/>
          <w:i/>
          <w:sz w:val="20"/>
          <w:szCs w:val="20"/>
        </w:rPr>
        <w:t>Cultures associées</w:t>
      </w:r>
    </w:p>
    <w:p w:rsidR="00635E74" w:rsidRPr="00B6647E" w:rsidRDefault="00534094" w:rsidP="00551F55">
      <w:pPr>
        <w:spacing w:line="240" w:lineRule="auto"/>
        <w:jc w:val="both"/>
        <w:rPr>
          <w:rFonts w:ascii="Arial" w:hAnsi="Arial" w:cs="Arial"/>
          <w:sz w:val="20"/>
          <w:szCs w:val="20"/>
        </w:rPr>
      </w:pPr>
      <w:r w:rsidRPr="00B6647E">
        <w:rPr>
          <w:rFonts w:ascii="Arial" w:hAnsi="Arial" w:cs="Arial"/>
          <w:sz w:val="20"/>
          <w:szCs w:val="20"/>
        </w:rPr>
        <w:t xml:space="preserve">Au cours de la saison A, l’enquête a estimé que près de la moitié des parcelles sont occupées par des associations de deux ou trois cultures. Parmi ces parcelles portant des associations de deux cultures, les plus nombreuses sont celles avec les associations : </w:t>
      </w:r>
      <w:r w:rsidRPr="00B6647E">
        <w:rPr>
          <w:rFonts w:ascii="Arial" w:hAnsi="Arial" w:cs="Arial"/>
          <w:i/>
          <w:sz w:val="20"/>
          <w:szCs w:val="20"/>
        </w:rPr>
        <w:t xml:space="preserve">maïs+manioc </w:t>
      </w:r>
      <w:r w:rsidRPr="00B6647E">
        <w:rPr>
          <w:rFonts w:ascii="Arial" w:hAnsi="Arial" w:cs="Arial"/>
          <w:sz w:val="20"/>
          <w:szCs w:val="20"/>
        </w:rPr>
        <w:t>(</w:t>
      </w:r>
      <w:r w:rsidR="005139E8" w:rsidRPr="00B6647E">
        <w:rPr>
          <w:rFonts w:ascii="Arial" w:hAnsi="Arial" w:cs="Arial"/>
          <w:sz w:val="20"/>
          <w:szCs w:val="20"/>
        </w:rPr>
        <w:t>3</w:t>
      </w:r>
      <w:r w:rsidRPr="00B6647E">
        <w:rPr>
          <w:rFonts w:ascii="Arial" w:hAnsi="Arial" w:cs="Arial"/>
          <w:sz w:val="20"/>
          <w:szCs w:val="20"/>
        </w:rPr>
        <w:t>,</w:t>
      </w:r>
      <w:r w:rsidR="005139E8" w:rsidRPr="00B6647E">
        <w:rPr>
          <w:rFonts w:ascii="Arial" w:hAnsi="Arial" w:cs="Arial"/>
          <w:sz w:val="20"/>
          <w:szCs w:val="20"/>
        </w:rPr>
        <w:t>3</w:t>
      </w:r>
      <w:r w:rsidRPr="00B6647E">
        <w:rPr>
          <w:rFonts w:ascii="Arial" w:hAnsi="Arial" w:cs="Arial"/>
          <w:sz w:val="20"/>
          <w:szCs w:val="20"/>
        </w:rPr>
        <w:t>%),</w:t>
      </w:r>
      <w:r w:rsidRPr="00B6647E">
        <w:rPr>
          <w:rFonts w:ascii="Arial" w:hAnsi="Arial" w:cs="Arial"/>
          <w:i/>
          <w:sz w:val="20"/>
          <w:szCs w:val="20"/>
        </w:rPr>
        <w:t xml:space="preserve"> maïs+haricot</w:t>
      </w:r>
      <w:r w:rsidRPr="00B6647E">
        <w:rPr>
          <w:rFonts w:ascii="Arial" w:hAnsi="Arial" w:cs="Arial"/>
          <w:sz w:val="20"/>
          <w:szCs w:val="20"/>
        </w:rPr>
        <w:t xml:space="preserve"> (</w:t>
      </w:r>
      <w:r w:rsidR="005139E8" w:rsidRPr="00B6647E">
        <w:rPr>
          <w:rFonts w:ascii="Arial" w:hAnsi="Arial" w:cs="Arial"/>
          <w:sz w:val="20"/>
          <w:szCs w:val="20"/>
        </w:rPr>
        <w:t>2,9</w:t>
      </w:r>
      <w:r w:rsidRPr="00B6647E">
        <w:rPr>
          <w:rFonts w:ascii="Arial" w:hAnsi="Arial" w:cs="Arial"/>
          <w:sz w:val="20"/>
          <w:szCs w:val="20"/>
        </w:rPr>
        <w:t xml:space="preserve">%), </w:t>
      </w:r>
      <w:r w:rsidRPr="00B6647E">
        <w:rPr>
          <w:rFonts w:ascii="Arial" w:hAnsi="Arial" w:cs="Arial"/>
          <w:i/>
          <w:sz w:val="20"/>
          <w:szCs w:val="20"/>
        </w:rPr>
        <w:t>maïs+patate douce</w:t>
      </w:r>
      <w:r w:rsidRPr="00B6647E">
        <w:rPr>
          <w:rFonts w:ascii="Arial" w:hAnsi="Arial" w:cs="Arial"/>
          <w:sz w:val="20"/>
          <w:szCs w:val="20"/>
        </w:rPr>
        <w:t xml:space="preserve"> (</w:t>
      </w:r>
      <w:r w:rsidR="005139E8" w:rsidRPr="00B6647E">
        <w:rPr>
          <w:rFonts w:ascii="Arial" w:hAnsi="Arial" w:cs="Arial"/>
          <w:sz w:val="20"/>
          <w:szCs w:val="20"/>
        </w:rPr>
        <w:t>2,9</w:t>
      </w:r>
      <w:r w:rsidRPr="00B6647E">
        <w:rPr>
          <w:rFonts w:ascii="Arial" w:hAnsi="Arial" w:cs="Arial"/>
          <w:sz w:val="20"/>
          <w:szCs w:val="20"/>
        </w:rPr>
        <w:t xml:space="preserve">%) et parmi celles de trois cultures les plus nombreuses sont les associations : </w:t>
      </w:r>
      <w:r w:rsidRPr="00B6647E">
        <w:rPr>
          <w:rFonts w:ascii="Arial" w:hAnsi="Arial" w:cs="Arial"/>
          <w:i/>
          <w:sz w:val="20"/>
          <w:szCs w:val="20"/>
        </w:rPr>
        <w:t xml:space="preserve">maïs+haricot+manioc </w:t>
      </w:r>
      <w:r w:rsidRPr="00B6647E">
        <w:rPr>
          <w:rFonts w:ascii="Arial" w:hAnsi="Arial" w:cs="Arial"/>
          <w:sz w:val="20"/>
          <w:szCs w:val="20"/>
        </w:rPr>
        <w:t>(</w:t>
      </w:r>
      <w:r w:rsidR="005139E8" w:rsidRPr="00B6647E">
        <w:rPr>
          <w:rFonts w:ascii="Arial" w:hAnsi="Arial" w:cs="Arial"/>
          <w:sz w:val="20"/>
          <w:szCs w:val="20"/>
        </w:rPr>
        <w:t>3</w:t>
      </w:r>
      <w:r w:rsidRPr="00B6647E">
        <w:rPr>
          <w:rFonts w:ascii="Arial" w:hAnsi="Arial" w:cs="Arial"/>
          <w:sz w:val="20"/>
          <w:szCs w:val="20"/>
        </w:rPr>
        <w:t xml:space="preserve">%), </w:t>
      </w:r>
      <w:r w:rsidRPr="00B6647E">
        <w:rPr>
          <w:rFonts w:ascii="Arial" w:hAnsi="Arial" w:cs="Arial"/>
          <w:i/>
          <w:sz w:val="20"/>
          <w:szCs w:val="20"/>
        </w:rPr>
        <w:t>maïs+haricot+banane</w:t>
      </w:r>
      <w:r w:rsidRPr="00B6647E">
        <w:rPr>
          <w:rFonts w:ascii="Arial" w:hAnsi="Arial" w:cs="Arial"/>
          <w:sz w:val="20"/>
          <w:szCs w:val="20"/>
        </w:rPr>
        <w:t xml:space="preserve"> (</w:t>
      </w:r>
      <w:r w:rsidR="005139E8" w:rsidRPr="00B6647E">
        <w:rPr>
          <w:rFonts w:ascii="Arial" w:hAnsi="Arial" w:cs="Arial"/>
          <w:sz w:val="20"/>
          <w:szCs w:val="20"/>
        </w:rPr>
        <w:t>2,3</w:t>
      </w:r>
      <w:r w:rsidRPr="00B6647E">
        <w:rPr>
          <w:rFonts w:ascii="Arial" w:hAnsi="Arial" w:cs="Arial"/>
          <w:sz w:val="20"/>
          <w:szCs w:val="20"/>
        </w:rPr>
        <w:t xml:space="preserve">%), </w:t>
      </w:r>
      <w:r w:rsidRPr="00B6647E">
        <w:rPr>
          <w:rFonts w:ascii="Arial" w:hAnsi="Arial" w:cs="Arial"/>
          <w:i/>
          <w:sz w:val="20"/>
          <w:szCs w:val="20"/>
        </w:rPr>
        <w:t>maïs+manioc+patate douce</w:t>
      </w:r>
      <w:r w:rsidRPr="00B6647E">
        <w:rPr>
          <w:rFonts w:ascii="Arial" w:hAnsi="Arial" w:cs="Arial"/>
          <w:sz w:val="20"/>
          <w:szCs w:val="20"/>
        </w:rPr>
        <w:t xml:space="preserve"> </w:t>
      </w:r>
      <w:r w:rsidRPr="00B6647E">
        <w:rPr>
          <w:rFonts w:ascii="Arial" w:hAnsi="Arial" w:cs="Arial"/>
          <w:sz w:val="20"/>
          <w:szCs w:val="20"/>
        </w:rPr>
        <w:lastRenderedPageBreak/>
        <w:t>(</w:t>
      </w:r>
      <w:r w:rsidR="005139E8" w:rsidRPr="00B6647E">
        <w:rPr>
          <w:rFonts w:ascii="Arial" w:hAnsi="Arial" w:cs="Arial"/>
          <w:sz w:val="20"/>
          <w:szCs w:val="20"/>
        </w:rPr>
        <w:t>1,9</w:t>
      </w:r>
      <w:r w:rsidRPr="00B6647E">
        <w:rPr>
          <w:rFonts w:ascii="Arial" w:hAnsi="Arial" w:cs="Arial"/>
          <w:sz w:val="20"/>
          <w:szCs w:val="20"/>
        </w:rPr>
        <w:t>%)</w:t>
      </w:r>
      <w:r w:rsidR="005139E8" w:rsidRPr="00B6647E">
        <w:rPr>
          <w:rFonts w:ascii="Arial" w:hAnsi="Arial" w:cs="Arial"/>
          <w:sz w:val="20"/>
          <w:szCs w:val="20"/>
        </w:rPr>
        <w:t xml:space="preserve">. </w:t>
      </w:r>
      <w:r w:rsidRPr="00B6647E">
        <w:rPr>
          <w:rFonts w:ascii="Arial" w:hAnsi="Arial" w:cs="Arial"/>
          <w:sz w:val="20"/>
          <w:szCs w:val="20"/>
        </w:rPr>
        <w:t>On a observé que le maïs se retrouve dans 42,7% des associations de deux cultures et dans 69,1% dans les associations de trois cultures.</w:t>
      </w:r>
    </w:p>
    <w:p w:rsidR="00174E37" w:rsidRPr="00B6647E" w:rsidRDefault="00174E37" w:rsidP="00174E37">
      <w:pPr>
        <w:spacing w:after="0" w:line="240" w:lineRule="auto"/>
        <w:jc w:val="both"/>
        <w:rPr>
          <w:rFonts w:ascii="Arial" w:hAnsi="Arial" w:cs="Arial"/>
          <w:i/>
          <w:color w:val="000000"/>
          <w:sz w:val="20"/>
          <w:szCs w:val="20"/>
          <w:lang w:eastAsia="en-US"/>
        </w:rPr>
      </w:pPr>
      <w:r w:rsidRPr="00B6647E">
        <w:rPr>
          <w:rFonts w:ascii="Arial" w:hAnsi="Arial" w:cs="Arial"/>
          <w:sz w:val="20"/>
          <w:szCs w:val="20"/>
        </w:rPr>
        <w:t xml:space="preserve">En </w:t>
      </w:r>
      <w:r w:rsidRPr="00B6647E">
        <w:rPr>
          <w:rFonts w:ascii="Arial" w:hAnsi="Arial" w:cs="Arial"/>
          <w:b/>
          <w:sz w:val="20"/>
          <w:szCs w:val="20"/>
        </w:rPr>
        <w:t>saison A</w:t>
      </w:r>
      <w:r w:rsidRPr="00B6647E">
        <w:rPr>
          <w:rFonts w:ascii="Arial" w:hAnsi="Arial" w:cs="Arial"/>
          <w:sz w:val="20"/>
          <w:szCs w:val="20"/>
        </w:rPr>
        <w:t xml:space="preserve">, il y a 14,2% de parcelles portant des associations de quatre cultures. Parmi ces parcelles, les plus nombreuses sont celles qui portent l’association </w:t>
      </w:r>
      <w:r w:rsidRPr="00B6647E">
        <w:rPr>
          <w:rFonts w:ascii="Arial" w:hAnsi="Arial" w:cs="Arial"/>
          <w:i/>
          <w:color w:val="000000"/>
          <w:sz w:val="20"/>
          <w:szCs w:val="20"/>
          <w:lang w:eastAsia="en-US"/>
        </w:rPr>
        <w:t>maïs+haricot+banane+manioc</w:t>
      </w:r>
      <w:r w:rsidRPr="00B6647E">
        <w:rPr>
          <w:rFonts w:ascii="Arial" w:hAnsi="Arial" w:cs="Arial"/>
          <w:color w:val="000000"/>
          <w:sz w:val="20"/>
          <w:szCs w:val="20"/>
          <w:lang w:eastAsia="en-US"/>
        </w:rPr>
        <w:t xml:space="preserve"> (</w:t>
      </w:r>
      <w:r w:rsidRPr="00B6647E">
        <w:rPr>
          <w:rFonts w:ascii="Arial" w:hAnsi="Arial" w:cs="Arial"/>
          <w:sz w:val="20"/>
          <w:szCs w:val="20"/>
        </w:rPr>
        <w:t>1,8%)</w:t>
      </w:r>
      <w:r w:rsidRPr="00B6647E">
        <w:rPr>
          <w:rFonts w:ascii="Arial" w:hAnsi="Arial" w:cs="Arial"/>
          <w:color w:val="000000"/>
          <w:sz w:val="20"/>
          <w:szCs w:val="20"/>
          <w:lang w:eastAsia="en-US"/>
        </w:rPr>
        <w:t xml:space="preserve"> et  l’association </w:t>
      </w:r>
      <w:r w:rsidRPr="00B6647E">
        <w:rPr>
          <w:rFonts w:ascii="Arial" w:hAnsi="Arial" w:cs="Arial"/>
          <w:i/>
          <w:color w:val="000000"/>
          <w:sz w:val="20"/>
          <w:szCs w:val="20"/>
          <w:lang w:eastAsia="en-US"/>
        </w:rPr>
        <w:t>maïs+banane+manioc+patate douce</w:t>
      </w:r>
      <w:r w:rsidRPr="00B6647E">
        <w:rPr>
          <w:rFonts w:ascii="Arial" w:hAnsi="Arial" w:cs="Arial"/>
          <w:color w:val="000000"/>
          <w:sz w:val="20"/>
          <w:szCs w:val="20"/>
          <w:lang w:eastAsia="en-US"/>
        </w:rPr>
        <w:t xml:space="preserve"> (1,4%). En ce qui concerne les parcelles portant des associations de cinq cultures</w:t>
      </w:r>
      <w:r w:rsidRPr="00B6647E">
        <w:rPr>
          <w:rFonts w:ascii="Arial" w:hAnsi="Arial" w:cs="Arial"/>
          <w:sz w:val="20"/>
          <w:szCs w:val="20"/>
        </w:rPr>
        <w:t xml:space="preserve"> qui ne représentent que 4,5% de l’ensemble des parcelles cultivées, 0,6% parmi elles portent l’association </w:t>
      </w:r>
      <w:r w:rsidRPr="00B6647E">
        <w:rPr>
          <w:rFonts w:ascii="Arial" w:hAnsi="Arial" w:cs="Arial"/>
          <w:i/>
          <w:color w:val="000000"/>
          <w:sz w:val="20"/>
          <w:szCs w:val="20"/>
          <w:lang w:eastAsia="en-US"/>
        </w:rPr>
        <w:t xml:space="preserve">maïs+haricot+banane+manioc+patate douce </w:t>
      </w:r>
      <w:r w:rsidRPr="00B6647E">
        <w:rPr>
          <w:rFonts w:ascii="Arial" w:hAnsi="Arial" w:cs="Arial"/>
          <w:color w:val="000000"/>
          <w:sz w:val="20"/>
          <w:szCs w:val="20"/>
          <w:lang w:eastAsia="en-US"/>
        </w:rPr>
        <w:t xml:space="preserve">et 0,5% portent l’association de cultures </w:t>
      </w:r>
      <w:r w:rsidRPr="00B6647E">
        <w:rPr>
          <w:rFonts w:ascii="Arial" w:hAnsi="Arial" w:cs="Arial"/>
          <w:i/>
          <w:color w:val="000000"/>
          <w:sz w:val="20"/>
          <w:szCs w:val="20"/>
          <w:lang w:eastAsia="en-US"/>
        </w:rPr>
        <w:t>maïs+haricot+banane+colocase+manioc.</w:t>
      </w:r>
    </w:p>
    <w:p w:rsidR="005139E8" w:rsidRPr="00B6647E" w:rsidRDefault="005139E8" w:rsidP="00551F55">
      <w:pPr>
        <w:spacing w:after="0" w:line="240" w:lineRule="auto"/>
        <w:jc w:val="both"/>
        <w:rPr>
          <w:rFonts w:ascii="Arial" w:hAnsi="Arial" w:cs="Arial"/>
          <w:sz w:val="20"/>
          <w:szCs w:val="20"/>
        </w:rPr>
      </w:pPr>
    </w:p>
    <w:p w:rsidR="00513D2C" w:rsidRPr="00B6647E" w:rsidRDefault="00513D2C" w:rsidP="00551F55">
      <w:pPr>
        <w:spacing w:line="240" w:lineRule="auto"/>
        <w:jc w:val="both"/>
        <w:rPr>
          <w:rFonts w:ascii="Arial" w:hAnsi="Arial" w:cs="Arial"/>
          <w:b/>
          <w:sz w:val="20"/>
          <w:szCs w:val="20"/>
        </w:rPr>
      </w:pPr>
      <w:r w:rsidRPr="00B6647E">
        <w:rPr>
          <w:rFonts w:ascii="Arial" w:hAnsi="Arial" w:cs="Arial"/>
          <w:b/>
          <w:sz w:val="20"/>
          <w:szCs w:val="20"/>
        </w:rPr>
        <w:t>Tableau</w:t>
      </w:r>
      <w:r w:rsidR="00677234" w:rsidRPr="00B6647E">
        <w:rPr>
          <w:rFonts w:ascii="Arial" w:hAnsi="Arial" w:cs="Arial"/>
          <w:b/>
          <w:sz w:val="20"/>
          <w:szCs w:val="20"/>
        </w:rPr>
        <w:t xml:space="preserve"> </w:t>
      </w:r>
      <w:r w:rsidR="00EE32E1">
        <w:rPr>
          <w:rFonts w:ascii="Arial" w:hAnsi="Arial" w:cs="Arial"/>
          <w:b/>
          <w:sz w:val="20"/>
          <w:szCs w:val="20"/>
        </w:rPr>
        <w:t>43</w:t>
      </w:r>
      <w:r w:rsidRPr="00B6647E">
        <w:rPr>
          <w:rFonts w:ascii="Arial" w:hAnsi="Arial" w:cs="Arial"/>
          <w:b/>
          <w:sz w:val="20"/>
          <w:szCs w:val="20"/>
        </w:rPr>
        <w:t> : Proportion de parcelles portant les principales cultures associées par saison</w:t>
      </w:r>
    </w:p>
    <w:p w:rsidR="00635E74" w:rsidRPr="00B6647E" w:rsidRDefault="00412AEB" w:rsidP="00551F55">
      <w:pPr>
        <w:spacing w:line="240" w:lineRule="auto"/>
        <w:jc w:val="both"/>
        <w:rPr>
          <w:rFonts w:ascii="Arial" w:hAnsi="Arial" w:cs="Arial"/>
          <w:i/>
          <w:color w:val="000000"/>
          <w:sz w:val="20"/>
          <w:szCs w:val="20"/>
          <w:lang w:eastAsia="en-US"/>
        </w:rPr>
      </w:pPr>
      <w:r w:rsidRPr="00B6647E">
        <w:rPr>
          <w:noProof/>
          <w:szCs w:val="20"/>
          <w:lang w:val="fr-FR" w:eastAsia="fr-FR"/>
        </w:rPr>
        <w:drawing>
          <wp:inline distT="0" distB="0" distL="0" distR="0">
            <wp:extent cx="5731510" cy="6574107"/>
            <wp:effectExtent l="19050" t="0" r="2540" b="0"/>
            <wp:docPr id="3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srcRect/>
                    <a:stretch>
                      <a:fillRect/>
                    </a:stretch>
                  </pic:blipFill>
                  <pic:spPr bwMode="auto">
                    <a:xfrm>
                      <a:off x="0" y="0"/>
                      <a:ext cx="5731510" cy="6574107"/>
                    </a:xfrm>
                    <a:prstGeom prst="rect">
                      <a:avLst/>
                    </a:prstGeom>
                    <a:noFill/>
                    <a:ln w="9525">
                      <a:noFill/>
                      <a:miter lim="800000"/>
                      <a:headEnd/>
                      <a:tailEnd/>
                    </a:ln>
                  </pic:spPr>
                </pic:pic>
              </a:graphicData>
            </a:graphic>
          </wp:inline>
        </w:drawing>
      </w:r>
    </w:p>
    <w:p w:rsidR="00763734" w:rsidRPr="00B6647E" w:rsidRDefault="00763734" w:rsidP="00763734">
      <w:pPr>
        <w:spacing w:line="240" w:lineRule="auto"/>
        <w:jc w:val="both"/>
        <w:rPr>
          <w:rFonts w:ascii="Arial" w:hAnsi="Arial" w:cs="Arial"/>
          <w:sz w:val="20"/>
          <w:szCs w:val="20"/>
        </w:rPr>
      </w:pPr>
      <w:r w:rsidRPr="00B6647E">
        <w:rPr>
          <w:rFonts w:ascii="Arial" w:hAnsi="Arial" w:cs="Arial"/>
          <w:sz w:val="20"/>
          <w:szCs w:val="20"/>
        </w:rPr>
        <w:t xml:space="preserve">Au cours de la </w:t>
      </w:r>
      <w:r w:rsidRPr="00B6647E">
        <w:rPr>
          <w:rFonts w:ascii="Arial" w:hAnsi="Arial" w:cs="Arial"/>
          <w:b/>
          <w:sz w:val="20"/>
          <w:szCs w:val="20"/>
        </w:rPr>
        <w:t>saison B</w:t>
      </w:r>
      <w:r w:rsidRPr="00B6647E">
        <w:rPr>
          <w:rFonts w:ascii="Arial" w:hAnsi="Arial" w:cs="Arial"/>
          <w:sz w:val="20"/>
          <w:szCs w:val="20"/>
        </w:rPr>
        <w:t xml:space="preserve">, l’enquête a estimé que 48,1% des parcelles sont occupées par des associations de deux ou trois cultures. Parmi ces parcelles portant des associations de deux cultures, les plus nombreuses sont celles avec les associations : </w:t>
      </w:r>
      <w:r w:rsidRPr="00B6647E">
        <w:rPr>
          <w:rFonts w:ascii="Arial" w:hAnsi="Arial" w:cs="Arial"/>
          <w:i/>
          <w:sz w:val="20"/>
          <w:szCs w:val="20"/>
        </w:rPr>
        <w:t xml:space="preserve">haricot+banane </w:t>
      </w:r>
      <w:r w:rsidRPr="00B6647E">
        <w:rPr>
          <w:rFonts w:ascii="Arial" w:hAnsi="Arial" w:cs="Arial"/>
          <w:sz w:val="20"/>
          <w:szCs w:val="20"/>
        </w:rPr>
        <w:t>(6,8%),</w:t>
      </w:r>
      <w:r w:rsidRPr="00B6647E">
        <w:rPr>
          <w:rFonts w:ascii="Arial" w:hAnsi="Arial" w:cs="Arial"/>
          <w:i/>
          <w:sz w:val="20"/>
          <w:szCs w:val="20"/>
        </w:rPr>
        <w:t xml:space="preserve"> haricot+manioc</w:t>
      </w:r>
      <w:r w:rsidRPr="00B6647E">
        <w:rPr>
          <w:rFonts w:ascii="Arial" w:hAnsi="Arial" w:cs="Arial"/>
          <w:sz w:val="20"/>
          <w:szCs w:val="20"/>
        </w:rPr>
        <w:t xml:space="preserve"> </w:t>
      </w:r>
      <w:r w:rsidRPr="00B6647E">
        <w:rPr>
          <w:rFonts w:ascii="Arial" w:hAnsi="Arial" w:cs="Arial"/>
          <w:sz w:val="20"/>
          <w:szCs w:val="20"/>
        </w:rPr>
        <w:lastRenderedPageBreak/>
        <w:t xml:space="preserve">(3,9%), </w:t>
      </w:r>
      <w:r w:rsidRPr="00B6647E">
        <w:rPr>
          <w:rFonts w:ascii="Arial" w:hAnsi="Arial" w:cs="Arial"/>
          <w:i/>
          <w:sz w:val="20"/>
          <w:szCs w:val="20"/>
        </w:rPr>
        <w:t>manioc+patate douce</w:t>
      </w:r>
      <w:r w:rsidRPr="00B6647E">
        <w:rPr>
          <w:rFonts w:ascii="Arial" w:hAnsi="Arial" w:cs="Arial"/>
          <w:sz w:val="20"/>
          <w:szCs w:val="20"/>
        </w:rPr>
        <w:t xml:space="preserve"> (3%) et parmi celles de trois cultures les plus nombreuses sont les associations : </w:t>
      </w:r>
      <w:r w:rsidRPr="00B6647E">
        <w:rPr>
          <w:rFonts w:ascii="Arial" w:hAnsi="Arial" w:cs="Arial"/>
          <w:i/>
          <w:sz w:val="20"/>
          <w:szCs w:val="20"/>
        </w:rPr>
        <w:t xml:space="preserve">haricot+banane+manioc </w:t>
      </w:r>
      <w:r w:rsidRPr="00B6647E">
        <w:rPr>
          <w:rFonts w:ascii="Arial" w:hAnsi="Arial" w:cs="Arial"/>
          <w:sz w:val="20"/>
          <w:szCs w:val="20"/>
        </w:rPr>
        <w:t xml:space="preserve">(3%), </w:t>
      </w:r>
      <w:r w:rsidRPr="00B6647E">
        <w:rPr>
          <w:rFonts w:ascii="Arial" w:hAnsi="Arial" w:cs="Arial"/>
          <w:i/>
          <w:sz w:val="20"/>
          <w:szCs w:val="20"/>
        </w:rPr>
        <w:t xml:space="preserve">haricot+manioc+patate douce </w:t>
      </w:r>
      <w:r w:rsidRPr="00B6647E">
        <w:rPr>
          <w:rFonts w:ascii="Arial" w:hAnsi="Arial" w:cs="Arial"/>
          <w:sz w:val="20"/>
          <w:szCs w:val="20"/>
        </w:rPr>
        <w:t xml:space="preserve">(1,9%), </w:t>
      </w:r>
      <w:r w:rsidRPr="00B6647E">
        <w:rPr>
          <w:rFonts w:ascii="Arial" w:hAnsi="Arial" w:cs="Arial"/>
          <w:i/>
          <w:sz w:val="20"/>
          <w:szCs w:val="20"/>
        </w:rPr>
        <w:t>haricot+banane+colocase</w:t>
      </w:r>
      <w:r w:rsidRPr="00B6647E">
        <w:rPr>
          <w:rFonts w:ascii="Arial" w:hAnsi="Arial" w:cs="Arial"/>
          <w:sz w:val="20"/>
          <w:szCs w:val="20"/>
        </w:rPr>
        <w:t xml:space="preserve"> (1,3%. On a observé, que le maïs se retrouve dans 53,7% des associations de deux cultures et dans 71,7% des associations de trois cultures. Il y a 9,5% de parcelles portant des associations de quatre cultures. Parmi ces parcelles, les plus nombreuses sont celles qui portent l’association </w:t>
      </w:r>
      <w:r w:rsidRPr="00B6647E">
        <w:rPr>
          <w:rFonts w:ascii="Arial" w:hAnsi="Arial" w:cs="Arial"/>
          <w:i/>
          <w:sz w:val="20"/>
          <w:szCs w:val="20"/>
        </w:rPr>
        <w:t xml:space="preserve">haricot+banane+manioc+patate douce </w:t>
      </w:r>
      <w:r w:rsidRPr="00B6647E">
        <w:rPr>
          <w:rFonts w:ascii="Arial" w:hAnsi="Arial" w:cs="Arial"/>
          <w:color w:val="000000"/>
          <w:sz w:val="20"/>
          <w:szCs w:val="20"/>
          <w:lang w:eastAsia="en-US"/>
        </w:rPr>
        <w:t>(1,6</w:t>
      </w:r>
      <w:r w:rsidRPr="00B6647E">
        <w:rPr>
          <w:rFonts w:ascii="Arial" w:hAnsi="Arial" w:cs="Arial"/>
          <w:sz w:val="20"/>
          <w:szCs w:val="20"/>
        </w:rPr>
        <w:t>%)</w:t>
      </w:r>
      <w:r w:rsidRPr="00B6647E">
        <w:rPr>
          <w:rFonts w:ascii="Arial" w:hAnsi="Arial" w:cs="Arial"/>
          <w:color w:val="000000"/>
          <w:sz w:val="20"/>
          <w:szCs w:val="20"/>
          <w:lang w:eastAsia="en-US"/>
        </w:rPr>
        <w:t xml:space="preserve"> et l’association </w:t>
      </w:r>
      <w:r w:rsidRPr="00B6647E">
        <w:rPr>
          <w:rFonts w:ascii="Arial" w:hAnsi="Arial" w:cs="Arial"/>
          <w:i/>
          <w:color w:val="000000"/>
          <w:sz w:val="20"/>
          <w:szCs w:val="20"/>
          <w:lang w:eastAsia="en-US"/>
        </w:rPr>
        <w:t>haricot+banane+colocase+manioc</w:t>
      </w:r>
      <w:r w:rsidRPr="00B6647E">
        <w:rPr>
          <w:rFonts w:ascii="Arial" w:hAnsi="Arial" w:cs="Arial"/>
          <w:color w:val="000000"/>
          <w:sz w:val="20"/>
          <w:szCs w:val="20"/>
          <w:lang w:eastAsia="en-US"/>
        </w:rPr>
        <w:t xml:space="preserve"> (0,7%). En ce qui concerne les parcelles portant des associations de cinq cultures</w:t>
      </w:r>
      <w:r w:rsidRPr="00B6647E">
        <w:rPr>
          <w:rFonts w:ascii="Arial" w:hAnsi="Arial" w:cs="Arial"/>
          <w:sz w:val="20"/>
          <w:szCs w:val="20"/>
        </w:rPr>
        <w:t xml:space="preserve"> qui ne représentent que 2,9% de l’ensemble des parcelles cultivées, 0,7% parmi elles portent l’association </w:t>
      </w:r>
      <w:r w:rsidRPr="00B6647E">
        <w:rPr>
          <w:rFonts w:ascii="Arial" w:hAnsi="Arial" w:cs="Arial"/>
          <w:i/>
          <w:sz w:val="20"/>
          <w:szCs w:val="20"/>
        </w:rPr>
        <w:t>haricot+petit pois+banane+manioc+patate douce</w:t>
      </w:r>
      <w:r w:rsidRPr="00B6647E">
        <w:rPr>
          <w:rFonts w:ascii="Arial" w:hAnsi="Arial" w:cs="Arial"/>
          <w:i/>
          <w:color w:val="000000"/>
          <w:sz w:val="20"/>
          <w:szCs w:val="20"/>
          <w:lang w:eastAsia="en-US"/>
        </w:rPr>
        <w:t xml:space="preserve"> </w:t>
      </w:r>
      <w:r w:rsidRPr="00B6647E">
        <w:rPr>
          <w:rFonts w:ascii="Arial" w:hAnsi="Arial" w:cs="Arial"/>
          <w:color w:val="000000"/>
          <w:sz w:val="20"/>
          <w:szCs w:val="20"/>
          <w:lang w:eastAsia="en-US"/>
        </w:rPr>
        <w:t xml:space="preserve">et 0,3% portent l’association de cultures </w:t>
      </w:r>
      <w:r w:rsidRPr="00B6647E">
        <w:rPr>
          <w:rFonts w:ascii="Arial" w:hAnsi="Arial" w:cs="Arial"/>
          <w:i/>
          <w:color w:val="000000"/>
          <w:sz w:val="20"/>
          <w:szCs w:val="20"/>
          <w:lang w:eastAsia="en-US"/>
        </w:rPr>
        <w:t>haricot+pois cajan+banane+manioc+patate douce.</w:t>
      </w:r>
    </w:p>
    <w:p w:rsidR="00534094" w:rsidRPr="00B6647E" w:rsidRDefault="00937178" w:rsidP="00551F55">
      <w:pPr>
        <w:spacing w:after="0" w:line="240" w:lineRule="auto"/>
        <w:jc w:val="both"/>
        <w:rPr>
          <w:rFonts w:ascii="Arial" w:hAnsi="Arial" w:cs="Arial"/>
          <w:i/>
          <w:color w:val="000000"/>
          <w:sz w:val="20"/>
          <w:szCs w:val="20"/>
          <w:lang w:eastAsia="en-US"/>
        </w:rPr>
      </w:pPr>
      <w:r w:rsidRPr="00B6647E">
        <w:rPr>
          <w:rFonts w:ascii="Arial" w:hAnsi="Arial" w:cs="Arial"/>
          <w:sz w:val="20"/>
          <w:szCs w:val="20"/>
        </w:rPr>
        <w:t>Pendant</w:t>
      </w:r>
      <w:r w:rsidR="00534094" w:rsidRPr="00B6647E">
        <w:rPr>
          <w:rFonts w:ascii="Arial" w:hAnsi="Arial" w:cs="Arial"/>
          <w:sz w:val="20"/>
          <w:szCs w:val="20"/>
        </w:rPr>
        <w:t xml:space="preserve"> la </w:t>
      </w:r>
      <w:r w:rsidR="00534094" w:rsidRPr="00B6647E">
        <w:rPr>
          <w:rFonts w:ascii="Arial" w:hAnsi="Arial" w:cs="Arial"/>
          <w:b/>
          <w:sz w:val="20"/>
          <w:szCs w:val="20"/>
        </w:rPr>
        <w:t>saison C</w:t>
      </w:r>
      <w:r w:rsidR="00534094" w:rsidRPr="00B6647E">
        <w:rPr>
          <w:rFonts w:ascii="Arial" w:hAnsi="Arial" w:cs="Arial"/>
          <w:sz w:val="20"/>
          <w:szCs w:val="20"/>
        </w:rPr>
        <w:t>, l’enquête a estimé que 37,4% des parcelles sont occupées par des associations de deux ou trois cultures. Parmi ces parcelles portant des associations de deux cultures, les plus nombreuses sont</w:t>
      </w:r>
      <w:r w:rsidR="00A12535" w:rsidRPr="00B6647E">
        <w:rPr>
          <w:rFonts w:ascii="Arial" w:hAnsi="Arial" w:cs="Arial"/>
          <w:sz w:val="20"/>
          <w:szCs w:val="20"/>
        </w:rPr>
        <w:t xml:space="preserve"> </w:t>
      </w:r>
      <w:r w:rsidR="00534094" w:rsidRPr="00B6647E">
        <w:rPr>
          <w:rFonts w:ascii="Arial" w:hAnsi="Arial" w:cs="Arial"/>
          <w:sz w:val="20"/>
          <w:szCs w:val="20"/>
        </w:rPr>
        <w:t>celles avec les associations :</w:t>
      </w:r>
      <w:r w:rsidR="00534094" w:rsidRPr="00B6647E">
        <w:rPr>
          <w:rFonts w:ascii="Arial" w:hAnsi="Arial" w:cs="Arial"/>
          <w:i/>
          <w:sz w:val="20"/>
          <w:szCs w:val="20"/>
        </w:rPr>
        <w:t xml:space="preserve"> banane+manioc </w:t>
      </w:r>
      <w:r w:rsidR="00534094" w:rsidRPr="00B6647E">
        <w:rPr>
          <w:rFonts w:ascii="Arial" w:hAnsi="Arial" w:cs="Arial"/>
          <w:sz w:val="20"/>
          <w:szCs w:val="20"/>
        </w:rPr>
        <w:t>(</w:t>
      </w:r>
      <w:r w:rsidR="00A12535" w:rsidRPr="00B6647E">
        <w:rPr>
          <w:rFonts w:ascii="Arial" w:hAnsi="Arial" w:cs="Arial"/>
          <w:sz w:val="20"/>
          <w:szCs w:val="20"/>
        </w:rPr>
        <w:t>9,8</w:t>
      </w:r>
      <w:r w:rsidR="00534094" w:rsidRPr="00B6647E">
        <w:rPr>
          <w:rFonts w:ascii="Arial" w:hAnsi="Arial" w:cs="Arial"/>
          <w:sz w:val="20"/>
          <w:szCs w:val="20"/>
        </w:rPr>
        <w:t>%),</w:t>
      </w:r>
      <w:r w:rsidR="00534094" w:rsidRPr="00B6647E">
        <w:rPr>
          <w:rFonts w:ascii="Arial" w:hAnsi="Arial" w:cs="Arial"/>
          <w:i/>
          <w:sz w:val="20"/>
          <w:szCs w:val="20"/>
        </w:rPr>
        <w:t xml:space="preserve"> maïs+haricot</w:t>
      </w:r>
      <w:r w:rsidR="00534094" w:rsidRPr="00B6647E">
        <w:rPr>
          <w:rFonts w:ascii="Arial" w:hAnsi="Arial" w:cs="Arial"/>
          <w:sz w:val="20"/>
          <w:szCs w:val="20"/>
        </w:rPr>
        <w:t xml:space="preserve"> (4,</w:t>
      </w:r>
      <w:r w:rsidR="00A12535" w:rsidRPr="00B6647E">
        <w:rPr>
          <w:rFonts w:ascii="Arial" w:hAnsi="Arial" w:cs="Arial"/>
          <w:sz w:val="20"/>
          <w:szCs w:val="20"/>
        </w:rPr>
        <w:t>2</w:t>
      </w:r>
      <w:r w:rsidR="00534094" w:rsidRPr="00B6647E">
        <w:rPr>
          <w:rFonts w:ascii="Arial" w:hAnsi="Arial" w:cs="Arial"/>
          <w:sz w:val="20"/>
          <w:szCs w:val="20"/>
        </w:rPr>
        <w:t xml:space="preserve">%), </w:t>
      </w:r>
      <w:r w:rsidR="00534094" w:rsidRPr="00B6647E">
        <w:rPr>
          <w:rFonts w:ascii="Arial" w:hAnsi="Arial" w:cs="Arial"/>
          <w:i/>
          <w:sz w:val="20"/>
          <w:szCs w:val="20"/>
        </w:rPr>
        <w:t>manioc+patate douce</w:t>
      </w:r>
      <w:r w:rsidR="00A12535" w:rsidRPr="00B6647E">
        <w:rPr>
          <w:rFonts w:ascii="Arial" w:hAnsi="Arial" w:cs="Arial"/>
          <w:sz w:val="20"/>
          <w:szCs w:val="20"/>
        </w:rPr>
        <w:t xml:space="preserve"> (</w:t>
      </w:r>
      <w:r w:rsidR="00534094" w:rsidRPr="00B6647E">
        <w:rPr>
          <w:rFonts w:ascii="Arial" w:hAnsi="Arial" w:cs="Arial"/>
          <w:sz w:val="20"/>
          <w:szCs w:val="20"/>
        </w:rPr>
        <w:t>3,</w:t>
      </w:r>
      <w:r w:rsidR="00A12535" w:rsidRPr="00B6647E">
        <w:rPr>
          <w:rFonts w:ascii="Arial" w:hAnsi="Arial" w:cs="Arial"/>
          <w:sz w:val="20"/>
          <w:szCs w:val="20"/>
        </w:rPr>
        <w:t>9</w:t>
      </w:r>
      <w:r w:rsidR="00534094" w:rsidRPr="00B6647E">
        <w:rPr>
          <w:rFonts w:ascii="Arial" w:hAnsi="Arial" w:cs="Arial"/>
          <w:sz w:val="20"/>
          <w:szCs w:val="20"/>
        </w:rPr>
        <w:t xml:space="preserve">%) et parmi celles de trois cultures les plus nombreuses sont les associations : </w:t>
      </w:r>
      <w:r w:rsidR="00534094" w:rsidRPr="00B6647E">
        <w:rPr>
          <w:rFonts w:ascii="Arial" w:hAnsi="Arial" w:cs="Arial"/>
          <w:i/>
          <w:sz w:val="20"/>
          <w:szCs w:val="20"/>
        </w:rPr>
        <w:t>banane+manioc+patate douce (</w:t>
      </w:r>
      <w:r w:rsidR="00534094" w:rsidRPr="00B6647E">
        <w:rPr>
          <w:rFonts w:ascii="Arial" w:hAnsi="Arial" w:cs="Arial"/>
          <w:sz w:val="20"/>
          <w:szCs w:val="20"/>
        </w:rPr>
        <w:t>2,</w:t>
      </w:r>
      <w:r w:rsidR="00A12535" w:rsidRPr="00B6647E">
        <w:rPr>
          <w:rFonts w:ascii="Arial" w:hAnsi="Arial" w:cs="Arial"/>
          <w:sz w:val="20"/>
          <w:szCs w:val="20"/>
        </w:rPr>
        <w:t>6</w:t>
      </w:r>
      <w:r w:rsidR="00534094" w:rsidRPr="00B6647E">
        <w:rPr>
          <w:rFonts w:ascii="Arial" w:hAnsi="Arial" w:cs="Arial"/>
          <w:sz w:val="20"/>
          <w:szCs w:val="20"/>
        </w:rPr>
        <w:t xml:space="preserve">%), </w:t>
      </w:r>
      <w:r w:rsidR="00534094" w:rsidRPr="00B6647E">
        <w:rPr>
          <w:rFonts w:ascii="Arial" w:hAnsi="Arial" w:cs="Arial"/>
          <w:i/>
          <w:sz w:val="20"/>
          <w:szCs w:val="20"/>
        </w:rPr>
        <w:t xml:space="preserve">maïs+haricot+pomme de terre </w:t>
      </w:r>
      <w:r w:rsidR="00534094" w:rsidRPr="00B6647E">
        <w:rPr>
          <w:rFonts w:ascii="Arial" w:hAnsi="Arial" w:cs="Arial"/>
          <w:sz w:val="20"/>
          <w:szCs w:val="20"/>
        </w:rPr>
        <w:t>(</w:t>
      </w:r>
      <w:r w:rsidR="00A12535" w:rsidRPr="00B6647E">
        <w:rPr>
          <w:rFonts w:ascii="Arial" w:hAnsi="Arial" w:cs="Arial"/>
          <w:sz w:val="20"/>
          <w:szCs w:val="20"/>
        </w:rPr>
        <w:t>0,9</w:t>
      </w:r>
      <w:r w:rsidR="00534094" w:rsidRPr="00B6647E">
        <w:rPr>
          <w:rFonts w:ascii="Arial" w:hAnsi="Arial" w:cs="Arial"/>
          <w:sz w:val="20"/>
          <w:szCs w:val="20"/>
        </w:rPr>
        <w:t xml:space="preserve">%), </w:t>
      </w:r>
      <w:r w:rsidR="00534094" w:rsidRPr="00B6647E">
        <w:rPr>
          <w:rFonts w:ascii="Arial" w:hAnsi="Arial" w:cs="Arial"/>
          <w:i/>
          <w:sz w:val="20"/>
          <w:szCs w:val="20"/>
        </w:rPr>
        <w:t>banane+colocase+manioc</w:t>
      </w:r>
      <w:r w:rsidR="00534094" w:rsidRPr="00B6647E">
        <w:rPr>
          <w:rFonts w:ascii="Arial" w:hAnsi="Arial" w:cs="Arial"/>
          <w:sz w:val="20"/>
          <w:szCs w:val="20"/>
        </w:rPr>
        <w:t xml:space="preserve"> (</w:t>
      </w:r>
      <w:r w:rsidR="00A12535" w:rsidRPr="00B6647E">
        <w:rPr>
          <w:rFonts w:ascii="Arial" w:hAnsi="Arial" w:cs="Arial"/>
          <w:sz w:val="20"/>
          <w:szCs w:val="20"/>
        </w:rPr>
        <w:t>0,</w:t>
      </w:r>
      <w:r w:rsidR="00534094" w:rsidRPr="00B6647E">
        <w:rPr>
          <w:rFonts w:ascii="Arial" w:hAnsi="Arial" w:cs="Arial"/>
          <w:sz w:val="20"/>
          <w:szCs w:val="20"/>
        </w:rPr>
        <w:t>6%).</w:t>
      </w:r>
      <w:r w:rsidR="00A12535" w:rsidRPr="00B6647E">
        <w:rPr>
          <w:rFonts w:ascii="Arial" w:hAnsi="Arial" w:cs="Arial"/>
          <w:sz w:val="20"/>
          <w:szCs w:val="20"/>
        </w:rPr>
        <w:t xml:space="preserve"> </w:t>
      </w:r>
      <w:r w:rsidR="00534094" w:rsidRPr="00B6647E">
        <w:rPr>
          <w:rFonts w:ascii="Arial" w:hAnsi="Arial" w:cs="Arial"/>
          <w:sz w:val="20"/>
          <w:szCs w:val="20"/>
        </w:rPr>
        <w:t xml:space="preserve">Il y a 2,4% de parcelles portant des associations de quatre cultures. Parmi ces parcelles, les plus nombreuses sont celles qui portent l’association </w:t>
      </w:r>
      <w:r w:rsidR="00A12535" w:rsidRPr="00B6647E">
        <w:rPr>
          <w:rFonts w:ascii="Arial" w:hAnsi="Arial" w:cs="Arial"/>
          <w:i/>
          <w:sz w:val="20"/>
          <w:szCs w:val="20"/>
        </w:rPr>
        <w:t>banane+colocase+manioc+p</w:t>
      </w:r>
      <w:r w:rsidR="00534094" w:rsidRPr="00B6647E">
        <w:rPr>
          <w:rFonts w:ascii="Arial" w:hAnsi="Arial" w:cs="Arial"/>
          <w:i/>
          <w:sz w:val="20"/>
          <w:szCs w:val="20"/>
        </w:rPr>
        <w:t xml:space="preserve">atate douce </w:t>
      </w:r>
      <w:r w:rsidR="00534094" w:rsidRPr="00B6647E">
        <w:rPr>
          <w:rFonts w:ascii="Arial" w:hAnsi="Arial" w:cs="Arial"/>
          <w:color w:val="000000"/>
          <w:sz w:val="20"/>
          <w:szCs w:val="20"/>
          <w:lang w:eastAsia="en-US"/>
        </w:rPr>
        <w:t>(</w:t>
      </w:r>
      <w:r w:rsidR="00A12535" w:rsidRPr="00B6647E">
        <w:rPr>
          <w:rFonts w:ascii="Arial" w:hAnsi="Arial" w:cs="Arial"/>
          <w:color w:val="000000"/>
          <w:sz w:val="20"/>
          <w:szCs w:val="20"/>
          <w:lang w:eastAsia="en-US"/>
        </w:rPr>
        <w:t>0,3</w:t>
      </w:r>
      <w:r w:rsidR="00534094" w:rsidRPr="00B6647E">
        <w:rPr>
          <w:rFonts w:ascii="Arial" w:hAnsi="Arial" w:cs="Arial"/>
          <w:sz w:val="20"/>
          <w:szCs w:val="20"/>
        </w:rPr>
        <w:t xml:space="preserve">%), </w:t>
      </w:r>
      <w:r w:rsidR="00534094" w:rsidRPr="00B6647E">
        <w:rPr>
          <w:rFonts w:ascii="Arial" w:hAnsi="Arial" w:cs="Arial"/>
          <w:color w:val="000000"/>
          <w:sz w:val="20"/>
          <w:szCs w:val="20"/>
          <w:lang w:eastAsia="en-US"/>
        </w:rPr>
        <w:t xml:space="preserve">l’association </w:t>
      </w:r>
      <w:r w:rsidR="00A12535" w:rsidRPr="00B6647E">
        <w:rPr>
          <w:rFonts w:ascii="Arial" w:hAnsi="Arial" w:cs="Arial"/>
          <w:i/>
          <w:color w:val="000000"/>
          <w:sz w:val="20"/>
          <w:szCs w:val="20"/>
          <w:lang w:eastAsia="en-US"/>
        </w:rPr>
        <w:t>p</w:t>
      </w:r>
      <w:r w:rsidR="00534094" w:rsidRPr="00B6647E">
        <w:rPr>
          <w:rFonts w:ascii="Arial" w:hAnsi="Arial" w:cs="Arial"/>
          <w:i/>
          <w:color w:val="000000"/>
          <w:sz w:val="20"/>
          <w:szCs w:val="20"/>
          <w:lang w:eastAsia="en-US"/>
        </w:rPr>
        <w:t>ois cajan+</w:t>
      </w:r>
      <w:r w:rsidR="00A12535" w:rsidRPr="00B6647E">
        <w:rPr>
          <w:rFonts w:ascii="Arial" w:hAnsi="Arial" w:cs="Arial"/>
          <w:i/>
          <w:color w:val="000000"/>
          <w:sz w:val="20"/>
          <w:szCs w:val="20"/>
          <w:lang w:eastAsia="en-US"/>
        </w:rPr>
        <w:t>b</w:t>
      </w:r>
      <w:r w:rsidR="00534094" w:rsidRPr="00B6647E">
        <w:rPr>
          <w:rFonts w:ascii="Arial" w:hAnsi="Arial" w:cs="Arial"/>
          <w:i/>
          <w:color w:val="000000"/>
          <w:sz w:val="20"/>
          <w:szCs w:val="20"/>
          <w:lang w:eastAsia="en-US"/>
        </w:rPr>
        <w:t>anane+</w:t>
      </w:r>
      <w:r w:rsidR="00A12535" w:rsidRPr="00B6647E">
        <w:rPr>
          <w:rFonts w:ascii="Arial" w:hAnsi="Arial" w:cs="Arial"/>
          <w:i/>
          <w:color w:val="000000"/>
          <w:sz w:val="20"/>
          <w:szCs w:val="20"/>
          <w:lang w:eastAsia="en-US"/>
        </w:rPr>
        <w:t>m</w:t>
      </w:r>
      <w:r w:rsidR="00534094" w:rsidRPr="00B6647E">
        <w:rPr>
          <w:rFonts w:ascii="Arial" w:hAnsi="Arial" w:cs="Arial"/>
          <w:i/>
          <w:color w:val="000000"/>
          <w:sz w:val="20"/>
          <w:szCs w:val="20"/>
          <w:lang w:eastAsia="en-US"/>
        </w:rPr>
        <w:t>anioc+</w:t>
      </w:r>
      <w:r w:rsidR="00A12535" w:rsidRPr="00B6647E">
        <w:rPr>
          <w:rFonts w:ascii="Arial" w:hAnsi="Arial" w:cs="Arial"/>
          <w:i/>
          <w:color w:val="000000"/>
          <w:sz w:val="20"/>
          <w:szCs w:val="20"/>
          <w:lang w:eastAsia="en-US"/>
        </w:rPr>
        <w:t>p</w:t>
      </w:r>
      <w:r w:rsidR="00534094" w:rsidRPr="00B6647E">
        <w:rPr>
          <w:rFonts w:ascii="Arial" w:hAnsi="Arial" w:cs="Arial"/>
          <w:i/>
          <w:color w:val="000000"/>
          <w:sz w:val="20"/>
          <w:szCs w:val="20"/>
          <w:lang w:eastAsia="en-US"/>
        </w:rPr>
        <w:t>atate douce</w:t>
      </w:r>
      <w:r w:rsidR="00534094" w:rsidRPr="00B6647E">
        <w:rPr>
          <w:rFonts w:ascii="Arial" w:hAnsi="Arial" w:cs="Arial"/>
          <w:color w:val="000000"/>
          <w:sz w:val="20"/>
          <w:szCs w:val="20"/>
          <w:lang w:eastAsia="en-US"/>
        </w:rPr>
        <w:t xml:space="preserve"> (0,2%) et l’association </w:t>
      </w:r>
      <w:r w:rsidR="00A12535" w:rsidRPr="00B6647E">
        <w:rPr>
          <w:rFonts w:ascii="Arial" w:hAnsi="Arial" w:cs="Arial"/>
          <w:i/>
          <w:color w:val="000000"/>
          <w:sz w:val="20"/>
          <w:szCs w:val="20"/>
          <w:lang w:eastAsia="en-US"/>
        </w:rPr>
        <w:t>m</w:t>
      </w:r>
      <w:r w:rsidR="00534094" w:rsidRPr="00B6647E">
        <w:rPr>
          <w:rFonts w:ascii="Arial" w:hAnsi="Arial" w:cs="Arial"/>
          <w:i/>
          <w:color w:val="000000"/>
          <w:sz w:val="20"/>
          <w:szCs w:val="20"/>
          <w:lang w:eastAsia="en-US"/>
        </w:rPr>
        <w:t>aïs+</w:t>
      </w:r>
      <w:r w:rsidR="00A12535" w:rsidRPr="00B6647E">
        <w:rPr>
          <w:rFonts w:ascii="Arial" w:hAnsi="Arial" w:cs="Arial"/>
          <w:i/>
          <w:color w:val="000000"/>
          <w:sz w:val="20"/>
          <w:szCs w:val="20"/>
          <w:lang w:eastAsia="en-US"/>
        </w:rPr>
        <w:t>h</w:t>
      </w:r>
      <w:r w:rsidR="00534094" w:rsidRPr="00B6647E">
        <w:rPr>
          <w:rFonts w:ascii="Arial" w:hAnsi="Arial" w:cs="Arial"/>
          <w:i/>
          <w:color w:val="000000"/>
          <w:sz w:val="20"/>
          <w:szCs w:val="20"/>
          <w:lang w:eastAsia="en-US"/>
        </w:rPr>
        <w:t>aricot+</w:t>
      </w:r>
      <w:r w:rsidR="00A12535" w:rsidRPr="00B6647E">
        <w:rPr>
          <w:rFonts w:ascii="Arial" w:hAnsi="Arial" w:cs="Arial"/>
          <w:i/>
          <w:color w:val="000000"/>
          <w:sz w:val="20"/>
          <w:szCs w:val="20"/>
          <w:lang w:eastAsia="en-US"/>
        </w:rPr>
        <w:t>p</w:t>
      </w:r>
      <w:r w:rsidR="00534094" w:rsidRPr="00B6647E">
        <w:rPr>
          <w:rFonts w:ascii="Arial" w:hAnsi="Arial" w:cs="Arial"/>
          <w:i/>
          <w:color w:val="000000"/>
          <w:sz w:val="20"/>
          <w:szCs w:val="20"/>
          <w:lang w:eastAsia="en-US"/>
        </w:rPr>
        <w:t>atate douce+</w:t>
      </w:r>
      <w:r w:rsidR="00A12535" w:rsidRPr="00B6647E">
        <w:rPr>
          <w:rFonts w:ascii="Arial" w:hAnsi="Arial" w:cs="Arial"/>
          <w:i/>
          <w:color w:val="000000"/>
          <w:sz w:val="20"/>
          <w:szCs w:val="20"/>
          <w:lang w:eastAsia="en-US"/>
        </w:rPr>
        <w:t>p</w:t>
      </w:r>
      <w:r w:rsidR="00534094" w:rsidRPr="00B6647E">
        <w:rPr>
          <w:rFonts w:ascii="Arial" w:hAnsi="Arial" w:cs="Arial"/>
          <w:i/>
          <w:color w:val="000000"/>
          <w:sz w:val="20"/>
          <w:szCs w:val="20"/>
          <w:lang w:eastAsia="en-US"/>
        </w:rPr>
        <w:t>omme de terre</w:t>
      </w:r>
      <w:r w:rsidR="00534094" w:rsidRPr="00B6647E">
        <w:rPr>
          <w:rFonts w:ascii="Arial" w:hAnsi="Arial" w:cs="Arial"/>
          <w:color w:val="000000"/>
          <w:sz w:val="20"/>
          <w:szCs w:val="20"/>
          <w:lang w:eastAsia="en-US"/>
        </w:rPr>
        <w:t xml:space="preserve"> (9,9%). Les parcelles portant des associations de cinq cultures</w:t>
      </w:r>
      <w:r w:rsidR="00534094" w:rsidRPr="00B6647E">
        <w:rPr>
          <w:rFonts w:ascii="Arial" w:hAnsi="Arial" w:cs="Arial"/>
          <w:sz w:val="20"/>
          <w:szCs w:val="20"/>
        </w:rPr>
        <w:t xml:space="preserve"> ne représentent que 0,4% de l’ensemble des parcelles cultivées.</w:t>
      </w:r>
      <w:r w:rsidR="00A12535" w:rsidRPr="00B6647E">
        <w:rPr>
          <w:rFonts w:ascii="Arial" w:hAnsi="Arial" w:cs="Arial"/>
          <w:sz w:val="20"/>
          <w:szCs w:val="20"/>
        </w:rPr>
        <w:t xml:space="preserve"> Il y a 0,1</w:t>
      </w:r>
      <w:r w:rsidR="00534094" w:rsidRPr="00B6647E">
        <w:rPr>
          <w:rFonts w:ascii="Arial" w:hAnsi="Arial" w:cs="Arial"/>
          <w:sz w:val="20"/>
          <w:szCs w:val="20"/>
        </w:rPr>
        <w:t xml:space="preserve">% parmi elles qui portent l’association </w:t>
      </w:r>
      <w:r w:rsidR="00A12535" w:rsidRPr="00B6647E">
        <w:rPr>
          <w:rFonts w:ascii="Arial" w:hAnsi="Arial" w:cs="Arial"/>
          <w:i/>
          <w:sz w:val="20"/>
          <w:szCs w:val="20"/>
        </w:rPr>
        <w:t>m</w:t>
      </w:r>
      <w:r w:rsidR="00534094" w:rsidRPr="00B6647E">
        <w:rPr>
          <w:rFonts w:ascii="Arial" w:hAnsi="Arial" w:cs="Arial"/>
          <w:i/>
          <w:sz w:val="20"/>
          <w:szCs w:val="20"/>
        </w:rPr>
        <w:t>aïs+</w:t>
      </w:r>
      <w:r w:rsidR="00A12535" w:rsidRPr="00B6647E">
        <w:rPr>
          <w:rFonts w:ascii="Arial" w:hAnsi="Arial" w:cs="Arial"/>
          <w:i/>
          <w:sz w:val="20"/>
          <w:szCs w:val="20"/>
        </w:rPr>
        <w:t>h</w:t>
      </w:r>
      <w:r w:rsidR="00534094" w:rsidRPr="00B6647E">
        <w:rPr>
          <w:rFonts w:ascii="Arial" w:hAnsi="Arial" w:cs="Arial"/>
          <w:i/>
          <w:sz w:val="20"/>
          <w:szCs w:val="20"/>
        </w:rPr>
        <w:t>aricot+</w:t>
      </w:r>
      <w:r w:rsidR="00A12535" w:rsidRPr="00B6647E">
        <w:rPr>
          <w:rFonts w:ascii="Arial" w:hAnsi="Arial" w:cs="Arial"/>
          <w:i/>
          <w:sz w:val="20"/>
          <w:szCs w:val="20"/>
        </w:rPr>
        <w:t>b</w:t>
      </w:r>
      <w:r w:rsidR="00534094" w:rsidRPr="00B6647E">
        <w:rPr>
          <w:rFonts w:ascii="Arial" w:hAnsi="Arial" w:cs="Arial"/>
          <w:i/>
          <w:sz w:val="20"/>
          <w:szCs w:val="20"/>
        </w:rPr>
        <w:t>anane+</w:t>
      </w:r>
      <w:r w:rsidR="00A12535" w:rsidRPr="00B6647E">
        <w:rPr>
          <w:rFonts w:ascii="Arial" w:hAnsi="Arial" w:cs="Arial"/>
          <w:i/>
          <w:sz w:val="20"/>
          <w:szCs w:val="20"/>
        </w:rPr>
        <w:t>m</w:t>
      </w:r>
      <w:r w:rsidR="00534094" w:rsidRPr="00B6647E">
        <w:rPr>
          <w:rFonts w:ascii="Arial" w:hAnsi="Arial" w:cs="Arial"/>
          <w:i/>
          <w:sz w:val="20"/>
          <w:szCs w:val="20"/>
        </w:rPr>
        <w:t>anioc+</w:t>
      </w:r>
      <w:r w:rsidR="00A12535" w:rsidRPr="00B6647E">
        <w:rPr>
          <w:rFonts w:ascii="Arial" w:hAnsi="Arial" w:cs="Arial"/>
          <w:i/>
          <w:sz w:val="20"/>
          <w:szCs w:val="20"/>
        </w:rPr>
        <w:t>p</w:t>
      </w:r>
      <w:r w:rsidR="00534094" w:rsidRPr="00B6647E">
        <w:rPr>
          <w:rFonts w:ascii="Arial" w:hAnsi="Arial" w:cs="Arial"/>
          <w:i/>
          <w:sz w:val="20"/>
          <w:szCs w:val="20"/>
        </w:rPr>
        <w:t>atate douce</w:t>
      </w:r>
      <w:r w:rsidR="00534094" w:rsidRPr="00B6647E">
        <w:rPr>
          <w:rFonts w:ascii="Arial" w:hAnsi="Arial" w:cs="Arial"/>
          <w:i/>
          <w:color w:val="000000"/>
          <w:sz w:val="20"/>
          <w:szCs w:val="20"/>
          <w:lang w:eastAsia="en-US"/>
        </w:rPr>
        <w:t xml:space="preserve"> </w:t>
      </w:r>
      <w:r w:rsidR="00534094" w:rsidRPr="00B6647E">
        <w:rPr>
          <w:rFonts w:ascii="Arial" w:hAnsi="Arial" w:cs="Arial"/>
          <w:color w:val="000000"/>
          <w:sz w:val="20"/>
          <w:szCs w:val="20"/>
          <w:lang w:eastAsia="en-US"/>
        </w:rPr>
        <w:t xml:space="preserve">et </w:t>
      </w:r>
      <w:r w:rsidR="00A12535" w:rsidRPr="00B6647E">
        <w:rPr>
          <w:rFonts w:ascii="Arial" w:hAnsi="Arial" w:cs="Arial"/>
          <w:color w:val="000000"/>
          <w:sz w:val="20"/>
          <w:szCs w:val="20"/>
          <w:lang w:eastAsia="en-US"/>
        </w:rPr>
        <w:t>0</w:t>
      </w:r>
      <w:r w:rsidR="00534094" w:rsidRPr="00B6647E">
        <w:rPr>
          <w:rFonts w:ascii="Arial" w:hAnsi="Arial" w:cs="Arial"/>
          <w:color w:val="000000"/>
          <w:sz w:val="20"/>
          <w:szCs w:val="20"/>
          <w:lang w:eastAsia="en-US"/>
        </w:rPr>
        <w:t>,</w:t>
      </w:r>
      <w:r w:rsidR="00A12535" w:rsidRPr="00B6647E">
        <w:rPr>
          <w:rFonts w:ascii="Arial" w:hAnsi="Arial" w:cs="Arial"/>
          <w:color w:val="000000"/>
          <w:sz w:val="20"/>
          <w:szCs w:val="20"/>
          <w:lang w:eastAsia="en-US"/>
        </w:rPr>
        <w:t>0</w:t>
      </w:r>
      <w:r w:rsidR="00534094" w:rsidRPr="00B6647E">
        <w:rPr>
          <w:rFonts w:ascii="Arial" w:hAnsi="Arial" w:cs="Arial"/>
          <w:color w:val="000000"/>
          <w:sz w:val="20"/>
          <w:szCs w:val="20"/>
          <w:lang w:eastAsia="en-US"/>
        </w:rPr>
        <w:t xml:space="preserve">4% avec l’association de cultures </w:t>
      </w:r>
      <w:r w:rsidR="00A12535" w:rsidRPr="00B6647E">
        <w:rPr>
          <w:rFonts w:ascii="Arial" w:hAnsi="Arial" w:cs="Arial"/>
          <w:i/>
          <w:color w:val="000000"/>
          <w:sz w:val="20"/>
          <w:szCs w:val="20"/>
          <w:lang w:eastAsia="en-US"/>
        </w:rPr>
        <w:t>m</w:t>
      </w:r>
      <w:r w:rsidR="00534094" w:rsidRPr="00B6647E">
        <w:rPr>
          <w:rFonts w:ascii="Arial" w:hAnsi="Arial" w:cs="Arial"/>
          <w:i/>
          <w:color w:val="000000"/>
          <w:sz w:val="20"/>
          <w:szCs w:val="20"/>
          <w:lang w:eastAsia="en-US"/>
        </w:rPr>
        <w:t>aïs+</w:t>
      </w:r>
      <w:r w:rsidR="00A12535" w:rsidRPr="00B6647E">
        <w:rPr>
          <w:rFonts w:ascii="Arial" w:hAnsi="Arial" w:cs="Arial"/>
          <w:i/>
          <w:color w:val="000000"/>
          <w:sz w:val="20"/>
          <w:szCs w:val="20"/>
          <w:lang w:eastAsia="en-US"/>
        </w:rPr>
        <w:t>s</w:t>
      </w:r>
      <w:r w:rsidR="00534094" w:rsidRPr="00B6647E">
        <w:rPr>
          <w:rFonts w:ascii="Arial" w:hAnsi="Arial" w:cs="Arial"/>
          <w:i/>
          <w:color w:val="000000"/>
          <w:sz w:val="20"/>
          <w:szCs w:val="20"/>
          <w:lang w:eastAsia="en-US"/>
        </w:rPr>
        <w:t>orgho+</w:t>
      </w:r>
      <w:r w:rsidR="00A12535" w:rsidRPr="00B6647E">
        <w:rPr>
          <w:rFonts w:ascii="Arial" w:hAnsi="Arial" w:cs="Arial"/>
          <w:i/>
          <w:color w:val="000000"/>
          <w:sz w:val="20"/>
          <w:szCs w:val="20"/>
          <w:lang w:eastAsia="en-US"/>
        </w:rPr>
        <w:t>h</w:t>
      </w:r>
      <w:r w:rsidR="00534094" w:rsidRPr="00B6647E">
        <w:rPr>
          <w:rFonts w:ascii="Arial" w:hAnsi="Arial" w:cs="Arial"/>
          <w:i/>
          <w:color w:val="000000"/>
          <w:sz w:val="20"/>
          <w:szCs w:val="20"/>
          <w:lang w:eastAsia="en-US"/>
        </w:rPr>
        <w:t>aricot+</w:t>
      </w:r>
      <w:r w:rsidR="00A12535" w:rsidRPr="00B6647E">
        <w:rPr>
          <w:rFonts w:ascii="Arial" w:hAnsi="Arial" w:cs="Arial"/>
          <w:i/>
          <w:color w:val="000000"/>
          <w:sz w:val="20"/>
          <w:szCs w:val="20"/>
          <w:lang w:eastAsia="en-US"/>
        </w:rPr>
        <w:t>c</w:t>
      </w:r>
      <w:r w:rsidR="00534094" w:rsidRPr="00B6647E">
        <w:rPr>
          <w:rFonts w:ascii="Arial" w:hAnsi="Arial" w:cs="Arial"/>
          <w:i/>
          <w:color w:val="000000"/>
          <w:sz w:val="20"/>
          <w:szCs w:val="20"/>
          <w:lang w:eastAsia="en-US"/>
        </w:rPr>
        <w:t>olocase+</w:t>
      </w:r>
      <w:r w:rsidR="00A12535" w:rsidRPr="00B6647E">
        <w:rPr>
          <w:rFonts w:ascii="Arial" w:hAnsi="Arial" w:cs="Arial"/>
          <w:i/>
          <w:color w:val="000000"/>
          <w:sz w:val="20"/>
          <w:szCs w:val="20"/>
          <w:lang w:eastAsia="en-US"/>
        </w:rPr>
        <w:t>p</w:t>
      </w:r>
      <w:r w:rsidR="00534094" w:rsidRPr="00B6647E">
        <w:rPr>
          <w:rFonts w:ascii="Arial" w:hAnsi="Arial" w:cs="Arial"/>
          <w:i/>
          <w:color w:val="000000"/>
          <w:sz w:val="20"/>
          <w:szCs w:val="20"/>
          <w:lang w:eastAsia="en-US"/>
        </w:rPr>
        <w:t>atate douce.</w:t>
      </w:r>
    </w:p>
    <w:p w:rsidR="009D67BD" w:rsidRPr="00B6647E" w:rsidRDefault="00D90EC7" w:rsidP="00B24E80">
      <w:pPr>
        <w:pStyle w:val="Titre3"/>
        <w:keepNext w:val="0"/>
        <w:numPr>
          <w:ilvl w:val="2"/>
          <w:numId w:val="1"/>
        </w:numPr>
        <w:spacing w:before="200" w:after="120"/>
        <w:ind w:left="0" w:firstLine="0"/>
        <w:rPr>
          <w:rFonts w:cs="Arial"/>
          <w:szCs w:val="20"/>
        </w:rPr>
      </w:pPr>
      <w:bookmarkStart w:id="222" w:name="_Toc354313869"/>
      <w:r w:rsidRPr="00B6647E">
        <w:rPr>
          <w:rFonts w:cs="Arial"/>
          <w:szCs w:val="20"/>
        </w:rPr>
        <w:t>Taux de pratique des c</w:t>
      </w:r>
      <w:r w:rsidR="009D67BD" w:rsidRPr="00B6647E">
        <w:rPr>
          <w:rFonts w:cs="Arial"/>
          <w:szCs w:val="20"/>
        </w:rPr>
        <w:t>ultures</w:t>
      </w:r>
      <w:bookmarkEnd w:id="222"/>
    </w:p>
    <w:p w:rsidR="00D1752D" w:rsidRPr="00B6647E" w:rsidRDefault="00DC2886" w:rsidP="00551F55">
      <w:pPr>
        <w:spacing w:line="240" w:lineRule="auto"/>
        <w:rPr>
          <w:rFonts w:ascii="Arial" w:hAnsi="Arial" w:cs="Arial"/>
          <w:b/>
          <w:sz w:val="20"/>
          <w:szCs w:val="20"/>
        </w:rPr>
      </w:pPr>
      <w:r w:rsidRPr="00B6647E">
        <w:rPr>
          <w:rFonts w:ascii="Arial" w:hAnsi="Arial" w:cs="Arial"/>
          <w:b/>
          <w:sz w:val="20"/>
          <w:szCs w:val="20"/>
        </w:rPr>
        <w:t>Tableau</w:t>
      </w:r>
      <w:r w:rsidR="00D1752D" w:rsidRPr="00B6647E">
        <w:rPr>
          <w:rFonts w:ascii="Arial" w:hAnsi="Arial" w:cs="Arial"/>
          <w:b/>
          <w:sz w:val="20"/>
          <w:szCs w:val="20"/>
        </w:rPr>
        <w:t xml:space="preserve"> </w:t>
      </w:r>
      <w:r w:rsidR="00EE32E1">
        <w:rPr>
          <w:rFonts w:ascii="Arial" w:hAnsi="Arial" w:cs="Arial"/>
          <w:b/>
          <w:sz w:val="20"/>
          <w:szCs w:val="20"/>
        </w:rPr>
        <w:t>44</w:t>
      </w:r>
      <w:r w:rsidR="00D1752D" w:rsidRPr="00B6647E">
        <w:rPr>
          <w:rFonts w:ascii="Arial" w:hAnsi="Arial" w:cs="Arial"/>
          <w:b/>
          <w:sz w:val="20"/>
          <w:szCs w:val="20"/>
        </w:rPr>
        <w:t xml:space="preserve"> : Taux de pratiques des cultures </w:t>
      </w:r>
      <w:r w:rsidR="00A416C1" w:rsidRPr="00B6647E">
        <w:rPr>
          <w:rFonts w:ascii="Arial" w:hAnsi="Arial" w:cs="Arial"/>
          <w:b/>
          <w:sz w:val="20"/>
          <w:szCs w:val="20"/>
        </w:rPr>
        <w:t xml:space="preserve">vivrières </w:t>
      </w:r>
      <w:r w:rsidR="00D1752D" w:rsidRPr="00B6647E">
        <w:rPr>
          <w:rFonts w:ascii="Arial" w:hAnsi="Arial" w:cs="Arial"/>
          <w:b/>
          <w:sz w:val="20"/>
          <w:szCs w:val="20"/>
        </w:rPr>
        <w:t>par saison (% de ménages)</w:t>
      </w:r>
    </w:p>
    <w:p w:rsidR="00F86877" w:rsidRPr="00B6647E" w:rsidRDefault="00F86877" w:rsidP="00551F55">
      <w:pPr>
        <w:spacing w:line="240" w:lineRule="auto"/>
        <w:rPr>
          <w:rFonts w:ascii="Arial" w:hAnsi="Arial" w:cs="Arial"/>
          <w:sz w:val="20"/>
          <w:szCs w:val="20"/>
        </w:rPr>
      </w:pPr>
      <w:r w:rsidRPr="00B6647E">
        <w:rPr>
          <w:noProof/>
          <w:szCs w:val="20"/>
          <w:lang w:val="fr-FR" w:eastAsia="fr-FR"/>
        </w:rPr>
        <w:drawing>
          <wp:inline distT="0" distB="0" distL="0" distR="0">
            <wp:extent cx="3600450" cy="4267200"/>
            <wp:effectExtent l="19050" t="0" r="0" b="0"/>
            <wp:docPr id="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srcRect/>
                    <a:stretch>
                      <a:fillRect/>
                    </a:stretch>
                  </pic:blipFill>
                  <pic:spPr bwMode="auto">
                    <a:xfrm>
                      <a:off x="0" y="0"/>
                      <a:ext cx="3600450" cy="4267200"/>
                    </a:xfrm>
                    <a:prstGeom prst="rect">
                      <a:avLst/>
                    </a:prstGeom>
                    <a:noFill/>
                    <a:ln w="9525">
                      <a:noFill/>
                      <a:miter lim="800000"/>
                      <a:headEnd/>
                      <a:tailEnd/>
                    </a:ln>
                  </pic:spPr>
                </pic:pic>
              </a:graphicData>
            </a:graphic>
          </wp:inline>
        </w:drawing>
      </w:r>
    </w:p>
    <w:p w:rsidR="00763734" w:rsidRPr="00B6647E" w:rsidRDefault="00763734" w:rsidP="00763734">
      <w:pPr>
        <w:spacing w:line="240" w:lineRule="auto"/>
        <w:jc w:val="both"/>
        <w:rPr>
          <w:rFonts w:ascii="Arial" w:hAnsi="Arial" w:cs="Arial"/>
          <w:sz w:val="20"/>
          <w:szCs w:val="20"/>
        </w:rPr>
      </w:pPr>
      <w:r w:rsidRPr="00B6647E">
        <w:rPr>
          <w:rFonts w:ascii="Arial" w:hAnsi="Arial" w:cs="Arial"/>
          <w:sz w:val="20"/>
          <w:szCs w:val="20"/>
        </w:rPr>
        <w:t xml:space="preserve">Au cours de la saison A, plus de sept ménages agricoles sur dix ont cultivé le maïs (87%), le manioc amer (76,9%), la banane à bière (75,4%), la patate douce (73,9%), la banane à cuire (70,4%). </w:t>
      </w:r>
      <w:r w:rsidRPr="00B6647E">
        <w:rPr>
          <w:rFonts w:ascii="Arial" w:hAnsi="Arial" w:cs="Arial"/>
          <w:sz w:val="20"/>
          <w:szCs w:val="20"/>
        </w:rPr>
        <w:lastRenderedPageBreak/>
        <w:t>L’éleusine (9,5%), le soja (7,5%), le niébé (5,1%) et le blé (2,7%) ont été pratiqués par moins d’un ménage sur dix.</w:t>
      </w:r>
    </w:p>
    <w:p w:rsidR="00763734" w:rsidRPr="00B6647E" w:rsidRDefault="00763734" w:rsidP="00763734">
      <w:pPr>
        <w:spacing w:line="240" w:lineRule="auto"/>
        <w:jc w:val="both"/>
        <w:rPr>
          <w:rFonts w:ascii="Arial" w:hAnsi="Arial" w:cs="Arial"/>
          <w:sz w:val="20"/>
          <w:szCs w:val="20"/>
        </w:rPr>
      </w:pPr>
      <w:r w:rsidRPr="00B6647E">
        <w:rPr>
          <w:rFonts w:ascii="Arial" w:hAnsi="Arial" w:cs="Arial"/>
          <w:sz w:val="20"/>
          <w:szCs w:val="20"/>
        </w:rPr>
        <w:t>Pendant la saison B, plus de six ménages agricoles sur dix ont cultivé la banane à bière (74,5%), le manioc amer (74,3%), le haricot nain (67,2%), la patate douce (67,1%), la banane à cuire (63,2%). Le tournesol (8,6%), le niébé (7,3%), le soja (5,6%), l’éleusine (4,6%), et le blé (3,7%) ont été pratiqués par moins d’un ménage sur dix.</w:t>
      </w:r>
    </w:p>
    <w:p w:rsidR="00763734" w:rsidRPr="00B6647E" w:rsidRDefault="00763734" w:rsidP="00763734">
      <w:pPr>
        <w:spacing w:line="240" w:lineRule="auto"/>
        <w:jc w:val="both"/>
        <w:rPr>
          <w:rFonts w:ascii="Arial" w:hAnsi="Arial" w:cs="Arial"/>
          <w:sz w:val="20"/>
          <w:szCs w:val="20"/>
        </w:rPr>
      </w:pPr>
      <w:r w:rsidRPr="00B6647E">
        <w:rPr>
          <w:rFonts w:ascii="Arial" w:hAnsi="Arial" w:cs="Arial"/>
          <w:sz w:val="20"/>
          <w:szCs w:val="20"/>
        </w:rPr>
        <w:t>En saison C, plus de la moitié des ménages agricoles ont cultivé la banane à bière (70,3%), le manioc amer (68,2%), la banane à cuire (59,9%), la patate douce (56,5%). Le riz, l’arachide, le soja, le niébé et l’éleusine ont été pratiqués par moins de 3% des ménages.</w:t>
      </w:r>
    </w:p>
    <w:p w:rsidR="00763734" w:rsidRPr="00B6647E" w:rsidRDefault="00763734" w:rsidP="00763734">
      <w:pPr>
        <w:spacing w:line="240" w:lineRule="auto"/>
        <w:jc w:val="both"/>
        <w:rPr>
          <w:rFonts w:ascii="Arial" w:hAnsi="Arial" w:cs="Arial"/>
          <w:sz w:val="20"/>
          <w:szCs w:val="20"/>
        </w:rPr>
      </w:pPr>
      <w:r w:rsidRPr="00B6647E">
        <w:rPr>
          <w:rFonts w:ascii="Arial" w:hAnsi="Arial" w:cs="Arial"/>
          <w:sz w:val="20"/>
          <w:szCs w:val="20"/>
        </w:rPr>
        <w:t>Au cours de la campagne agricole 2011-2012, les cultures les plus pratiquées et communes aux trois saisons sont la banane à bière(75,4% en saison A, 74,5% au cours de la saison B et 70,3% pendant la saison C), le manioc amer (76,9% pendant la saison A, 74,3% au cours de la saison B et 68,2% en saison C), la banane à cuire (70,4% au cours de la saison A, 63,2% en saison B et 59,9% pendant la saison C) et la patate douce (73,9% en saison A, 67,1% au cours de la saison B et 56,5% pendant la saison C)</w:t>
      </w:r>
    </w:p>
    <w:p w:rsidR="000F2596" w:rsidRPr="00B6647E" w:rsidRDefault="000F2596" w:rsidP="00551F55">
      <w:pPr>
        <w:spacing w:line="240" w:lineRule="auto"/>
        <w:rPr>
          <w:rFonts w:ascii="Arial" w:hAnsi="Arial" w:cs="Arial"/>
          <w:sz w:val="20"/>
          <w:szCs w:val="20"/>
        </w:rPr>
      </w:pPr>
      <w:r w:rsidRPr="00B6647E">
        <w:rPr>
          <w:rFonts w:ascii="Arial" w:hAnsi="Arial" w:cs="Arial"/>
          <w:sz w:val="20"/>
          <w:szCs w:val="20"/>
        </w:rPr>
        <w:t xml:space="preserve">Les principales cultures sont le maïs, le haricot, la banane, le manioc et la patate douce. Les autres cultures vivrières sont pratiques par moins </w:t>
      </w:r>
      <w:r w:rsidR="006A20C3" w:rsidRPr="00B6647E">
        <w:rPr>
          <w:rFonts w:ascii="Arial" w:hAnsi="Arial" w:cs="Arial"/>
          <w:sz w:val="20"/>
          <w:szCs w:val="20"/>
        </w:rPr>
        <w:t>d</w:t>
      </w:r>
      <w:r w:rsidRPr="00B6647E">
        <w:rPr>
          <w:rFonts w:ascii="Arial" w:hAnsi="Arial" w:cs="Arial"/>
          <w:sz w:val="20"/>
          <w:szCs w:val="20"/>
        </w:rPr>
        <w:t>’un ménage agricole sur cinq</w:t>
      </w:r>
      <w:r w:rsidR="00D66FB6" w:rsidRPr="00B6647E">
        <w:rPr>
          <w:rFonts w:ascii="Arial" w:hAnsi="Arial" w:cs="Arial"/>
          <w:sz w:val="20"/>
          <w:szCs w:val="20"/>
        </w:rPr>
        <w:t>.</w:t>
      </w:r>
    </w:p>
    <w:p w:rsidR="00F86877" w:rsidRPr="00B6647E" w:rsidRDefault="006F5A28" w:rsidP="00551F55">
      <w:pPr>
        <w:spacing w:line="240" w:lineRule="auto"/>
        <w:rPr>
          <w:rFonts w:ascii="Arial" w:hAnsi="Arial" w:cs="Arial"/>
          <w:b/>
          <w:sz w:val="20"/>
          <w:szCs w:val="20"/>
        </w:rPr>
      </w:pPr>
      <w:r w:rsidRPr="00B6647E">
        <w:rPr>
          <w:rFonts w:ascii="Arial" w:hAnsi="Arial" w:cs="Arial"/>
          <w:b/>
          <w:sz w:val="20"/>
          <w:szCs w:val="20"/>
        </w:rPr>
        <w:t xml:space="preserve">Graphique </w:t>
      </w:r>
      <w:r w:rsidR="007F30DD">
        <w:rPr>
          <w:rFonts w:ascii="Arial" w:hAnsi="Arial" w:cs="Arial"/>
          <w:b/>
          <w:sz w:val="20"/>
          <w:szCs w:val="20"/>
        </w:rPr>
        <w:t>11</w:t>
      </w:r>
      <w:r w:rsidR="00D66FB6" w:rsidRPr="00B6647E">
        <w:rPr>
          <w:rFonts w:ascii="Arial" w:hAnsi="Arial" w:cs="Arial"/>
          <w:b/>
          <w:sz w:val="20"/>
          <w:szCs w:val="20"/>
        </w:rPr>
        <w:t> : Taux de pratique des principales cultures vivrières (% de ménages)</w:t>
      </w:r>
    </w:p>
    <w:p w:rsidR="00F86877" w:rsidRPr="00B6647E" w:rsidRDefault="00980E0B" w:rsidP="00551F55">
      <w:pPr>
        <w:spacing w:line="240" w:lineRule="auto"/>
        <w:rPr>
          <w:rFonts w:ascii="Arial" w:hAnsi="Arial" w:cs="Arial"/>
          <w:sz w:val="20"/>
          <w:szCs w:val="20"/>
        </w:rPr>
      </w:pPr>
      <w:r w:rsidRPr="00B6647E">
        <w:rPr>
          <w:noProof/>
          <w:szCs w:val="20"/>
          <w:lang w:val="fr-FR" w:eastAsia="fr-FR"/>
        </w:rPr>
        <w:drawing>
          <wp:inline distT="0" distB="0" distL="0" distR="0">
            <wp:extent cx="5592445" cy="3296285"/>
            <wp:effectExtent l="19050" t="0" r="8255" b="0"/>
            <wp:docPr id="5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srcRect/>
                    <a:stretch>
                      <a:fillRect/>
                    </a:stretch>
                  </pic:blipFill>
                  <pic:spPr bwMode="auto">
                    <a:xfrm>
                      <a:off x="0" y="0"/>
                      <a:ext cx="5592445" cy="3296285"/>
                    </a:xfrm>
                    <a:prstGeom prst="rect">
                      <a:avLst/>
                    </a:prstGeom>
                    <a:noFill/>
                    <a:ln w="9525">
                      <a:noFill/>
                      <a:miter lim="800000"/>
                      <a:headEnd/>
                      <a:tailEnd/>
                    </a:ln>
                  </pic:spPr>
                </pic:pic>
              </a:graphicData>
            </a:graphic>
          </wp:inline>
        </w:drawing>
      </w:r>
    </w:p>
    <w:p w:rsidR="00CB0862" w:rsidRPr="00B6647E" w:rsidRDefault="00A416C1" w:rsidP="00551F55">
      <w:pPr>
        <w:spacing w:line="240" w:lineRule="auto"/>
        <w:jc w:val="both"/>
        <w:rPr>
          <w:rFonts w:ascii="Arial" w:hAnsi="Arial" w:cs="Arial"/>
          <w:i/>
          <w:sz w:val="20"/>
          <w:szCs w:val="20"/>
        </w:rPr>
      </w:pPr>
      <w:r w:rsidRPr="00B6647E">
        <w:rPr>
          <w:rFonts w:ascii="Arial" w:hAnsi="Arial" w:cs="Arial"/>
          <w:i/>
          <w:sz w:val="20"/>
          <w:szCs w:val="20"/>
        </w:rPr>
        <w:t xml:space="preserve">a) </w:t>
      </w:r>
      <w:r w:rsidR="00CB0862" w:rsidRPr="00B6647E">
        <w:rPr>
          <w:rFonts w:ascii="Arial" w:hAnsi="Arial" w:cs="Arial"/>
          <w:i/>
          <w:sz w:val="20"/>
          <w:szCs w:val="20"/>
        </w:rPr>
        <w:t>Régions naturelles</w:t>
      </w:r>
    </w:p>
    <w:p w:rsidR="00E04201" w:rsidRPr="00B6647E" w:rsidRDefault="006A20C3" w:rsidP="00551F55">
      <w:pPr>
        <w:spacing w:line="240" w:lineRule="auto"/>
        <w:jc w:val="both"/>
        <w:rPr>
          <w:rFonts w:ascii="Arial" w:hAnsi="Arial" w:cs="Arial"/>
          <w:sz w:val="20"/>
          <w:szCs w:val="20"/>
        </w:rPr>
      </w:pPr>
      <w:r w:rsidRPr="00B6647E">
        <w:rPr>
          <w:rFonts w:ascii="Arial" w:hAnsi="Arial" w:cs="Arial"/>
          <w:sz w:val="20"/>
          <w:szCs w:val="20"/>
        </w:rPr>
        <w:t xml:space="preserve">Le </w:t>
      </w:r>
      <w:r w:rsidR="00197D95" w:rsidRPr="00B6647E">
        <w:rPr>
          <w:rFonts w:ascii="Arial" w:hAnsi="Arial" w:cs="Arial"/>
          <w:sz w:val="20"/>
          <w:szCs w:val="20"/>
        </w:rPr>
        <w:t>maïs</w:t>
      </w:r>
      <w:r w:rsidRPr="00B6647E">
        <w:rPr>
          <w:rFonts w:ascii="Arial" w:hAnsi="Arial" w:cs="Arial"/>
          <w:sz w:val="20"/>
          <w:szCs w:val="20"/>
        </w:rPr>
        <w:t xml:space="preserve"> a été pratiqué </w:t>
      </w:r>
      <w:r w:rsidR="00197D95" w:rsidRPr="00B6647E">
        <w:rPr>
          <w:rFonts w:ascii="Arial" w:hAnsi="Arial" w:cs="Arial"/>
          <w:sz w:val="20"/>
          <w:szCs w:val="20"/>
        </w:rPr>
        <w:t>principalement</w:t>
      </w:r>
      <w:r w:rsidRPr="00B6647E">
        <w:rPr>
          <w:rFonts w:ascii="Arial" w:hAnsi="Arial" w:cs="Arial"/>
          <w:sz w:val="20"/>
          <w:szCs w:val="20"/>
        </w:rPr>
        <w:t xml:space="preserve"> au cours de la saison A</w:t>
      </w:r>
      <w:r w:rsidR="00197D95" w:rsidRPr="00B6647E">
        <w:rPr>
          <w:rFonts w:ascii="Arial" w:hAnsi="Arial" w:cs="Arial"/>
          <w:sz w:val="20"/>
          <w:szCs w:val="20"/>
        </w:rPr>
        <w:t xml:space="preserve">. En effet, on estime que </w:t>
      </w:r>
      <w:r w:rsidRPr="00B6647E">
        <w:rPr>
          <w:rFonts w:ascii="Arial" w:hAnsi="Arial" w:cs="Arial"/>
          <w:sz w:val="20"/>
          <w:szCs w:val="20"/>
        </w:rPr>
        <w:t>87% des</w:t>
      </w:r>
      <w:r w:rsidR="00197D95" w:rsidRPr="00B6647E">
        <w:rPr>
          <w:rFonts w:ascii="Arial" w:hAnsi="Arial" w:cs="Arial"/>
          <w:sz w:val="20"/>
          <w:szCs w:val="20"/>
        </w:rPr>
        <w:t xml:space="preserve"> </w:t>
      </w:r>
      <w:r w:rsidRPr="00B6647E">
        <w:rPr>
          <w:rFonts w:ascii="Arial" w:hAnsi="Arial" w:cs="Arial"/>
          <w:sz w:val="20"/>
          <w:szCs w:val="20"/>
        </w:rPr>
        <w:t xml:space="preserve">ménages </w:t>
      </w:r>
      <w:r w:rsidR="00197D95" w:rsidRPr="00B6647E">
        <w:rPr>
          <w:rFonts w:ascii="Arial" w:hAnsi="Arial" w:cs="Arial"/>
          <w:sz w:val="20"/>
          <w:szCs w:val="20"/>
        </w:rPr>
        <w:t xml:space="preserve">agricoles pratiquent cette culture au cours de cette saison contre 29,6% en saison B et 26,7% en saison C. Cette prédominance de la saison A par </w:t>
      </w:r>
      <w:r w:rsidR="00150642" w:rsidRPr="00B6647E">
        <w:rPr>
          <w:rFonts w:ascii="Arial" w:hAnsi="Arial" w:cs="Arial"/>
          <w:sz w:val="20"/>
          <w:szCs w:val="20"/>
        </w:rPr>
        <w:t xml:space="preserve">rapport </w:t>
      </w:r>
      <w:r w:rsidR="00197D95" w:rsidRPr="00B6647E">
        <w:rPr>
          <w:rFonts w:ascii="Arial" w:hAnsi="Arial" w:cs="Arial"/>
          <w:sz w:val="20"/>
          <w:szCs w:val="20"/>
        </w:rPr>
        <w:t>aux deux saisons est globalement observée dans toutes les régions naturelles.</w:t>
      </w:r>
    </w:p>
    <w:p w:rsidR="00E04201" w:rsidRPr="00B6647E" w:rsidRDefault="008C63C4" w:rsidP="00551F55">
      <w:pPr>
        <w:spacing w:line="240" w:lineRule="auto"/>
        <w:rPr>
          <w:rFonts w:ascii="Arial" w:hAnsi="Arial" w:cs="Arial"/>
          <w:sz w:val="20"/>
          <w:szCs w:val="20"/>
        </w:rPr>
      </w:pPr>
      <w:r w:rsidRPr="00B6647E">
        <w:rPr>
          <w:rFonts w:ascii="Arial" w:hAnsi="Arial" w:cs="Arial"/>
          <w:sz w:val="20"/>
          <w:szCs w:val="20"/>
        </w:rPr>
        <w:t>O</w:t>
      </w:r>
      <w:r w:rsidR="00197D95" w:rsidRPr="00B6647E">
        <w:rPr>
          <w:rFonts w:ascii="Arial" w:hAnsi="Arial" w:cs="Arial"/>
          <w:sz w:val="20"/>
          <w:szCs w:val="20"/>
        </w:rPr>
        <w:t>n estime une l</w:t>
      </w:r>
      <w:r w:rsidRPr="00B6647E">
        <w:rPr>
          <w:rFonts w:ascii="Arial" w:hAnsi="Arial" w:cs="Arial"/>
          <w:sz w:val="20"/>
          <w:szCs w:val="20"/>
        </w:rPr>
        <w:t>é</w:t>
      </w:r>
      <w:r w:rsidR="00197D95" w:rsidRPr="00B6647E">
        <w:rPr>
          <w:rFonts w:ascii="Arial" w:hAnsi="Arial" w:cs="Arial"/>
          <w:sz w:val="20"/>
          <w:szCs w:val="20"/>
        </w:rPr>
        <w:t xml:space="preserve">gère </w:t>
      </w:r>
      <w:r w:rsidR="00150642" w:rsidRPr="00B6647E">
        <w:rPr>
          <w:rFonts w:ascii="Arial" w:hAnsi="Arial" w:cs="Arial"/>
          <w:sz w:val="20"/>
          <w:szCs w:val="20"/>
        </w:rPr>
        <w:t>supériorité</w:t>
      </w:r>
      <w:r w:rsidR="00197D95" w:rsidRPr="00B6647E">
        <w:rPr>
          <w:rFonts w:ascii="Arial" w:hAnsi="Arial" w:cs="Arial"/>
          <w:sz w:val="20"/>
          <w:szCs w:val="20"/>
        </w:rPr>
        <w:t xml:space="preserve"> </w:t>
      </w:r>
      <w:r w:rsidRPr="00B6647E">
        <w:rPr>
          <w:rFonts w:ascii="Arial" w:hAnsi="Arial" w:cs="Arial"/>
          <w:sz w:val="20"/>
          <w:szCs w:val="20"/>
        </w:rPr>
        <w:t>de la pratique du haricot pendant la saison B (63%) sur la saison A (60,9%)</w:t>
      </w:r>
      <w:r w:rsidR="00150642" w:rsidRPr="00B6647E">
        <w:rPr>
          <w:rFonts w:ascii="Arial" w:hAnsi="Arial" w:cs="Arial"/>
          <w:sz w:val="20"/>
          <w:szCs w:val="20"/>
        </w:rPr>
        <w:t>.</w:t>
      </w:r>
      <w:r w:rsidRPr="00B6647E">
        <w:rPr>
          <w:rFonts w:ascii="Arial" w:hAnsi="Arial" w:cs="Arial"/>
          <w:sz w:val="20"/>
          <w:szCs w:val="20"/>
        </w:rPr>
        <w:t xml:space="preserve"> </w:t>
      </w:r>
      <w:r w:rsidR="005221E4" w:rsidRPr="00B6647E">
        <w:rPr>
          <w:rFonts w:ascii="Arial" w:hAnsi="Arial" w:cs="Arial"/>
          <w:sz w:val="20"/>
          <w:szCs w:val="20"/>
        </w:rPr>
        <w:t>A</w:t>
      </w:r>
      <w:r w:rsidR="00150642" w:rsidRPr="00B6647E">
        <w:rPr>
          <w:rFonts w:ascii="Arial" w:hAnsi="Arial" w:cs="Arial"/>
          <w:sz w:val="20"/>
          <w:szCs w:val="20"/>
        </w:rPr>
        <w:t xml:space="preserve">u cours de la saison C, les pratiques du maïs (26,7%) et du haricot (16%) ont été faibles </w:t>
      </w:r>
    </w:p>
    <w:p w:rsidR="00DC2886" w:rsidRPr="00B6647E" w:rsidRDefault="00DC2886" w:rsidP="00551F55">
      <w:pPr>
        <w:keepNext/>
        <w:spacing w:line="240" w:lineRule="auto"/>
        <w:rPr>
          <w:rFonts w:ascii="Arial" w:hAnsi="Arial" w:cs="Arial"/>
          <w:b/>
          <w:sz w:val="20"/>
          <w:szCs w:val="20"/>
        </w:rPr>
      </w:pPr>
      <w:r w:rsidRPr="00B6647E">
        <w:rPr>
          <w:rFonts w:ascii="Arial" w:hAnsi="Arial" w:cs="Arial"/>
          <w:b/>
          <w:sz w:val="20"/>
          <w:szCs w:val="20"/>
        </w:rPr>
        <w:lastRenderedPageBreak/>
        <w:t xml:space="preserve">Tableau </w:t>
      </w:r>
      <w:r w:rsidR="00EE32E1">
        <w:rPr>
          <w:rFonts w:ascii="Arial" w:hAnsi="Arial" w:cs="Arial"/>
          <w:b/>
          <w:sz w:val="20"/>
          <w:szCs w:val="20"/>
        </w:rPr>
        <w:t>45</w:t>
      </w:r>
      <w:r w:rsidRPr="00B6647E">
        <w:rPr>
          <w:rFonts w:ascii="Arial" w:hAnsi="Arial" w:cs="Arial"/>
          <w:b/>
          <w:sz w:val="20"/>
          <w:szCs w:val="20"/>
        </w:rPr>
        <w:t> : Taux de pratiques des principales cultures par saison selon la région naturelle (% de ménages)</w:t>
      </w:r>
    </w:p>
    <w:p w:rsidR="005D2B63" w:rsidRPr="00B6647E" w:rsidRDefault="00DC5A49" w:rsidP="00551F55">
      <w:pPr>
        <w:keepNext/>
        <w:spacing w:line="240" w:lineRule="auto"/>
        <w:rPr>
          <w:rFonts w:ascii="Arial" w:hAnsi="Arial" w:cs="Arial"/>
          <w:sz w:val="20"/>
          <w:szCs w:val="20"/>
        </w:rPr>
      </w:pPr>
      <w:r w:rsidRPr="00B6647E">
        <w:rPr>
          <w:noProof/>
          <w:szCs w:val="20"/>
          <w:lang w:val="fr-FR" w:eastAsia="fr-FR"/>
        </w:rPr>
        <w:drawing>
          <wp:inline distT="0" distB="0" distL="0" distR="0">
            <wp:extent cx="5731510" cy="2556403"/>
            <wp:effectExtent l="19050" t="0" r="2540" b="0"/>
            <wp:docPr id="5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srcRect/>
                    <a:stretch>
                      <a:fillRect/>
                    </a:stretch>
                  </pic:blipFill>
                  <pic:spPr bwMode="auto">
                    <a:xfrm>
                      <a:off x="0" y="0"/>
                      <a:ext cx="5731510" cy="2556403"/>
                    </a:xfrm>
                    <a:prstGeom prst="rect">
                      <a:avLst/>
                    </a:prstGeom>
                    <a:noFill/>
                    <a:ln w="9525">
                      <a:noFill/>
                      <a:miter lim="800000"/>
                      <a:headEnd/>
                      <a:tailEnd/>
                    </a:ln>
                  </pic:spPr>
                </pic:pic>
              </a:graphicData>
            </a:graphic>
          </wp:inline>
        </w:drawing>
      </w:r>
    </w:p>
    <w:p w:rsidR="00385245" w:rsidRPr="00B6647E" w:rsidRDefault="00385245" w:rsidP="00385245">
      <w:pPr>
        <w:spacing w:line="240" w:lineRule="auto"/>
        <w:jc w:val="both"/>
        <w:rPr>
          <w:rFonts w:ascii="Arial" w:hAnsi="Arial" w:cs="Arial"/>
          <w:sz w:val="20"/>
          <w:szCs w:val="20"/>
        </w:rPr>
      </w:pPr>
      <w:r w:rsidRPr="00B6647E">
        <w:rPr>
          <w:rFonts w:ascii="Arial" w:hAnsi="Arial" w:cs="Arial"/>
          <w:sz w:val="20"/>
          <w:szCs w:val="20"/>
        </w:rPr>
        <w:t>Pendant les saisons A et B, la pratique de la culture de la patate douce est supérieure à 50% dans toutes les régions naturelles sauf dans l’Imbo (43,6% en saison A et 32,8% au cours de la saison B). En saison C, la pa</w:t>
      </w:r>
      <w:r w:rsidR="00C7678D">
        <w:rPr>
          <w:rFonts w:ascii="Arial" w:hAnsi="Arial" w:cs="Arial"/>
          <w:sz w:val="20"/>
          <w:szCs w:val="20"/>
        </w:rPr>
        <w:t>ta</w:t>
      </w:r>
      <w:r w:rsidRPr="00B6647E">
        <w:rPr>
          <w:rFonts w:ascii="Arial" w:hAnsi="Arial" w:cs="Arial"/>
          <w:sz w:val="20"/>
          <w:szCs w:val="20"/>
        </w:rPr>
        <w:t>te douce a été pratiquée par moins de 50% des ménages agricoles dans cinq régions : Buragane (38,5%), Buyogoma (47,3%), Imbo (17,9%), Moso (38%) et Mumirwa (41,5%).</w:t>
      </w:r>
    </w:p>
    <w:p w:rsidR="00385245" w:rsidRPr="00B6647E" w:rsidRDefault="00385245" w:rsidP="00385245">
      <w:pPr>
        <w:spacing w:line="240" w:lineRule="auto"/>
        <w:jc w:val="both"/>
        <w:rPr>
          <w:rFonts w:ascii="Arial" w:hAnsi="Arial" w:cs="Arial"/>
          <w:sz w:val="20"/>
          <w:szCs w:val="20"/>
        </w:rPr>
      </w:pPr>
      <w:r w:rsidRPr="00B6647E">
        <w:rPr>
          <w:rFonts w:ascii="Arial" w:hAnsi="Arial" w:cs="Arial"/>
          <w:sz w:val="20"/>
          <w:szCs w:val="20"/>
        </w:rPr>
        <w:t>Les cultures pérennes (banane et manioc) sont pratiquées par plus de la moitié des ménages agricoles du pays au cours des trois saisons. On note cependant des proportions relativement faibles dans les régions de l’Imbo (24,7% en saison A, 22,7% au cours de la saison B et 18,8% pendant la saison C) et de Moso (35% en saison A, 23,7% au cours de la saison B et 29,7% pendant la saison C)</w:t>
      </w:r>
    </w:p>
    <w:p w:rsidR="00CB0862" w:rsidRPr="00B6647E" w:rsidRDefault="00A416C1" w:rsidP="00551F55">
      <w:pPr>
        <w:spacing w:line="240" w:lineRule="auto"/>
        <w:jc w:val="both"/>
        <w:rPr>
          <w:rFonts w:ascii="Arial" w:hAnsi="Arial" w:cs="Arial"/>
          <w:i/>
          <w:sz w:val="20"/>
          <w:szCs w:val="20"/>
        </w:rPr>
      </w:pPr>
      <w:r w:rsidRPr="00B6647E">
        <w:rPr>
          <w:rFonts w:ascii="Arial" w:hAnsi="Arial" w:cs="Arial"/>
          <w:i/>
          <w:sz w:val="20"/>
          <w:szCs w:val="20"/>
        </w:rPr>
        <w:t xml:space="preserve">b) </w:t>
      </w:r>
      <w:r w:rsidR="00CB0862" w:rsidRPr="00B6647E">
        <w:rPr>
          <w:rFonts w:ascii="Arial" w:hAnsi="Arial" w:cs="Arial"/>
          <w:i/>
          <w:sz w:val="20"/>
          <w:szCs w:val="20"/>
        </w:rPr>
        <w:t>Provinces</w:t>
      </w:r>
    </w:p>
    <w:p w:rsidR="003C1FB2" w:rsidRPr="00B6647E" w:rsidRDefault="003C1FB2" w:rsidP="00551F55">
      <w:pPr>
        <w:spacing w:line="240" w:lineRule="auto"/>
        <w:jc w:val="both"/>
        <w:rPr>
          <w:rFonts w:ascii="Arial" w:hAnsi="Arial" w:cs="Arial"/>
          <w:sz w:val="20"/>
          <w:szCs w:val="20"/>
        </w:rPr>
      </w:pPr>
      <w:r w:rsidRPr="00B6647E">
        <w:rPr>
          <w:rFonts w:ascii="Arial" w:hAnsi="Arial" w:cs="Arial"/>
          <w:sz w:val="20"/>
          <w:szCs w:val="20"/>
        </w:rPr>
        <w:t>Au niveau provincial, la prédominance de la pratique du maïs en saison A sur les deux autres saisons est également constatée.</w:t>
      </w:r>
      <w:r w:rsidR="00B711AC" w:rsidRPr="00B6647E">
        <w:rPr>
          <w:rFonts w:ascii="Arial" w:hAnsi="Arial" w:cs="Arial"/>
          <w:sz w:val="20"/>
          <w:szCs w:val="20"/>
        </w:rPr>
        <w:t xml:space="preserve"> </w:t>
      </w:r>
      <w:r w:rsidRPr="00B6647E">
        <w:rPr>
          <w:rFonts w:ascii="Arial" w:hAnsi="Arial" w:cs="Arial"/>
          <w:sz w:val="20"/>
          <w:szCs w:val="20"/>
        </w:rPr>
        <w:t>Au cours de la saison C, la pratique du haricot a été relativement aux saisons a et B faible dans toutes provinces.</w:t>
      </w:r>
    </w:p>
    <w:p w:rsidR="00861438" w:rsidRPr="00B6647E" w:rsidRDefault="00AC3E21" w:rsidP="00551F55">
      <w:pPr>
        <w:spacing w:line="240" w:lineRule="auto"/>
        <w:jc w:val="both"/>
        <w:rPr>
          <w:rFonts w:ascii="Arial" w:hAnsi="Arial" w:cs="Arial"/>
          <w:sz w:val="20"/>
          <w:szCs w:val="20"/>
        </w:rPr>
      </w:pPr>
      <w:r w:rsidRPr="00B6647E">
        <w:rPr>
          <w:rFonts w:ascii="Arial" w:hAnsi="Arial" w:cs="Arial"/>
          <w:sz w:val="20"/>
          <w:szCs w:val="20"/>
        </w:rPr>
        <w:t>Pendant les saisons A et B, l</w:t>
      </w:r>
      <w:r w:rsidR="00B711AC" w:rsidRPr="00B6647E">
        <w:rPr>
          <w:rFonts w:ascii="Arial" w:hAnsi="Arial" w:cs="Arial"/>
          <w:sz w:val="20"/>
          <w:szCs w:val="20"/>
        </w:rPr>
        <w:t xml:space="preserve">a culture de la patate douce est </w:t>
      </w:r>
      <w:r w:rsidRPr="00B6647E">
        <w:rPr>
          <w:rFonts w:ascii="Arial" w:hAnsi="Arial" w:cs="Arial"/>
          <w:sz w:val="20"/>
          <w:szCs w:val="20"/>
        </w:rPr>
        <w:t xml:space="preserve">pratiquée par plus de la moitié des ménages agricoles dans toutes les provinces </w:t>
      </w:r>
      <w:r w:rsidR="00B711AC" w:rsidRPr="00B6647E">
        <w:rPr>
          <w:rFonts w:ascii="Arial" w:hAnsi="Arial" w:cs="Arial"/>
          <w:sz w:val="20"/>
          <w:szCs w:val="20"/>
        </w:rPr>
        <w:t xml:space="preserve">sauf dans </w:t>
      </w:r>
      <w:r w:rsidRPr="00B6647E">
        <w:rPr>
          <w:rFonts w:ascii="Arial" w:hAnsi="Arial" w:cs="Arial"/>
          <w:sz w:val="20"/>
          <w:szCs w:val="20"/>
        </w:rPr>
        <w:t xml:space="preserve">Bubanza </w:t>
      </w:r>
      <w:r w:rsidR="00B711AC" w:rsidRPr="00B6647E">
        <w:rPr>
          <w:rFonts w:ascii="Arial" w:hAnsi="Arial" w:cs="Arial"/>
          <w:sz w:val="20"/>
          <w:szCs w:val="20"/>
        </w:rPr>
        <w:t>(4</w:t>
      </w:r>
      <w:r w:rsidRPr="00B6647E">
        <w:rPr>
          <w:rFonts w:ascii="Arial" w:hAnsi="Arial" w:cs="Arial"/>
          <w:sz w:val="20"/>
          <w:szCs w:val="20"/>
        </w:rPr>
        <w:t>8,7</w:t>
      </w:r>
      <w:r w:rsidR="00B711AC" w:rsidRPr="00B6647E">
        <w:rPr>
          <w:rFonts w:ascii="Arial" w:hAnsi="Arial" w:cs="Arial"/>
          <w:sz w:val="20"/>
          <w:szCs w:val="20"/>
        </w:rPr>
        <w:t xml:space="preserve">% en saison A et </w:t>
      </w:r>
      <w:r w:rsidRPr="00B6647E">
        <w:rPr>
          <w:rFonts w:ascii="Arial" w:hAnsi="Arial" w:cs="Arial"/>
          <w:sz w:val="20"/>
          <w:szCs w:val="20"/>
        </w:rPr>
        <w:t>41,7</w:t>
      </w:r>
      <w:r w:rsidR="00B711AC" w:rsidRPr="00B6647E">
        <w:rPr>
          <w:rFonts w:ascii="Arial" w:hAnsi="Arial" w:cs="Arial"/>
          <w:sz w:val="20"/>
          <w:szCs w:val="20"/>
        </w:rPr>
        <w:t>% au cours de la saison B)</w:t>
      </w:r>
      <w:r w:rsidRPr="00B6647E">
        <w:rPr>
          <w:rFonts w:ascii="Arial" w:hAnsi="Arial" w:cs="Arial"/>
          <w:sz w:val="20"/>
          <w:szCs w:val="20"/>
        </w:rPr>
        <w:t>, Bujumbura rural (44,7% en saison B) et Cibitoke (39,5% au cours de la saison A et 33,8% en saison B)</w:t>
      </w:r>
      <w:r w:rsidR="00861438" w:rsidRPr="00B6647E">
        <w:rPr>
          <w:rFonts w:ascii="Arial" w:hAnsi="Arial" w:cs="Arial"/>
          <w:sz w:val="20"/>
          <w:szCs w:val="20"/>
        </w:rPr>
        <w:t xml:space="preserve">. Au cours de la saison C, la proportion des ménages pratiquant </w:t>
      </w:r>
      <w:r w:rsidR="00B711AC" w:rsidRPr="00B6647E">
        <w:rPr>
          <w:rFonts w:ascii="Arial" w:hAnsi="Arial" w:cs="Arial"/>
          <w:sz w:val="20"/>
          <w:szCs w:val="20"/>
        </w:rPr>
        <w:t>la pa</w:t>
      </w:r>
      <w:r w:rsidR="00C7678D">
        <w:rPr>
          <w:rFonts w:ascii="Arial" w:hAnsi="Arial" w:cs="Arial"/>
          <w:sz w:val="20"/>
          <w:szCs w:val="20"/>
        </w:rPr>
        <w:t>ta</w:t>
      </w:r>
      <w:r w:rsidR="00B711AC" w:rsidRPr="00B6647E">
        <w:rPr>
          <w:rFonts w:ascii="Arial" w:hAnsi="Arial" w:cs="Arial"/>
          <w:sz w:val="20"/>
          <w:szCs w:val="20"/>
        </w:rPr>
        <w:t xml:space="preserve">te douce </w:t>
      </w:r>
      <w:r w:rsidR="00861438" w:rsidRPr="00B6647E">
        <w:rPr>
          <w:rFonts w:ascii="Arial" w:hAnsi="Arial" w:cs="Arial"/>
          <w:sz w:val="20"/>
          <w:szCs w:val="20"/>
        </w:rPr>
        <w:t>n’est inférieure à 50% sauf dans sept provinces (Gitega, Karuzi, Kayanza, Kirundo, Muramvya, Muyinga et Mwaro)</w:t>
      </w:r>
    </w:p>
    <w:p w:rsidR="00B711AC" w:rsidRPr="00B6647E" w:rsidRDefault="00FD1E69" w:rsidP="00551F55">
      <w:pPr>
        <w:spacing w:line="240" w:lineRule="auto"/>
        <w:jc w:val="both"/>
        <w:rPr>
          <w:rFonts w:ascii="Arial" w:hAnsi="Arial" w:cs="Arial"/>
          <w:sz w:val="20"/>
          <w:szCs w:val="20"/>
        </w:rPr>
      </w:pPr>
      <w:r w:rsidRPr="00B6647E">
        <w:rPr>
          <w:rFonts w:ascii="Arial" w:hAnsi="Arial" w:cs="Arial"/>
          <w:sz w:val="20"/>
          <w:szCs w:val="20"/>
        </w:rPr>
        <w:t xml:space="preserve">Les plus faibles pratiques des </w:t>
      </w:r>
      <w:r w:rsidR="00B711AC" w:rsidRPr="00B6647E">
        <w:rPr>
          <w:rFonts w:ascii="Arial" w:hAnsi="Arial" w:cs="Arial"/>
          <w:sz w:val="20"/>
          <w:szCs w:val="20"/>
        </w:rPr>
        <w:t>cultures pérennes</w:t>
      </w:r>
      <w:r w:rsidRPr="00B6647E">
        <w:rPr>
          <w:rFonts w:ascii="Arial" w:hAnsi="Arial" w:cs="Arial"/>
          <w:sz w:val="20"/>
          <w:szCs w:val="20"/>
        </w:rPr>
        <w:t xml:space="preserve"> ont été enregistré</w:t>
      </w:r>
      <w:r w:rsidR="00505218" w:rsidRPr="00B6647E">
        <w:rPr>
          <w:rFonts w:ascii="Arial" w:hAnsi="Arial" w:cs="Arial"/>
          <w:sz w:val="20"/>
          <w:szCs w:val="20"/>
        </w:rPr>
        <w:t>es</w:t>
      </w:r>
      <w:r w:rsidRPr="00B6647E">
        <w:rPr>
          <w:rFonts w:ascii="Arial" w:hAnsi="Arial" w:cs="Arial"/>
          <w:sz w:val="20"/>
          <w:szCs w:val="20"/>
        </w:rPr>
        <w:t xml:space="preserve"> pour la ban</w:t>
      </w:r>
      <w:r w:rsidR="00505218" w:rsidRPr="00B6647E">
        <w:rPr>
          <w:rFonts w:ascii="Arial" w:hAnsi="Arial" w:cs="Arial"/>
          <w:sz w:val="20"/>
          <w:szCs w:val="20"/>
        </w:rPr>
        <w:t>an</w:t>
      </w:r>
      <w:r w:rsidRPr="00B6647E">
        <w:rPr>
          <w:rFonts w:ascii="Arial" w:hAnsi="Arial" w:cs="Arial"/>
          <w:sz w:val="20"/>
          <w:szCs w:val="20"/>
        </w:rPr>
        <w:t xml:space="preserve">e dans les </w:t>
      </w:r>
      <w:r w:rsidR="00505218" w:rsidRPr="00B6647E">
        <w:rPr>
          <w:rFonts w:ascii="Arial" w:hAnsi="Arial" w:cs="Arial"/>
          <w:sz w:val="20"/>
          <w:szCs w:val="20"/>
        </w:rPr>
        <w:t>provinces</w:t>
      </w:r>
      <w:r w:rsidRPr="00B6647E">
        <w:rPr>
          <w:rFonts w:ascii="Arial" w:hAnsi="Arial" w:cs="Arial"/>
          <w:sz w:val="20"/>
          <w:szCs w:val="20"/>
        </w:rPr>
        <w:t xml:space="preserve"> de Rutana (</w:t>
      </w:r>
      <w:r w:rsidR="00505218" w:rsidRPr="00B6647E">
        <w:rPr>
          <w:rFonts w:ascii="Arial" w:hAnsi="Arial" w:cs="Arial"/>
          <w:sz w:val="20"/>
          <w:szCs w:val="20"/>
        </w:rPr>
        <w:t>38,2</w:t>
      </w:r>
      <w:r w:rsidRPr="00B6647E">
        <w:rPr>
          <w:rFonts w:ascii="Arial" w:hAnsi="Arial" w:cs="Arial"/>
          <w:sz w:val="20"/>
          <w:szCs w:val="20"/>
        </w:rPr>
        <w:t xml:space="preserve">% en saison A, </w:t>
      </w:r>
      <w:r w:rsidR="00505218" w:rsidRPr="00B6647E">
        <w:rPr>
          <w:rFonts w:ascii="Arial" w:hAnsi="Arial" w:cs="Arial"/>
          <w:sz w:val="20"/>
          <w:szCs w:val="20"/>
        </w:rPr>
        <w:t>35</w:t>
      </w:r>
      <w:r w:rsidRPr="00B6647E">
        <w:rPr>
          <w:rFonts w:ascii="Arial" w:hAnsi="Arial" w:cs="Arial"/>
          <w:sz w:val="20"/>
          <w:szCs w:val="20"/>
        </w:rPr>
        <w:t>,</w:t>
      </w:r>
      <w:r w:rsidR="00505218" w:rsidRPr="00B6647E">
        <w:rPr>
          <w:rFonts w:ascii="Arial" w:hAnsi="Arial" w:cs="Arial"/>
          <w:sz w:val="20"/>
          <w:szCs w:val="20"/>
        </w:rPr>
        <w:t>8</w:t>
      </w:r>
      <w:r w:rsidRPr="00B6647E">
        <w:rPr>
          <w:rFonts w:ascii="Arial" w:hAnsi="Arial" w:cs="Arial"/>
          <w:sz w:val="20"/>
          <w:szCs w:val="20"/>
        </w:rPr>
        <w:t xml:space="preserve">% au cours de la saison B et </w:t>
      </w:r>
      <w:r w:rsidR="00505218" w:rsidRPr="00B6647E">
        <w:rPr>
          <w:rFonts w:ascii="Arial" w:hAnsi="Arial" w:cs="Arial"/>
          <w:sz w:val="20"/>
          <w:szCs w:val="20"/>
        </w:rPr>
        <w:t>22,6</w:t>
      </w:r>
      <w:r w:rsidRPr="00B6647E">
        <w:rPr>
          <w:rFonts w:ascii="Arial" w:hAnsi="Arial" w:cs="Arial"/>
          <w:sz w:val="20"/>
          <w:szCs w:val="20"/>
        </w:rPr>
        <w:t>% pendant la saison C)</w:t>
      </w:r>
      <w:r w:rsidR="00505218" w:rsidRPr="00B6647E">
        <w:rPr>
          <w:rFonts w:ascii="Arial" w:hAnsi="Arial" w:cs="Arial"/>
          <w:sz w:val="20"/>
          <w:szCs w:val="20"/>
        </w:rPr>
        <w:t xml:space="preserve"> </w:t>
      </w:r>
      <w:r w:rsidRPr="00B6647E">
        <w:rPr>
          <w:rFonts w:ascii="Arial" w:hAnsi="Arial" w:cs="Arial"/>
          <w:sz w:val="20"/>
          <w:szCs w:val="20"/>
        </w:rPr>
        <w:t xml:space="preserve">et </w:t>
      </w:r>
      <w:r w:rsidR="00505218" w:rsidRPr="00B6647E">
        <w:rPr>
          <w:rFonts w:ascii="Arial" w:hAnsi="Arial" w:cs="Arial"/>
          <w:sz w:val="20"/>
          <w:szCs w:val="20"/>
        </w:rPr>
        <w:t>R</w:t>
      </w:r>
      <w:r w:rsidRPr="00B6647E">
        <w:rPr>
          <w:rFonts w:ascii="Arial" w:hAnsi="Arial" w:cs="Arial"/>
          <w:sz w:val="20"/>
          <w:szCs w:val="20"/>
        </w:rPr>
        <w:t>uyigi (</w:t>
      </w:r>
      <w:r w:rsidR="00505218" w:rsidRPr="00B6647E">
        <w:rPr>
          <w:rFonts w:ascii="Arial" w:hAnsi="Arial" w:cs="Arial"/>
          <w:sz w:val="20"/>
          <w:szCs w:val="20"/>
        </w:rPr>
        <w:t>38,1</w:t>
      </w:r>
      <w:r w:rsidRPr="00B6647E">
        <w:rPr>
          <w:rFonts w:ascii="Arial" w:hAnsi="Arial" w:cs="Arial"/>
          <w:sz w:val="20"/>
          <w:szCs w:val="20"/>
        </w:rPr>
        <w:t>% en saison A). En ce qui concerne le manioc, il s’agit de</w:t>
      </w:r>
      <w:r w:rsidR="00505218" w:rsidRPr="00B6647E">
        <w:rPr>
          <w:rFonts w:ascii="Arial" w:hAnsi="Arial" w:cs="Arial"/>
          <w:sz w:val="20"/>
          <w:szCs w:val="20"/>
        </w:rPr>
        <w:t>s</w:t>
      </w:r>
      <w:r w:rsidRPr="00B6647E">
        <w:rPr>
          <w:rFonts w:ascii="Arial" w:hAnsi="Arial" w:cs="Arial"/>
          <w:sz w:val="20"/>
          <w:szCs w:val="20"/>
        </w:rPr>
        <w:t xml:space="preserve"> province</w:t>
      </w:r>
      <w:r w:rsidR="00505218" w:rsidRPr="00B6647E">
        <w:rPr>
          <w:rFonts w:ascii="Arial" w:hAnsi="Arial" w:cs="Arial"/>
          <w:sz w:val="20"/>
          <w:szCs w:val="20"/>
        </w:rPr>
        <w:t>s</w:t>
      </w:r>
      <w:r w:rsidRPr="00B6647E">
        <w:rPr>
          <w:rFonts w:ascii="Arial" w:hAnsi="Arial" w:cs="Arial"/>
          <w:sz w:val="20"/>
          <w:szCs w:val="20"/>
        </w:rPr>
        <w:t xml:space="preserve"> de Mwaro</w:t>
      </w:r>
      <w:r w:rsidR="00B711AC" w:rsidRPr="00B6647E">
        <w:rPr>
          <w:rFonts w:ascii="Arial" w:hAnsi="Arial" w:cs="Arial"/>
          <w:sz w:val="20"/>
          <w:szCs w:val="20"/>
        </w:rPr>
        <w:t xml:space="preserve"> (</w:t>
      </w:r>
      <w:r w:rsidR="00505218" w:rsidRPr="00B6647E">
        <w:rPr>
          <w:rFonts w:ascii="Arial" w:hAnsi="Arial" w:cs="Arial"/>
          <w:sz w:val="20"/>
          <w:szCs w:val="20"/>
        </w:rPr>
        <w:t>33,8</w:t>
      </w:r>
      <w:r w:rsidR="00B711AC" w:rsidRPr="00B6647E">
        <w:rPr>
          <w:rFonts w:ascii="Arial" w:hAnsi="Arial" w:cs="Arial"/>
          <w:sz w:val="20"/>
          <w:szCs w:val="20"/>
        </w:rPr>
        <w:t>% en saison A, 2</w:t>
      </w:r>
      <w:r w:rsidR="00505218" w:rsidRPr="00B6647E">
        <w:rPr>
          <w:rFonts w:ascii="Arial" w:hAnsi="Arial" w:cs="Arial"/>
          <w:sz w:val="20"/>
          <w:szCs w:val="20"/>
        </w:rPr>
        <w:t>3</w:t>
      </w:r>
      <w:r w:rsidR="00B711AC" w:rsidRPr="00B6647E">
        <w:rPr>
          <w:rFonts w:ascii="Arial" w:hAnsi="Arial" w:cs="Arial"/>
          <w:sz w:val="20"/>
          <w:szCs w:val="20"/>
        </w:rPr>
        <w:t xml:space="preserve">,7% au cours de la saison B et </w:t>
      </w:r>
      <w:r w:rsidR="00505218" w:rsidRPr="00B6647E">
        <w:rPr>
          <w:rFonts w:ascii="Arial" w:hAnsi="Arial" w:cs="Arial"/>
          <w:sz w:val="20"/>
          <w:szCs w:val="20"/>
        </w:rPr>
        <w:t>30</w:t>
      </w:r>
      <w:r w:rsidR="00B711AC" w:rsidRPr="00B6647E">
        <w:rPr>
          <w:rFonts w:ascii="Arial" w:hAnsi="Arial" w:cs="Arial"/>
          <w:sz w:val="20"/>
          <w:szCs w:val="20"/>
        </w:rPr>
        <w:t>,8% pendant la saison C)</w:t>
      </w:r>
      <w:r w:rsidR="00505218" w:rsidRPr="00B6647E">
        <w:rPr>
          <w:rFonts w:ascii="Arial" w:hAnsi="Arial" w:cs="Arial"/>
          <w:sz w:val="20"/>
          <w:szCs w:val="20"/>
        </w:rPr>
        <w:t xml:space="preserve"> et de Rutana (24,1% en saison C).</w:t>
      </w:r>
    </w:p>
    <w:p w:rsidR="00DC2886" w:rsidRPr="00B6647E" w:rsidRDefault="00DC2886" w:rsidP="00551F55">
      <w:pPr>
        <w:keepNext/>
        <w:spacing w:line="240" w:lineRule="auto"/>
        <w:rPr>
          <w:rFonts w:ascii="Arial" w:hAnsi="Arial" w:cs="Arial"/>
          <w:b/>
          <w:sz w:val="20"/>
          <w:szCs w:val="20"/>
        </w:rPr>
      </w:pPr>
      <w:r w:rsidRPr="00B6647E">
        <w:rPr>
          <w:rFonts w:ascii="Arial" w:hAnsi="Arial" w:cs="Arial"/>
          <w:b/>
          <w:sz w:val="20"/>
          <w:szCs w:val="20"/>
        </w:rPr>
        <w:lastRenderedPageBreak/>
        <w:t xml:space="preserve">Tableau </w:t>
      </w:r>
      <w:r w:rsidR="00EE32E1">
        <w:rPr>
          <w:rFonts w:ascii="Arial" w:hAnsi="Arial" w:cs="Arial"/>
          <w:b/>
          <w:sz w:val="20"/>
          <w:szCs w:val="20"/>
        </w:rPr>
        <w:t>46</w:t>
      </w:r>
      <w:r w:rsidRPr="00B6647E">
        <w:rPr>
          <w:rFonts w:ascii="Arial" w:hAnsi="Arial" w:cs="Arial"/>
          <w:b/>
          <w:sz w:val="20"/>
          <w:szCs w:val="20"/>
        </w:rPr>
        <w:t> : Taux de pratiques des principales cultures par saison et selon la province (% de ménages)</w:t>
      </w:r>
    </w:p>
    <w:p w:rsidR="009D67BD" w:rsidRPr="00B6647E" w:rsidRDefault="00DC5A49" w:rsidP="00551F55">
      <w:pPr>
        <w:keepNext/>
        <w:spacing w:line="240" w:lineRule="auto"/>
        <w:rPr>
          <w:rFonts w:ascii="Arial" w:hAnsi="Arial" w:cs="Arial"/>
          <w:sz w:val="20"/>
          <w:szCs w:val="20"/>
        </w:rPr>
      </w:pPr>
      <w:r w:rsidRPr="00B6647E">
        <w:rPr>
          <w:noProof/>
          <w:szCs w:val="20"/>
          <w:lang w:val="fr-FR" w:eastAsia="fr-FR"/>
        </w:rPr>
        <w:drawing>
          <wp:inline distT="0" distB="0" distL="0" distR="0">
            <wp:extent cx="5731510" cy="3583044"/>
            <wp:effectExtent l="19050" t="0" r="2540" b="0"/>
            <wp:docPr id="5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srcRect/>
                    <a:stretch>
                      <a:fillRect/>
                    </a:stretch>
                  </pic:blipFill>
                  <pic:spPr bwMode="auto">
                    <a:xfrm>
                      <a:off x="0" y="0"/>
                      <a:ext cx="5731510" cy="3583044"/>
                    </a:xfrm>
                    <a:prstGeom prst="rect">
                      <a:avLst/>
                    </a:prstGeom>
                    <a:noFill/>
                    <a:ln w="9525">
                      <a:noFill/>
                      <a:miter lim="800000"/>
                      <a:headEnd/>
                      <a:tailEnd/>
                    </a:ln>
                  </pic:spPr>
                </pic:pic>
              </a:graphicData>
            </a:graphic>
          </wp:inline>
        </w:drawing>
      </w:r>
    </w:p>
    <w:p w:rsidR="00A81EFA" w:rsidRPr="00B6647E" w:rsidRDefault="00A81EFA" w:rsidP="00E51ED6">
      <w:pPr>
        <w:spacing w:line="240" w:lineRule="auto"/>
        <w:rPr>
          <w:rFonts w:ascii="Arial" w:eastAsia="Times New Roman" w:hAnsi="Arial" w:cs="Arial"/>
          <w:color w:val="365F91"/>
          <w:sz w:val="24"/>
          <w:szCs w:val="24"/>
          <w:lang w:eastAsia="fr-FR"/>
        </w:rPr>
      </w:pPr>
      <w:r w:rsidRPr="00B6647E">
        <w:rPr>
          <w:rFonts w:ascii="Arial" w:hAnsi="Arial" w:cs="Arial"/>
          <w:color w:val="365F91"/>
        </w:rPr>
        <w:br w:type="page"/>
      </w:r>
    </w:p>
    <w:p w:rsidR="001A3AEF" w:rsidRPr="00A13D47" w:rsidRDefault="000552AE" w:rsidP="00E51ED6">
      <w:pPr>
        <w:pStyle w:val="Titre1"/>
        <w:keepNext w:val="0"/>
        <w:numPr>
          <w:ilvl w:val="0"/>
          <w:numId w:val="1"/>
        </w:numPr>
        <w:tabs>
          <w:tab w:val="num" w:pos="432"/>
        </w:tabs>
        <w:ind w:left="432" w:hanging="432"/>
        <w:rPr>
          <w:rFonts w:cs="Arial"/>
          <w:color w:val="365F91"/>
        </w:rPr>
      </w:pPr>
      <w:bookmarkStart w:id="223" w:name="_Toc354313870"/>
      <w:r w:rsidRPr="00A13D47">
        <w:rPr>
          <w:rFonts w:cs="Arial"/>
          <w:color w:val="365F91"/>
        </w:rPr>
        <w:lastRenderedPageBreak/>
        <w:t>Caractéristiques des différentes filières</w:t>
      </w:r>
      <w:bookmarkEnd w:id="223"/>
      <w:r w:rsidRPr="00A13D47">
        <w:rPr>
          <w:rFonts w:cs="Arial"/>
          <w:color w:val="365F91"/>
        </w:rPr>
        <w:t xml:space="preserve"> </w:t>
      </w:r>
    </w:p>
    <w:p w:rsidR="001A3AEF" w:rsidRPr="00B6647E" w:rsidRDefault="00DF50D8" w:rsidP="00E51ED6">
      <w:pPr>
        <w:spacing w:after="0" w:line="240" w:lineRule="auto"/>
        <w:rPr>
          <w:rFonts w:ascii="Arial" w:hAnsi="Arial" w:cs="Arial"/>
          <w:sz w:val="20"/>
          <w:szCs w:val="20"/>
        </w:rPr>
      </w:pPr>
      <w:r w:rsidRPr="00DF50D8">
        <w:rPr>
          <w:rFonts w:ascii="Arial" w:hAnsi="Arial" w:cs="Arial"/>
          <w:noProof/>
        </w:rPr>
        <w:pict>
          <v:shape id="_x0000_s1035" type="#_x0000_t32" style="position:absolute;margin-left:1.15pt;margin-top:4.8pt;width:453.55pt;height:0;z-index:25167872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4ufrAIAAJcFAAAOAAAAZHJzL2Uyb0RvYy54bWysVE2PmzAQvVfqf7B8Z4FACEFLVlkCvWzb&#10;lXarnh1sglWwke18rKr+945NQjfbS1UtB+SPmTdvZt749u7Ud+jAlOZS5Di8CTBiopaUi12Ovz1X&#10;XoqRNkRQ0knBcvzCNL5bffxwexwyNpOt7ChTCECEzo5Djltjhsz3dd2ynugbOTABl41UPTGwVTuf&#10;KnIE9L7zZ0GQ+Eep6KBkzbSG0814iVcOv2lYbb42jWYGdTkGbsb9lftv7d9f3ZJsp8jQ8vpMg/wH&#10;i55wAUEnqA0xBO0V/wuq57WSWjbmppa9L5uG18zlANmEwZtsnloyMJcLFEcPU5n0+8HWXw6PCnGa&#10;42WCkSA99Gi9N9KFRjNbn+OgMzArxKOyGdYn8TQ8yPqHRkIWLRE75oyfXwbwDa2Hf+ViN3qAKNvj&#10;Z0nBhgC+K9apUb2FhDKgk+vJy9QTdjKohsP5IgmCdI5RfbnzSXZxHJQ2n5jskV3kWBtF+K41hRQC&#10;Oi9V6MKQw4M2lhbJLg42qpAV7zongE6gY46jNAwC56Flx6m9tXZa7bZFp9CBgIaiZF4txyTh5rWZ&#10;kntBHVrLCC3Pa0N4N64heicsHnOyHCnB7mRg6c4hYyeZn8tgWaZlGnvxLCm9ONhsvHVVxF5ShYv5&#10;JtoUxSb8ZYmGcdZySpmwXC/yDeN/k8d5kEbhTQKequJfo7vyAdlrputqHiziKPUWi3nkxVEZePdp&#10;VXjrIkySRXlf3JdvmJYue/0+ZKdSWlZyb5h6aukRUW7VMEujJbw+lMO4R2mQBMsFRqTbwTtVG4WR&#10;kuY7N60Tr5Wdxbjq9SyOqmQ8J93QklEB8wA+p/LJ3NVmCj9W6tJku5vadE7+Ty1BFBcBuKGxczJO&#10;3FbSl0d1GSaYfud0fqns8/J6D+vX7+nqNwAAAP//AwBQSwMEFAAGAAgAAAAhABLqZCjcAAAABQEA&#10;AA8AAABkcnMvZG93bnJldi54bWxMjlFLwzAUhd+F/YdwB76ISzdLWWvTMRRxDBGs/oC0uTbF5qY0&#10;Wdv564170cfDOXzny3ez6diIg2stCVivImBItVUtNQI+3p9ut8Ccl6RkZwkFnNHBrlhc5TJTdqI3&#10;HEvfsAAhl0kB2vs+49zVGo10K9sjhe7TDkb6EIeGq0FOAW46vomihBvZUnjQsscHjfVXeTICpjE5&#10;vtxs+fx9fC3PTRUfHvVzLMT1ct7fA/M4+78x/OoHdSiCU2VPpBzrBGzuwlBAmgALbRqlMbDqknmR&#10;8//2xQ8AAAD//wMAUEsBAi0AFAAGAAgAAAAhALaDOJL+AAAA4QEAABMAAAAAAAAAAAAAAAAAAAAA&#10;AFtDb250ZW50X1R5cGVzXS54bWxQSwECLQAUAAYACAAAACEAOP0h/9YAAACUAQAACwAAAAAAAAAA&#10;AAAAAAAvAQAAX3JlbHMvLnJlbHNQSwECLQAUAAYACAAAACEAJvOLn6wCAACXBQAADgAAAAAAAAAA&#10;AAAAAAAuAgAAZHJzL2Uyb0RvYy54bWxQSwECLQAUAAYACAAAACEAEupkKNwAAAAFAQAADwAAAAAA&#10;AAAAAAAAAAAGBQAAZHJzL2Rvd25yZXYueG1sUEsFBgAAAAAEAAQA8wAAAA8GAAAAAA==&#10;" strokecolor="#365f91" strokeweight="3pt">
            <v:shadow color="#243f60" opacity=".5" offset="1pt"/>
          </v:shape>
        </w:pict>
      </w:r>
    </w:p>
    <w:p w:rsidR="00334F75" w:rsidRPr="00B6647E" w:rsidRDefault="00E12440" w:rsidP="00AD2B33">
      <w:pPr>
        <w:spacing w:before="240" w:line="240" w:lineRule="auto"/>
        <w:jc w:val="both"/>
        <w:rPr>
          <w:rFonts w:ascii="Arial" w:hAnsi="Arial" w:cs="Arial"/>
          <w:sz w:val="20"/>
          <w:szCs w:val="20"/>
        </w:rPr>
      </w:pPr>
      <w:r w:rsidRPr="00B6647E">
        <w:rPr>
          <w:rFonts w:ascii="Arial" w:hAnsi="Arial" w:cs="Arial"/>
          <w:color w:val="000000" w:themeColor="text1"/>
          <w:sz w:val="20"/>
          <w:szCs w:val="20"/>
        </w:rPr>
        <w:t xml:space="preserve">Dans cette enquête les superficies ont été estimées sur la base des mesures par boussole et GPS. Celles qui sont publiées </w:t>
      </w:r>
      <w:r w:rsidR="00523D35" w:rsidRPr="00B6647E">
        <w:rPr>
          <w:rFonts w:ascii="Arial" w:hAnsi="Arial" w:cs="Arial"/>
          <w:color w:val="000000" w:themeColor="text1"/>
          <w:sz w:val="20"/>
          <w:szCs w:val="20"/>
        </w:rPr>
        <w:t xml:space="preserve">ici proviennent des mesures par boussole. Pour chaque région naturelle et province, les superficies des parcelles cultivées ont été calculées </w:t>
      </w:r>
      <w:r w:rsidRPr="00B6647E">
        <w:rPr>
          <w:rFonts w:ascii="Arial" w:hAnsi="Arial" w:cs="Arial"/>
          <w:sz w:val="20"/>
          <w:szCs w:val="20"/>
        </w:rPr>
        <w:t>par culture pure, par culture principale</w:t>
      </w:r>
      <w:r w:rsidRPr="00B6647E">
        <w:rPr>
          <w:rStyle w:val="Appelnotedebasdep"/>
          <w:rFonts w:ascii="Arial" w:hAnsi="Arial" w:cs="Arial"/>
          <w:sz w:val="20"/>
          <w:szCs w:val="20"/>
        </w:rPr>
        <w:footnoteReference w:id="29"/>
      </w:r>
      <w:r w:rsidRPr="00B6647E">
        <w:rPr>
          <w:rFonts w:ascii="Arial" w:hAnsi="Arial" w:cs="Arial"/>
          <w:sz w:val="20"/>
          <w:szCs w:val="20"/>
        </w:rPr>
        <w:t xml:space="preserve"> (la plus importante dans une association) et par culture secondaire</w:t>
      </w:r>
      <w:r w:rsidRPr="00B6647E">
        <w:rPr>
          <w:rStyle w:val="Appelnotedebasdep"/>
          <w:rFonts w:ascii="Arial" w:hAnsi="Arial" w:cs="Arial"/>
          <w:sz w:val="20"/>
          <w:szCs w:val="20"/>
        </w:rPr>
        <w:footnoteReference w:id="30"/>
      </w:r>
      <w:r w:rsidRPr="00B6647E">
        <w:rPr>
          <w:rFonts w:ascii="Arial" w:hAnsi="Arial" w:cs="Arial"/>
          <w:sz w:val="20"/>
          <w:szCs w:val="20"/>
        </w:rPr>
        <w:t xml:space="preserve"> (les 1</w:t>
      </w:r>
      <w:r w:rsidRPr="00B6647E">
        <w:rPr>
          <w:rFonts w:ascii="Arial" w:hAnsi="Arial" w:cs="Arial"/>
          <w:sz w:val="20"/>
          <w:szCs w:val="20"/>
          <w:vertAlign w:val="superscript"/>
        </w:rPr>
        <w:t>ère </w:t>
      </w:r>
      <w:r w:rsidRPr="00B6647E">
        <w:rPr>
          <w:rFonts w:ascii="Arial" w:hAnsi="Arial" w:cs="Arial"/>
          <w:sz w:val="20"/>
          <w:szCs w:val="20"/>
        </w:rPr>
        <w:t>; 2</w:t>
      </w:r>
      <w:r w:rsidRPr="00B6647E">
        <w:rPr>
          <w:rFonts w:ascii="Arial" w:hAnsi="Arial" w:cs="Arial"/>
          <w:sz w:val="20"/>
          <w:szCs w:val="20"/>
          <w:vertAlign w:val="superscript"/>
        </w:rPr>
        <w:t>e</w:t>
      </w:r>
      <w:r w:rsidRPr="00B6647E">
        <w:rPr>
          <w:rFonts w:ascii="Arial" w:hAnsi="Arial" w:cs="Arial"/>
          <w:sz w:val="20"/>
          <w:szCs w:val="20"/>
        </w:rPr>
        <w:t>, 3</w:t>
      </w:r>
      <w:r w:rsidRPr="00B6647E">
        <w:rPr>
          <w:rFonts w:ascii="Arial" w:hAnsi="Arial" w:cs="Arial"/>
          <w:sz w:val="20"/>
          <w:szCs w:val="20"/>
          <w:vertAlign w:val="superscript"/>
        </w:rPr>
        <w:t>e </w:t>
      </w:r>
      <w:r w:rsidRPr="00B6647E">
        <w:rPr>
          <w:rFonts w:ascii="Arial" w:hAnsi="Arial" w:cs="Arial"/>
          <w:sz w:val="20"/>
          <w:szCs w:val="20"/>
        </w:rPr>
        <w:t xml:space="preserve"> et 4</w:t>
      </w:r>
      <w:r w:rsidRPr="00B6647E">
        <w:rPr>
          <w:rFonts w:ascii="Arial" w:hAnsi="Arial" w:cs="Arial"/>
          <w:sz w:val="20"/>
          <w:szCs w:val="20"/>
          <w:vertAlign w:val="superscript"/>
        </w:rPr>
        <w:t>e</w:t>
      </w:r>
      <w:r w:rsidRPr="00B6647E">
        <w:rPr>
          <w:rFonts w:ascii="Arial" w:hAnsi="Arial" w:cs="Arial"/>
          <w:sz w:val="20"/>
          <w:szCs w:val="20"/>
        </w:rPr>
        <w:t xml:space="preserve"> dans une association après la principale).</w:t>
      </w:r>
      <w:r w:rsidR="00334F75" w:rsidRPr="00B6647E">
        <w:rPr>
          <w:rFonts w:ascii="Arial" w:hAnsi="Arial" w:cs="Arial"/>
          <w:sz w:val="20"/>
          <w:szCs w:val="20"/>
        </w:rPr>
        <w:t xml:space="preserve"> Pour chaque culture, les superficies contenues dans ce chapitre sont formées de la somme des superficies des parcelles la portant en culture pure et des superficies des parcelles la portant en culture principale.</w:t>
      </w:r>
    </w:p>
    <w:p w:rsidR="00523D35" w:rsidRPr="00B6647E" w:rsidRDefault="00523D35" w:rsidP="00712987">
      <w:pPr>
        <w:spacing w:line="240" w:lineRule="auto"/>
        <w:jc w:val="both"/>
        <w:rPr>
          <w:rFonts w:ascii="Arial" w:hAnsi="Arial" w:cs="Arial"/>
          <w:color w:val="000000" w:themeColor="text1"/>
          <w:sz w:val="20"/>
          <w:szCs w:val="20"/>
        </w:rPr>
      </w:pPr>
      <w:r w:rsidRPr="00B6647E">
        <w:rPr>
          <w:rFonts w:ascii="Arial" w:hAnsi="Arial" w:cs="Arial"/>
          <w:color w:val="000000" w:themeColor="text1"/>
          <w:sz w:val="20"/>
          <w:szCs w:val="20"/>
        </w:rPr>
        <w:t xml:space="preserve">Les rendements ont été estimés sur la base de la récolte des carrés de </w:t>
      </w:r>
      <w:r w:rsidR="00523799">
        <w:rPr>
          <w:rFonts w:ascii="Arial" w:hAnsi="Arial" w:cs="Arial"/>
          <w:color w:val="000000" w:themeColor="text1"/>
          <w:sz w:val="20"/>
          <w:szCs w:val="20"/>
        </w:rPr>
        <w:t xml:space="preserve">rendement. </w:t>
      </w:r>
      <w:r w:rsidRPr="00B6647E">
        <w:rPr>
          <w:rFonts w:ascii="Arial" w:hAnsi="Arial" w:cs="Arial"/>
          <w:color w:val="000000" w:themeColor="text1"/>
          <w:sz w:val="20"/>
          <w:szCs w:val="20"/>
        </w:rPr>
        <w:t>Ce dispositif a permis de calculer un rendement moyen par province et par culture pure, par culture principale</w:t>
      </w:r>
      <w:r w:rsidRPr="00B6647E">
        <w:rPr>
          <w:rStyle w:val="Appelnotedebasdep"/>
          <w:rFonts w:cs="Arial"/>
          <w:sz w:val="20"/>
          <w:szCs w:val="20"/>
        </w:rPr>
        <w:footnoteReference w:id="31"/>
      </w:r>
      <w:r w:rsidR="00523799" w:rsidRPr="00523799">
        <w:rPr>
          <w:rStyle w:val="Appelnotedebasdep"/>
          <w:vertAlign w:val="baseline"/>
        </w:rPr>
        <w:t xml:space="preserve"> </w:t>
      </w:r>
      <w:r w:rsidRPr="00B6647E">
        <w:rPr>
          <w:rFonts w:ascii="Arial" w:hAnsi="Arial" w:cs="Arial"/>
          <w:color w:val="000000" w:themeColor="text1"/>
          <w:sz w:val="20"/>
          <w:szCs w:val="20"/>
        </w:rPr>
        <w:t>la plus importante dans une association) et par culture secondaire</w:t>
      </w:r>
      <w:r w:rsidRPr="00B6647E">
        <w:rPr>
          <w:rStyle w:val="Appelnotedebasdep"/>
          <w:rFonts w:cs="Arial"/>
          <w:sz w:val="20"/>
          <w:szCs w:val="20"/>
        </w:rPr>
        <w:footnoteReference w:id="32"/>
      </w:r>
      <w:r w:rsidRPr="00B6647E">
        <w:rPr>
          <w:rStyle w:val="Appelnotedebasdep"/>
        </w:rPr>
        <w:t xml:space="preserve"> </w:t>
      </w:r>
      <w:r w:rsidRPr="00B6647E">
        <w:rPr>
          <w:rFonts w:ascii="Arial" w:hAnsi="Arial" w:cs="Arial"/>
          <w:color w:val="000000" w:themeColor="text1"/>
          <w:sz w:val="20"/>
          <w:szCs w:val="20"/>
        </w:rPr>
        <w:t>(les 1ère ; 2e, 3e  et 4e dans une association après la principale).</w:t>
      </w:r>
    </w:p>
    <w:p w:rsidR="00E12440" w:rsidRPr="00B6647E" w:rsidRDefault="00523D35" w:rsidP="00523D35">
      <w:pPr>
        <w:pStyle w:val="Paragraphedeliste"/>
        <w:spacing w:after="0" w:line="240" w:lineRule="auto"/>
        <w:ind w:left="0"/>
        <w:jc w:val="both"/>
        <w:rPr>
          <w:rFonts w:ascii="Arial" w:hAnsi="Arial" w:cs="Arial"/>
          <w:sz w:val="20"/>
          <w:szCs w:val="20"/>
        </w:rPr>
      </w:pPr>
      <w:r w:rsidRPr="00B6647E">
        <w:rPr>
          <w:rFonts w:ascii="Arial" w:hAnsi="Arial" w:cs="Arial"/>
          <w:sz w:val="20"/>
          <w:szCs w:val="20"/>
        </w:rPr>
        <w:t>Les productions ont été déduites pour chaque culture dans région et province par le cumul des produits de chaque type de rendement (pur, principal et secondaire) par la surface correspondante.</w:t>
      </w:r>
    </w:p>
    <w:p w:rsidR="00515288" w:rsidRPr="00B6647E" w:rsidRDefault="00515288" w:rsidP="00AD2B33">
      <w:pPr>
        <w:pStyle w:val="Titre2"/>
        <w:keepNext w:val="0"/>
        <w:numPr>
          <w:ilvl w:val="1"/>
          <w:numId w:val="1"/>
        </w:numPr>
        <w:spacing w:before="240" w:after="200"/>
        <w:ind w:left="360"/>
        <w:rPr>
          <w:rFonts w:cs="Arial"/>
          <w:u w:val="dotDash"/>
        </w:rPr>
      </w:pPr>
      <w:bookmarkStart w:id="224" w:name="_Toc354313871"/>
      <w:r w:rsidRPr="00B6647E">
        <w:rPr>
          <w:rFonts w:cs="Arial"/>
          <w:u w:val="dotDash"/>
        </w:rPr>
        <w:t xml:space="preserve">Superficie totale </w:t>
      </w:r>
      <w:r w:rsidR="00AD651A" w:rsidRPr="00B6647E">
        <w:rPr>
          <w:rFonts w:cs="Arial"/>
          <w:u w:val="dotDash"/>
        </w:rPr>
        <w:t>des cultures vivrières par saison</w:t>
      </w:r>
      <w:bookmarkEnd w:id="224"/>
      <w:r w:rsidRPr="00B6647E">
        <w:rPr>
          <w:rFonts w:cs="Arial"/>
          <w:u w:val="dotDash"/>
        </w:rPr>
        <w:t xml:space="preserve"> </w:t>
      </w:r>
    </w:p>
    <w:p w:rsidR="00515288" w:rsidRPr="00B6647E" w:rsidRDefault="00AD651A" w:rsidP="00AD2B33">
      <w:pPr>
        <w:pStyle w:val="Titre3"/>
        <w:keepNext w:val="0"/>
        <w:numPr>
          <w:ilvl w:val="2"/>
          <w:numId w:val="1"/>
        </w:numPr>
        <w:spacing w:before="200" w:after="120"/>
        <w:ind w:left="720"/>
        <w:rPr>
          <w:rFonts w:cs="Arial"/>
          <w:szCs w:val="20"/>
        </w:rPr>
      </w:pPr>
      <w:bookmarkStart w:id="225" w:name="_Toc354313872"/>
      <w:r w:rsidRPr="00B6647E">
        <w:rPr>
          <w:rFonts w:cs="Arial"/>
          <w:szCs w:val="20"/>
          <w:lang w:val="fr-BE"/>
        </w:rPr>
        <w:t>Superficie par région naturelle</w:t>
      </w:r>
      <w:bookmarkEnd w:id="225"/>
    </w:p>
    <w:p w:rsidR="00B355FF" w:rsidRPr="00B6647E" w:rsidRDefault="00B355FF" w:rsidP="0021238D">
      <w:pPr>
        <w:pStyle w:val="Paragraphedeliste"/>
        <w:spacing w:before="200" w:line="240" w:lineRule="auto"/>
        <w:ind w:left="0"/>
        <w:contextualSpacing w:val="0"/>
        <w:jc w:val="both"/>
        <w:rPr>
          <w:rFonts w:ascii="Arial" w:hAnsi="Arial" w:cs="Arial"/>
          <w:sz w:val="20"/>
          <w:szCs w:val="20"/>
        </w:rPr>
      </w:pPr>
      <w:r w:rsidRPr="00B6647E">
        <w:rPr>
          <w:rFonts w:ascii="Arial" w:hAnsi="Arial" w:cs="Arial"/>
          <w:sz w:val="20"/>
          <w:szCs w:val="20"/>
        </w:rPr>
        <w:t xml:space="preserve">La superficie totale des cultures vivrières cumulée sur les trois saisons </w:t>
      </w:r>
      <w:r w:rsidR="00875224" w:rsidRPr="00B6647E">
        <w:rPr>
          <w:rFonts w:ascii="Arial" w:hAnsi="Arial" w:cs="Arial"/>
          <w:sz w:val="20"/>
          <w:szCs w:val="20"/>
        </w:rPr>
        <w:t>a été</w:t>
      </w:r>
      <w:r w:rsidRPr="00B6647E">
        <w:rPr>
          <w:rFonts w:ascii="Arial" w:hAnsi="Arial" w:cs="Arial"/>
          <w:sz w:val="20"/>
          <w:szCs w:val="20"/>
        </w:rPr>
        <w:t xml:space="preserve"> estimée à 1.210.604 ha qui se répartissent en 407.276 ha (33,6%) en saison A, 432928 ha (35,8%) pendant la saison B et 370.400 ha </w:t>
      </w:r>
      <w:r w:rsidR="00E91561" w:rsidRPr="00B6647E">
        <w:rPr>
          <w:rFonts w:ascii="Arial" w:hAnsi="Arial" w:cs="Arial"/>
          <w:sz w:val="20"/>
          <w:szCs w:val="20"/>
        </w:rPr>
        <w:t xml:space="preserve">(30,6%) </w:t>
      </w:r>
      <w:r w:rsidRPr="00B6647E">
        <w:rPr>
          <w:rFonts w:ascii="Arial" w:hAnsi="Arial" w:cs="Arial"/>
          <w:sz w:val="20"/>
          <w:szCs w:val="20"/>
        </w:rPr>
        <w:t>au cours de la saison C.</w:t>
      </w:r>
    </w:p>
    <w:p w:rsidR="00E91561" w:rsidRPr="00B6647E" w:rsidRDefault="00E91561" w:rsidP="00523D35">
      <w:pPr>
        <w:pStyle w:val="Paragraphedeliste"/>
        <w:spacing w:after="0" w:line="240" w:lineRule="auto"/>
        <w:ind w:left="0"/>
        <w:jc w:val="both"/>
        <w:rPr>
          <w:rFonts w:ascii="Arial" w:hAnsi="Arial" w:cs="Arial"/>
          <w:b/>
          <w:sz w:val="20"/>
          <w:szCs w:val="20"/>
        </w:rPr>
      </w:pPr>
      <w:r w:rsidRPr="00B6647E">
        <w:rPr>
          <w:rFonts w:ascii="Arial" w:hAnsi="Arial" w:cs="Arial"/>
          <w:b/>
          <w:sz w:val="20"/>
          <w:szCs w:val="20"/>
        </w:rPr>
        <w:t xml:space="preserve">Tableau </w:t>
      </w:r>
      <w:r w:rsidR="0048718F">
        <w:rPr>
          <w:rFonts w:ascii="Arial" w:hAnsi="Arial" w:cs="Arial"/>
          <w:b/>
          <w:sz w:val="20"/>
          <w:szCs w:val="20"/>
        </w:rPr>
        <w:t>47</w:t>
      </w:r>
      <w:r w:rsidRPr="00B6647E">
        <w:rPr>
          <w:rFonts w:ascii="Arial" w:hAnsi="Arial" w:cs="Arial"/>
          <w:b/>
          <w:sz w:val="20"/>
          <w:szCs w:val="20"/>
        </w:rPr>
        <w:t xml:space="preserve"> : Superficie totale des cultures vivrières </w:t>
      </w:r>
      <w:r w:rsidR="00AD651A" w:rsidRPr="00B6647E">
        <w:rPr>
          <w:rFonts w:ascii="Arial" w:hAnsi="Arial" w:cs="Arial"/>
          <w:b/>
          <w:sz w:val="20"/>
          <w:szCs w:val="20"/>
        </w:rPr>
        <w:t xml:space="preserve">par région naturelle et </w:t>
      </w:r>
      <w:r w:rsidRPr="00B6647E">
        <w:rPr>
          <w:rFonts w:ascii="Arial" w:hAnsi="Arial" w:cs="Arial"/>
          <w:b/>
          <w:sz w:val="20"/>
          <w:szCs w:val="20"/>
        </w:rPr>
        <w:t xml:space="preserve">par saison </w:t>
      </w:r>
    </w:p>
    <w:p w:rsidR="00B355FF" w:rsidRPr="00B6647E" w:rsidRDefault="002E298B" w:rsidP="00523D35">
      <w:pPr>
        <w:pStyle w:val="Paragraphedeliste"/>
        <w:spacing w:after="0" w:line="240" w:lineRule="auto"/>
        <w:ind w:left="0"/>
        <w:jc w:val="both"/>
        <w:rPr>
          <w:rFonts w:ascii="Arial" w:hAnsi="Arial" w:cs="Arial"/>
          <w:sz w:val="20"/>
          <w:szCs w:val="20"/>
        </w:rPr>
      </w:pPr>
      <w:r w:rsidRPr="00B6647E">
        <w:rPr>
          <w:noProof/>
          <w:szCs w:val="20"/>
          <w:lang w:val="fr-FR" w:eastAsia="fr-FR"/>
        </w:rPr>
        <w:drawing>
          <wp:inline distT="0" distB="0" distL="0" distR="0">
            <wp:extent cx="4048125" cy="2914650"/>
            <wp:effectExtent l="19050" t="0" r="9525" b="0"/>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a:stretch>
                      <a:fillRect/>
                    </a:stretch>
                  </pic:blipFill>
                  <pic:spPr bwMode="auto">
                    <a:xfrm>
                      <a:off x="0" y="0"/>
                      <a:ext cx="4048125" cy="2914650"/>
                    </a:xfrm>
                    <a:prstGeom prst="rect">
                      <a:avLst/>
                    </a:prstGeom>
                    <a:noFill/>
                    <a:ln w="9525">
                      <a:noFill/>
                      <a:miter lim="800000"/>
                      <a:headEnd/>
                      <a:tailEnd/>
                    </a:ln>
                  </pic:spPr>
                </pic:pic>
              </a:graphicData>
            </a:graphic>
          </wp:inline>
        </w:drawing>
      </w:r>
    </w:p>
    <w:p w:rsidR="00B355FF" w:rsidRPr="00B6647E" w:rsidRDefault="00E91561" w:rsidP="00523D35">
      <w:pPr>
        <w:pStyle w:val="Paragraphedeliste"/>
        <w:spacing w:after="0" w:line="240" w:lineRule="auto"/>
        <w:ind w:left="0"/>
        <w:jc w:val="both"/>
        <w:rPr>
          <w:rFonts w:ascii="Arial" w:hAnsi="Arial" w:cs="Arial"/>
          <w:sz w:val="20"/>
          <w:szCs w:val="20"/>
        </w:rPr>
      </w:pPr>
      <w:r w:rsidRPr="00B6647E">
        <w:rPr>
          <w:rFonts w:ascii="Arial" w:hAnsi="Arial" w:cs="Arial"/>
          <w:sz w:val="20"/>
          <w:szCs w:val="20"/>
        </w:rPr>
        <w:t>La superficie</w:t>
      </w:r>
      <w:r w:rsidR="00C121D1" w:rsidRPr="00B6647E">
        <w:rPr>
          <w:rFonts w:ascii="Arial" w:hAnsi="Arial" w:cs="Arial"/>
          <w:sz w:val="20"/>
          <w:szCs w:val="20"/>
        </w:rPr>
        <w:t xml:space="preserve"> des cultures vivrières la plus élevée a été estimée dans</w:t>
      </w:r>
      <w:r w:rsidRPr="00B6647E">
        <w:rPr>
          <w:rFonts w:ascii="Arial" w:hAnsi="Arial" w:cs="Arial"/>
          <w:sz w:val="20"/>
          <w:szCs w:val="20"/>
        </w:rPr>
        <w:t xml:space="preserve"> région de Kirimiro</w:t>
      </w:r>
      <w:r w:rsidR="00C121D1" w:rsidRPr="00B6647E">
        <w:rPr>
          <w:rFonts w:ascii="Arial" w:hAnsi="Arial" w:cs="Arial"/>
          <w:sz w:val="20"/>
          <w:szCs w:val="20"/>
        </w:rPr>
        <w:t>. Elle est</w:t>
      </w:r>
      <w:r w:rsidRPr="00B6647E">
        <w:rPr>
          <w:rFonts w:ascii="Arial" w:hAnsi="Arial" w:cs="Arial"/>
          <w:sz w:val="20"/>
          <w:szCs w:val="20"/>
        </w:rPr>
        <w:t xml:space="preserve"> </w:t>
      </w:r>
      <w:r w:rsidR="00C121D1" w:rsidRPr="00B6647E">
        <w:rPr>
          <w:rFonts w:ascii="Arial" w:hAnsi="Arial" w:cs="Arial"/>
          <w:sz w:val="20"/>
          <w:szCs w:val="20"/>
        </w:rPr>
        <w:t>de</w:t>
      </w:r>
      <w:r w:rsidRPr="00B6647E">
        <w:rPr>
          <w:rFonts w:ascii="Arial" w:hAnsi="Arial" w:cs="Arial"/>
          <w:sz w:val="20"/>
          <w:szCs w:val="20"/>
        </w:rPr>
        <w:t xml:space="preserve"> 219.774 ha correspondant à 18,2% de la superficie totale cultivée pendant toute la campagne agricole 2011-2012</w:t>
      </w:r>
      <w:r w:rsidR="00C121D1" w:rsidRPr="00B6647E">
        <w:rPr>
          <w:rFonts w:ascii="Arial" w:hAnsi="Arial" w:cs="Arial"/>
          <w:sz w:val="20"/>
          <w:szCs w:val="20"/>
        </w:rPr>
        <w:t>. Elle est suivie par les régi</w:t>
      </w:r>
      <w:r w:rsidR="00AD651A" w:rsidRPr="00B6647E">
        <w:rPr>
          <w:rFonts w:ascii="Arial" w:hAnsi="Arial" w:cs="Arial"/>
          <w:sz w:val="20"/>
          <w:szCs w:val="20"/>
        </w:rPr>
        <w:t>ons de Bugesera (168.565 ha, soit 13,9%), Bweru (151.764 ha, soit 12,5%) et Buyenzi (150.772 ha, soit 12,5%).</w:t>
      </w:r>
    </w:p>
    <w:p w:rsidR="00D212DA" w:rsidRPr="00B6647E" w:rsidRDefault="00D212DA">
      <w:pPr>
        <w:rPr>
          <w:rFonts w:ascii="Arial" w:eastAsia="Times New Roman" w:hAnsi="Arial" w:cs="Arial"/>
          <w:bCs/>
          <w:sz w:val="20"/>
          <w:szCs w:val="20"/>
          <w:lang w:val="fr-FR" w:eastAsia="fr-FR"/>
        </w:rPr>
      </w:pPr>
      <w:r w:rsidRPr="00B6647E">
        <w:rPr>
          <w:rFonts w:cs="Arial"/>
          <w:szCs w:val="20"/>
        </w:rPr>
        <w:br w:type="page"/>
      </w:r>
    </w:p>
    <w:p w:rsidR="00515288" w:rsidRPr="00B6647E" w:rsidRDefault="00AD651A" w:rsidP="00AD2B33">
      <w:pPr>
        <w:pStyle w:val="Titre3"/>
        <w:keepNext w:val="0"/>
        <w:numPr>
          <w:ilvl w:val="2"/>
          <w:numId w:val="1"/>
        </w:numPr>
        <w:spacing w:before="200" w:after="120"/>
        <w:ind w:left="720"/>
        <w:rPr>
          <w:rFonts w:cs="Arial"/>
          <w:szCs w:val="20"/>
          <w:lang w:val="fr-BE"/>
        </w:rPr>
      </w:pPr>
      <w:bookmarkStart w:id="226" w:name="_Toc354313873"/>
      <w:r w:rsidRPr="00B6647E">
        <w:rPr>
          <w:rFonts w:cs="Arial"/>
          <w:szCs w:val="20"/>
          <w:lang w:val="fr-BE"/>
        </w:rPr>
        <w:lastRenderedPageBreak/>
        <w:t xml:space="preserve">Superficie par </w:t>
      </w:r>
      <w:r w:rsidR="00515288" w:rsidRPr="00B6647E">
        <w:rPr>
          <w:rFonts w:cs="Arial"/>
          <w:szCs w:val="20"/>
          <w:lang w:val="fr-BE"/>
        </w:rPr>
        <w:t>province</w:t>
      </w:r>
      <w:bookmarkEnd w:id="226"/>
    </w:p>
    <w:p w:rsidR="00471B19" w:rsidRPr="00B6647E" w:rsidRDefault="00471B19" w:rsidP="0021238D">
      <w:pPr>
        <w:pStyle w:val="Paragraphedeliste"/>
        <w:spacing w:before="200" w:line="240" w:lineRule="auto"/>
        <w:ind w:left="0"/>
        <w:contextualSpacing w:val="0"/>
        <w:jc w:val="both"/>
        <w:rPr>
          <w:rFonts w:ascii="Arial" w:hAnsi="Arial" w:cs="Arial"/>
          <w:sz w:val="20"/>
          <w:szCs w:val="20"/>
        </w:rPr>
      </w:pPr>
      <w:r w:rsidRPr="00B6647E">
        <w:rPr>
          <w:rFonts w:ascii="Arial" w:hAnsi="Arial" w:cs="Arial"/>
          <w:sz w:val="20"/>
          <w:szCs w:val="20"/>
        </w:rPr>
        <w:t>Les superficies totales les plus élevées des cultures vivrières cumulées sur les trois saisons ont été estimées dans Kirundo (189.889 ha, soit 15,7% de la superficie totale des cultures vivrières de toute la campagne agricole), Muyinga (125.320 ha, soit 10,4%), Gitega (102.715 ha, soit 8,5%) et Karuzi (94.319 ha, soit 7,8%).</w:t>
      </w:r>
    </w:p>
    <w:p w:rsidR="00471B19" w:rsidRPr="00B6647E" w:rsidRDefault="00471B19" w:rsidP="00471B19">
      <w:pPr>
        <w:pStyle w:val="Paragraphedeliste"/>
        <w:spacing w:after="0" w:line="240" w:lineRule="auto"/>
        <w:ind w:left="0"/>
        <w:jc w:val="both"/>
        <w:rPr>
          <w:rFonts w:ascii="Arial" w:hAnsi="Arial" w:cs="Arial"/>
          <w:b/>
          <w:sz w:val="20"/>
          <w:szCs w:val="20"/>
        </w:rPr>
      </w:pPr>
      <w:r w:rsidRPr="00B6647E">
        <w:rPr>
          <w:rFonts w:ascii="Arial" w:hAnsi="Arial" w:cs="Arial"/>
          <w:b/>
          <w:sz w:val="20"/>
          <w:szCs w:val="20"/>
        </w:rPr>
        <w:t xml:space="preserve">Tableau </w:t>
      </w:r>
      <w:r w:rsidR="0048718F">
        <w:rPr>
          <w:rFonts w:ascii="Arial" w:hAnsi="Arial" w:cs="Arial"/>
          <w:b/>
          <w:sz w:val="20"/>
          <w:szCs w:val="20"/>
        </w:rPr>
        <w:t>48</w:t>
      </w:r>
      <w:r w:rsidRPr="00B6647E">
        <w:rPr>
          <w:rFonts w:ascii="Arial" w:hAnsi="Arial" w:cs="Arial"/>
          <w:b/>
          <w:sz w:val="20"/>
          <w:szCs w:val="20"/>
        </w:rPr>
        <w:t xml:space="preserve"> : Superficie totale des cultures vivrières </w:t>
      </w:r>
      <w:r w:rsidR="001612CE" w:rsidRPr="00B6647E">
        <w:rPr>
          <w:rFonts w:ascii="Arial" w:hAnsi="Arial" w:cs="Arial"/>
          <w:b/>
          <w:sz w:val="20"/>
          <w:szCs w:val="20"/>
        </w:rPr>
        <w:t xml:space="preserve">par </w:t>
      </w:r>
      <w:r w:rsidRPr="00B6647E">
        <w:rPr>
          <w:rFonts w:ascii="Arial" w:hAnsi="Arial" w:cs="Arial"/>
          <w:b/>
          <w:sz w:val="20"/>
          <w:szCs w:val="20"/>
        </w:rPr>
        <w:t xml:space="preserve">province et par saison </w:t>
      </w:r>
    </w:p>
    <w:p w:rsidR="00AD651A" w:rsidRPr="00B6647E" w:rsidRDefault="002E298B" w:rsidP="00523D35">
      <w:pPr>
        <w:pStyle w:val="Paragraphedeliste"/>
        <w:spacing w:after="0" w:line="240" w:lineRule="auto"/>
        <w:ind w:left="0"/>
        <w:jc w:val="both"/>
        <w:rPr>
          <w:rFonts w:ascii="Arial" w:hAnsi="Arial" w:cs="Arial"/>
          <w:sz w:val="20"/>
          <w:szCs w:val="20"/>
        </w:rPr>
      </w:pPr>
      <w:r w:rsidRPr="00B6647E">
        <w:rPr>
          <w:noProof/>
          <w:szCs w:val="20"/>
          <w:lang w:val="fr-FR" w:eastAsia="fr-FR"/>
        </w:rPr>
        <w:drawing>
          <wp:inline distT="0" distB="0" distL="0" distR="0">
            <wp:extent cx="4429125" cy="3867150"/>
            <wp:effectExtent l="19050" t="0" r="9525" b="0"/>
            <wp:docPr id="4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srcRect/>
                    <a:stretch>
                      <a:fillRect/>
                    </a:stretch>
                  </pic:blipFill>
                  <pic:spPr bwMode="auto">
                    <a:xfrm>
                      <a:off x="0" y="0"/>
                      <a:ext cx="4429125" cy="3867150"/>
                    </a:xfrm>
                    <a:prstGeom prst="rect">
                      <a:avLst/>
                    </a:prstGeom>
                    <a:noFill/>
                    <a:ln w="9525">
                      <a:noFill/>
                      <a:miter lim="800000"/>
                      <a:headEnd/>
                      <a:tailEnd/>
                    </a:ln>
                  </pic:spPr>
                </pic:pic>
              </a:graphicData>
            </a:graphic>
          </wp:inline>
        </w:drawing>
      </w:r>
    </w:p>
    <w:p w:rsidR="00515288" w:rsidRPr="00B6647E" w:rsidRDefault="00515288" w:rsidP="00AD2B33">
      <w:pPr>
        <w:pStyle w:val="Titre2"/>
        <w:keepNext w:val="0"/>
        <w:numPr>
          <w:ilvl w:val="1"/>
          <w:numId w:val="1"/>
        </w:numPr>
        <w:spacing w:before="240" w:after="200"/>
        <w:ind w:left="360"/>
        <w:rPr>
          <w:rFonts w:cs="Arial"/>
          <w:u w:val="dotDash"/>
        </w:rPr>
      </w:pPr>
      <w:bookmarkStart w:id="227" w:name="_Toc354313874"/>
      <w:r w:rsidRPr="00B6647E">
        <w:rPr>
          <w:rFonts w:cs="Arial"/>
          <w:u w:val="dotDash"/>
        </w:rPr>
        <w:t>Production totale par groupe de culture</w:t>
      </w:r>
      <w:bookmarkEnd w:id="227"/>
      <w:r w:rsidRPr="00B6647E">
        <w:rPr>
          <w:rFonts w:cs="Arial"/>
          <w:u w:val="dotDash"/>
        </w:rPr>
        <w:t xml:space="preserve"> </w:t>
      </w:r>
    </w:p>
    <w:p w:rsidR="000327E4" w:rsidRPr="00B6647E" w:rsidRDefault="000327E4" w:rsidP="0021238D">
      <w:pPr>
        <w:pStyle w:val="Paragraphedeliste"/>
        <w:spacing w:before="200" w:line="240" w:lineRule="auto"/>
        <w:ind w:left="0"/>
        <w:contextualSpacing w:val="0"/>
        <w:jc w:val="both"/>
        <w:rPr>
          <w:rFonts w:ascii="Arial" w:hAnsi="Arial" w:cs="Arial"/>
          <w:sz w:val="20"/>
          <w:szCs w:val="20"/>
        </w:rPr>
      </w:pPr>
      <w:r w:rsidRPr="00B6647E">
        <w:rPr>
          <w:rFonts w:ascii="Arial" w:hAnsi="Arial" w:cs="Arial"/>
          <w:sz w:val="20"/>
          <w:szCs w:val="20"/>
        </w:rPr>
        <w:t xml:space="preserve">La production totale des cultures vivrières de la </w:t>
      </w:r>
      <w:r w:rsidR="0006002C" w:rsidRPr="00B6647E">
        <w:rPr>
          <w:rFonts w:ascii="Arial" w:hAnsi="Arial" w:cs="Arial"/>
          <w:sz w:val="20"/>
          <w:szCs w:val="20"/>
        </w:rPr>
        <w:t>campagne</w:t>
      </w:r>
      <w:r w:rsidRPr="00B6647E">
        <w:rPr>
          <w:rFonts w:ascii="Arial" w:hAnsi="Arial" w:cs="Arial"/>
          <w:sz w:val="20"/>
          <w:szCs w:val="20"/>
        </w:rPr>
        <w:t xml:space="preserve"> </w:t>
      </w:r>
      <w:r w:rsidR="0006002C" w:rsidRPr="00B6647E">
        <w:rPr>
          <w:rFonts w:ascii="Arial" w:hAnsi="Arial" w:cs="Arial"/>
          <w:sz w:val="20"/>
          <w:szCs w:val="20"/>
        </w:rPr>
        <w:t>agricole</w:t>
      </w:r>
      <w:r w:rsidRPr="00B6647E">
        <w:rPr>
          <w:rFonts w:ascii="Arial" w:hAnsi="Arial" w:cs="Arial"/>
          <w:sz w:val="20"/>
          <w:szCs w:val="20"/>
        </w:rPr>
        <w:t xml:space="preserve"> 2011-2012 a été estimée à 1.413.143 tonnes équivalent céréale</w:t>
      </w:r>
      <w:r w:rsidRPr="00523799">
        <w:rPr>
          <w:rFonts w:ascii="Arial" w:hAnsi="Arial"/>
          <w:sz w:val="20"/>
          <w:szCs w:val="20"/>
          <w:vertAlign w:val="superscript"/>
        </w:rPr>
        <w:footnoteReference w:id="33"/>
      </w:r>
      <w:r w:rsidRPr="00523799">
        <w:rPr>
          <w:rFonts w:ascii="Arial" w:hAnsi="Arial" w:cs="Arial"/>
          <w:sz w:val="20"/>
          <w:szCs w:val="20"/>
          <w:vertAlign w:val="superscript"/>
        </w:rPr>
        <w:t>,</w:t>
      </w:r>
      <w:r w:rsidRPr="00B6647E">
        <w:rPr>
          <w:rFonts w:ascii="Arial" w:hAnsi="Arial" w:cs="Arial"/>
          <w:sz w:val="20"/>
          <w:szCs w:val="20"/>
        </w:rPr>
        <w:t xml:space="preserve"> soit en moyenne </w:t>
      </w:r>
      <w:r w:rsidR="0006002C" w:rsidRPr="00B6647E">
        <w:rPr>
          <w:rFonts w:ascii="Arial" w:hAnsi="Arial" w:cs="Arial"/>
          <w:sz w:val="20"/>
          <w:szCs w:val="20"/>
        </w:rPr>
        <w:t>908</w:t>
      </w:r>
      <w:r w:rsidRPr="00B6647E">
        <w:rPr>
          <w:rFonts w:ascii="Arial" w:hAnsi="Arial" w:cs="Arial"/>
          <w:sz w:val="20"/>
          <w:szCs w:val="20"/>
        </w:rPr>
        <w:t xml:space="preserve"> kg équivalent céréale </w:t>
      </w:r>
      <w:r w:rsidR="00723FF1" w:rsidRPr="00B6647E">
        <w:rPr>
          <w:rFonts w:ascii="Arial" w:hAnsi="Arial" w:cs="Arial"/>
          <w:sz w:val="20"/>
          <w:szCs w:val="20"/>
        </w:rPr>
        <w:t xml:space="preserve">(KEC) </w:t>
      </w:r>
      <w:r w:rsidRPr="00B6647E">
        <w:rPr>
          <w:rFonts w:ascii="Arial" w:hAnsi="Arial" w:cs="Arial"/>
          <w:sz w:val="20"/>
          <w:szCs w:val="20"/>
        </w:rPr>
        <w:t>par ménage agricole</w:t>
      </w:r>
      <w:r w:rsidR="0012595D" w:rsidRPr="00B6647E">
        <w:rPr>
          <w:rFonts w:ascii="Arial" w:hAnsi="Arial" w:cs="Arial"/>
          <w:sz w:val="20"/>
          <w:szCs w:val="20"/>
        </w:rPr>
        <w:t xml:space="preserve"> (158 </w:t>
      </w:r>
      <w:r w:rsidR="00723FF1" w:rsidRPr="00B6647E">
        <w:rPr>
          <w:rFonts w:ascii="Arial" w:hAnsi="Arial" w:cs="Arial"/>
          <w:sz w:val="20"/>
          <w:szCs w:val="20"/>
        </w:rPr>
        <w:t>KEC</w:t>
      </w:r>
      <w:r w:rsidR="0012595D" w:rsidRPr="00B6647E">
        <w:rPr>
          <w:rFonts w:ascii="Arial" w:hAnsi="Arial" w:cs="Arial"/>
          <w:sz w:val="20"/>
          <w:szCs w:val="20"/>
        </w:rPr>
        <w:t xml:space="preserve"> de céréales, 157 </w:t>
      </w:r>
      <w:r w:rsidR="00723FF1" w:rsidRPr="00B6647E">
        <w:rPr>
          <w:rFonts w:ascii="Arial" w:hAnsi="Arial" w:cs="Arial"/>
          <w:sz w:val="20"/>
          <w:szCs w:val="20"/>
        </w:rPr>
        <w:t>KEC</w:t>
      </w:r>
      <w:r w:rsidR="0012595D" w:rsidRPr="00B6647E">
        <w:rPr>
          <w:rFonts w:ascii="Arial" w:hAnsi="Arial" w:cs="Arial"/>
          <w:sz w:val="20"/>
          <w:szCs w:val="20"/>
        </w:rPr>
        <w:t xml:space="preserve"> de légumineuses, 138 </w:t>
      </w:r>
      <w:r w:rsidR="00723FF1" w:rsidRPr="00B6647E">
        <w:rPr>
          <w:rFonts w:ascii="Arial" w:hAnsi="Arial" w:cs="Arial"/>
          <w:sz w:val="20"/>
          <w:szCs w:val="20"/>
        </w:rPr>
        <w:t>KEC</w:t>
      </w:r>
      <w:r w:rsidR="0012595D" w:rsidRPr="00B6647E">
        <w:rPr>
          <w:rFonts w:ascii="Arial" w:hAnsi="Arial" w:cs="Arial"/>
          <w:sz w:val="20"/>
          <w:szCs w:val="20"/>
        </w:rPr>
        <w:t xml:space="preserve"> de banane, 441 </w:t>
      </w:r>
      <w:r w:rsidR="00723FF1" w:rsidRPr="00B6647E">
        <w:rPr>
          <w:rFonts w:ascii="Arial" w:hAnsi="Arial" w:cs="Arial"/>
          <w:sz w:val="20"/>
          <w:szCs w:val="20"/>
        </w:rPr>
        <w:t>KEC</w:t>
      </w:r>
      <w:r w:rsidR="0012595D" w:rsidRPr="00B6647E">
        <w:rPr>
          <w:rFonts w:ascii="Arial" w:hAnsi="Arial" w:cs="Arial"/>
          <w:sz w:val="20"/>
          <w:szCs w:val="20"/>
        </w:rPr>
        <w:t xml:space="preserve"> de tubercules et 13 </w:t>
      </w:r>
      <w:r w:rsidR="00723FF1" w:rsidRPr="00B6647E">
        <w:rPr>
          <w:rFonts w:ascii="Arial" w:hAnsi="Arial" w:cs="Arial"/>
          <w:sz w:val="20"/>
          <w:szCs w:val="20"/>
        </w:rPr>
        <w:t>KEC</w:t>
      </w:r>
      <w:r w:rsidR="0012595D" w:rsidRPr="00B6647E">
        <w:rPr>
          <w:rFonts w:ascii="Arial" w:hAnsi="Arial" w:cs="Arial"/>
          <w:sz w:val="20"/>
          <w:szCs w:val="20"/>
        </w:rPr>
        <w:t xml:space="preserve"> d’oléagineux)</w:t>
      </w:r>
      <w:r w:rsidRPr="00B6647E">
        <w:rPr>
          <w:rFonts w:ascii="Arial" w:hAnsi="Arial" w:cs="Arial"/>
          <w:sz w:val="20"/>
          <w:szCs w:val="20"/>
        </w:rPr>
        <w:t xml:space="preserve">. Cette moyenne correspond à </w:t>
      </w:r>
      <w:r w:rsidR="0006002C" w:rsidRPr="00B6647E">
        <w:rPr>
          <w:rFonts w:ascii="Arial" w:hAnsi="Arial" w:cs="Arial"/>
          <w:sz w:val="20"/>
          <w:szCs w:val="20"/>
        </w:rPr>
        <w:t>280</w:t>
      </w:r>
      <w:r w:rsidRPr="00B6647E">
        <w:rPr>
          <w:rFonts w:ascii="Arial" w:hAnsi="Arial" w:cs="Arial"/>
          <w:sz w:val="20"/>
          <w:szCs w:val="20"/>
        </w:rPr>
        <w:t xml:space="preserve"> jours de consommation par personne. Ces calculs effectués </w:t>
      </w:r>
      <w:r w:rsidR="00523799">
        <w:rPr>
          <w:rFonts w:ascii="Arial" w:hAnsi="Arial" w:cs="Arial"/>
          <w:sz w:val="20"/>
          <w:szCs w:val="20"/>
        </w:rPr>
        <w:t xml:space="preserve">cette fois </w:t>
      </w:r>
      <w:r w:rsidRPr="00B6647E">
        <w:rPr>
          <w:rFonts w:ascii="Arial" w:hAnsi="Arial" w:cs="Arial"/>
          <w:sz w:val="20"/>
          <w:szCs w:val="20"/>
        </w:rPr>
        <w:t xml:space="preserve">sans prendre en compte la banane à bière et les oléagineux destinés principalement à la vente, donnent un total de </w:t>
      </w:r>
      <w:r w:rsidR="00B24DD8" w:rsidRPr="00B6647E">
        <w:rPr>
          <w:rFonts w:ascii="Arial" w:hAnsi="Arial" w:cs="Arial"/>
          <w:sz w:val="20"/>
          <w:szCs w:val="20"/>
        </w:rPr>
        <w:t>1.239.825</w:t>
      </w:r>
      <w:r w:rsidRPr="00B6647E">
        <w:rPr>
          <w:rFonts w:ascii="Arial" w:hAnsi="Arial" w:cs="Arial"/>
          <w:sz w:val="20"/>
          <w:szCs w:val="20"/>
        </w:rPr>
        <w:t xml:space="preserve"> tonnes équivalent céréale correspondant à une moyenne de </w:t>
      </w:r>
      <w:r w:rsidR="00B24DD8" w:rsidRPr="00B6647E">
        <w:rPr>
          <w:rFonts w:ascii="Arial" w:hAnsi="Arial" w:cs="Arial"/>
          <w:sz w:val="20"/>
          <w:szCs w:val="20"/>
        </w:rPr>
        <w:t>797</w:t>
      </w:r>
      <w:r w:rsidRPr="00B6647E">
        <w:rPr>
          <w:rFonts w:ascii="Arial" w:hAnsi="Arial" w:cs="Arial"/>
          <w:sz w:val="20"/>
          <w:szCs w:val="20"/>
        </w:rPr>
        <w:t xml:space="preserve"> kg équivalent céréale par ménage agricole, soit </w:t>
      </w:r>
      <w:r w:rsidR="00B24DD8" w:rsidRPr="00B6647E">
        <w:rPr>
          <w:rFonts w:ascii="Arial" w:hAnsi="Arial" w:cs="Arial"/>
          <w:sz w:val="20"/>
          <w:szCs w:val="20"/>
        </w:rPr>
        <w:t>245</w:t>
      </w:r>
      <w:r w:rsidRPr="00B6647E">
        <w:rPr>
          <w:rFonts w:ascii="Arial" w:hAnsi="Arial" w:cs="Arial"/>
          <w:sz w:val="20"/>
          <w:szCs w:val="20"/>
        </w:rPr>
        <w:t xml:space="preserve"> jours de consommation par personne.</w:t>
      </w:r>
    </w:p>
    <w:p w:rsidR="000327E4" w:rsidRPr="00B6647E" w:rsidRDefault="000327E4" w:rsidP="0021238D">
      <w:pPr>
        <w:pStyle w:val="Paragraphedeliste"/>
        <w:spacing w:before="200" w:line="240" w:lineRule="auto"/>
        <w:ind w:left="0"/>
        <w:contextualSpacing w:val="0"/>
        <w:jc w:val="both"/>
        <w:rPr>
          <w:rFonts w:ascii="Arial" w:hAnsi="Arial" w:cs="Arial"/>
          <w:sz w:val="20"/>
          <w:szCs w:val="20"/>
        </w:rPr>
      </w:pPr>
      <w:r w:rsidRPr="00B6647E">
        <w:rPr>
          <w:rFonts w:ascii="Arial" w:hAnsi="Arial" w:cs="Arial"/>
          <w:sz w:val="20"/>
          <w:szCs w:val="20"/>
        </w:rPr>
        <w:t>Ce calcul des besoins moyens de consommation est basé sur une ration journalière minimale acceptable de 2.100 Kcal qui se situe entre 2.400 Kcal, considérée en général comme une ration idéale et 1.800 Kcal qui ne peuvent être qu’une ration conservatoire</w:t>
      </w:r>
      <w:r w:rsidR="00B24DD8" w:rsidRPr="00B6647E">
        <w:rPr>
          <w:rFonts w:ascii="Arial" w:hAnsi="Arial" w:cs="Arial"/>
          <w:sz w:val="20"/>
          <w:szCs w:val="20"/>
        </w:rPr>
        <w:t>.</w:t>
      </w:r>
    </w:p>
    <w:p w:rsidR="00B24DD8" w:rsidRPr="00B6647E" w:rsidRDefault="000327E4" w:rsidP="0021238D">
      <w:pPr>
        <w:pStyle w:val="Paragraphedeliste"/>
        <w:spacing w:before="200" w:line="240" w:lineRule="auto"/>
        <w:ind w:left="0"/>
        <w:contextualSpacing w:val="0"/>
        <w:jc w:val="both"/>
        <w:rPr>
          <w:rFonts w:ascii="Arial" w:hAnsi="Arial" w:cs="Arial"/>
          <w:sz w:val="20"/>
          <w:szCs w:val="20"/>
        </w:rPr>
      </w:pPr>
      <w:r w:rsidRPr="00B6647E">
        <w:rPr>
          <w:rFonts w:ascii="Arial" w:hAnsi="Arial" w:cs="Arial"/>
          <w:sz w:val="20"/>
          <w:szCs w:val="20"/>
        </w:rPr>
        <w:t>On note que la production de la saison C (exprimée en tonnes équivalent céréale) est équivalente à celle de la saison A. Par rapport à la saison B, on note une diminution de 54,8%. Cette diminution est</w:t>
      </w:r>
      <w:r w:rsidR="00B24DD8" w:rsidRPr="00B6647E">
        <w:rPr>
          <w:rFonts w:ascii="Arial" w:hAnsi="Arial" w:cs="Arial"/>
          <w:sz w:val="20"/>
          <w:szCs w:val="20"/>
        </w:rPr>
        <w:t xml:space="preserve"> </w:t>
      </w:r>
      <w:r w:rsidR="00B24DD8" w:rsidRPr="00B6647E">
        <w:rPr>
          <w:rFonts w:ascii="Arial" w:hAnsi="Arial" w:cs="Arial"/>
          <w:sz w:val="20"/>
          <w:szCs w:val="20"/>
        </w:rPr>
        <w:lastRenderedPageBreak/>
        <w:t xml:space="preserve">de 70,2% au niveau des céréales, 89,6% pour les légumineuses, 32,1% pour la banane, 40,8% pour les tubercules et 82,9% pour les oléagineux. </w:t>
      </w:r>
    </w:p>
    <w:p w:rsidR="0006002C" w:rsidRPr="00B6647E" w:rsidRDefault="00EC498D" w:rsidP="000327E4">
      <w:pPr>
        <w:pStyle w:val="Paragraphedeliste"/>
        <w:spacing w:after="0" w:line="240" w:lineRule="auto"/>
        <w:ind w:left="0"/>
        <w:jc w:val="both"/>
        <w:rPr>
          <w:rFonts w:ascii="Arial" w:eastAsia="Times New Roman" w:hAnsi="Arial" w:cs="Times New Roman"/>
          <w:b/>
          <w:sz w:val="20"/>
          <w:szCs w:val="20"/>
          <w:lang w:val="fr-FR" w:eastAsia="fr-FR"/>
        </w:rPr>
      </w:pPr>
      <w:r w:rsidRPr="00B6647E">
        <w:rPr>
          <w:rFonts w:ascii="Arial" w:eastAsia="Times New Roman" w:hAnsi="Arial" w:cs="Times New Roman"/>
          <w:b/>
          <w:sz w:val="20"/>
          <w:szCs w:val="20"/>
          <w:lang w:val="fr-FR" w:eastAsia="fr-FR"/>
        </w:rPr>
        <w:t>Tableaux 4</w:t>
      </w:r>
      <w:r w:rsidR="0048718F">
        <w:rPr>
          <w:rFonts w:ascii="Arial" w:eastAsia="Times New Roman" w:hAnsi="Arial" w:cs="Times New Roman"/>
          <w:b/>
          <w:sz w:val="20"/>
          <w:szCs w:val="20"/>
          <w:lang w:val="fr-FR" w:eastAsia="fr-FR"/>
        </w:rPr>
        <w:t>9</w:t>
      </w:r>
      <w:r w:rsidR="0006002C" w:rsidRPr="00B6647E">
        <w:rPr>
          <w:rFonts w:ascii="Arial" w:eastAsia="Times New Roman" w:hAnsi="Arial" w:cs="Times New Roman"/>
          <w:b/>
          <w:sz w:val="20"/>
          <w:szCs w:val="20"/>
          <w:lang w:val="fr-FR" w:eastAsia="fr-FR"/>
        </w:rPr>
        <w:t xml:space="preserve"> : Production totale des cultures vivrières par saison </w:t>
      </w:r>
    </w:p>
    <w:p w:rsidR="00B355FF" w:rsidRPr="00B6647E" w:rsidRDefault="000327E4" w:rsidP="00E51ED6">
      <w:pPr>
        <w:pStyle w:val="Paragraphedeliste"/>
        <w:spacing w:after="0" w:line="240" w:lineRule="auto"/>
        <w:ind w:left="0"/>
        <w:rPr>
          <w:rFonts w:ascii="Arial" w:hAnsi="Arial" w:cs="Arial"/>
          <w:sz w:val="20"/>
          <w:szCs w:val="20"/>
        </w:rPr>
      </w:pPr>
      <w:r w:rsidRPr="00B6647E">
        <w:rPr>
          <w:noProof/>
          <w:szCs w:val="20"/>
          <w:lang w:val="fr-FR" w:eastAsia="fr-FR"/>
        </w:rPr>
        <w:drawing>
          <wp:inline distT="0" distB="0" distL="0" distR="0">
            <wp:extent cx="5731510" cy="3235674"/>
            <wp:effectExtent l="19050" t="0" r="2540" b="0"/>
            <wp:docPr id="12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srcRect/>
                    <a:stretch>
                      <a:fillRect/>
                    </a:stretch>
                  </pic:blipFill>
                  <pic:spPr bwMode="auto">
                    <a:xfrm>
                      <a:off x="0" y="0"/>
                      <a:ext cx="5731510" cy="3235674"/>
                    </a:xfrm>
                    <a:prstGeom prst="rect">
                      <a:avLst/>
                    </a:prstGeom>
                    <a:noFill/>
                    <a:ln w="9525">
                      <a:noFill/>
                      <a:miter lim="800000"/>
                      <a:headEnd/>
                      <a:tailEnd/>
                    </a:ln>
                  </pic:spPr>
                </pic:pic>
              </a:graphicData>
            </a:graphic>
          </wp:inline>
        </w:drawing>
      </w:r>
    </w:p>
    <w:p w:rsidR="00B24DD8" w:rsidRPr="00B6647E" w:rsidRDefault="00B24DD8" w:rsidP="0021238D">
      <w:pPr>
        <w:pStyle w:val="Paragraphedeliste"/>
        <w:spacing w:before="200" w:line="240" w:lineRule="auto"/>
        <w:ind w:left="0"/>
        <w:contextualSpacing w:val="0"/>
        <w:jc w:val="both"/>
        <w:rPr>
          <w:rFonts w:ascii="Arial" w:hAnsi="Arial" w:cs="Arial"/>
          <w:sz w:val="20"/>
          <w:szCs w:val="20"/>
        </w:rPr>
      </w:pPr>
      <w:r w:rsidRPr="00B6647E">
        <w:rPr>
          <w:rFonts w:ascii="Arial" w:hAnsi="Arial" w:cs="Arial"/>
          <w:sz w:val="20"/>
          <w:szCs w:val="20"/>
        </w:rPr>
        <w:t xml:space="preserve">La production totale des cultures vivrières des trois saisons a été estimée à 1.413.143 tonnes équivalent céréale. Elle est composée de 686.077 tonnes </w:t>
      </w:r>
      <w:r w:rsidR="00553111" w:rsidRPr="00B6647E">
        <w:rPr>
          <w:rFonts w:ascii="Arial" w:hAnsi="Arial" w:cs="Arial"/>
          <w:sz w:val="20"/>
          <w:szCs w:val="20"/>
        </w:rPr>
        <w:t>équivalent</w:t>
      </w:r>
      <w:r w:rsidRPr="00B6647E">
        <w:rPr>
          <w:rFonts w:ascii="Arial" w:hAnsi="Arial" w:cs="Arial"/>
          <w:sz w:val="20"/>
          <w:szCs w:val="20"/>
        </w:rPr>
        <w:t xml:space="preserve"> céréale </w:t>
      </w:r>
      <w:r w:rsidR="00553111" w:rsidRPr="00B6647E">
        <w:rPr>
          <w:rFonts w:ascii="Arial" w:hAnsi="Arial" w:cs="Arial"/>
          <w:sz w:val="20"/>
          <w:szCs w:val="20"/>
        </w:rPr>
        <w:t xml:space="preserve">(ETC) </w:t>
      </w:r>
      <w:r w:rsidRPr="00B6647E">
        <w:rPr>
          <w:rFonts w:ascii="Arial" w:hAnsi="Arial" w:cs="Arial"/>
          <w:sz w:val="20"/>
          <w:szCs w:val="20"/>
        </w:rPr>
        <w:t>de tubercules correspondant à 48,5% de la production</w:t>
      </w:r>
      <w:r w:rsidR="00553111" w:rsidRPr="00B6647E">
        <w:rPr>
          <w:rFonts w:ascii="Arial" w:hAnsi="Arial" w:cs="Arial"/>
          <w:sz w:val="20"/>
          <w:szCs w:val="20"/>
        </w:rPr>
        <w:t xml:space="preserve"> totale</w:t>
      </w:r>
      <w:r w:rsidRPr="00B6647E">
        <w:rPr>
          <w:rFonts w:ascii="Arial" w:hAnsi="Arial" w:cs="Arial"/>
          <w:sz w:val="20"/>
          <w:szCs w:val="20"/>
        </w:rPr>
        <w:t xml:space="preserve">, de </w:t>
      </w:r>
      <w:r w:rsidR="00553111" w:rsidRPr="00B6647E">
        <w:rPr>
          <w:rFonts w:ascii="Arial" w:hAnsi="Arial" w:cs="Arial"/>
          <w:sz w:val="20"/>
          <w:szCs w:val="20"/>
        </w:rPr>
        <w:t>246.348 ETC (17,4%) de céréales, 244.848 ETC (17,3%) de légumineuses, 215.286 ETC (15,2%) de banane et de 20.583 ETC (1,5%) d’oléagineux.</w:t>
      </w:r>
    </w:p>
    <w:p w:rsidR="004362D9" w:rsidRPr="00B6647E" w:rsidRDefault="004362D9" w:rsidP="00553111">
      <w:pPr>
        <w:pStyle w:val="Paragraphedeliste"/>
        <w:tabs>
          <w:tab w:val="left" w:pos="3630"/>
        </w:tabs>
        <w:spacing w:after="0" w:line="240" w:lineRule="auto"/>
        <w:ind w:left="0"/>
        <w:rPr>
          <w:rFonts w:ascii="Arial" w:hAnsi="Arial" w:cs="Arial"/>
          <w:b/>
          <w:sz w:val="20"/>
          <w:szCs w:val="20"/>
        </w:rPr>
      </w:pPr>
      <w:r w:rsidRPr="00B6647E">
        <w:rPr>
          <w:rFonts w:ascii="Arial" w:hAnsi="Arial" w:cs="Arial"/>
          <w:b/>
          <w:sz w:val="20"/>
          <w:szCs w:val="20"/>
        </w:rPr>
        <w:t xml:space="preserve">Graphique </w:t>
      </w:r>
      <w:r w:rsidR="007F30DD">
        <w:rPr>
          <w:rFonts w:ascii="Arial" w:hAnsi="Arial" w:cs="Arial"/>
          <w:b/>
          <w:sz w:val="20"/>
          <w:szCs w:val="20"/>
        </w:rPr>
        <w:t>12</w:t>
      </w:r>
      <w:r w:rsidRPr="00B6647E">
        <w:rPr>
          <w:rFonts w:ascii="Arial" w:hAnsi="Arial" w:cs="Arial"/>
          <w:b/>
          <w:sz w:val="20"/>
          <w:szCs w:val="20"/>
        </w:rPr>
        <w:t> : Contribution de chaque saison à la production totale en ETC</w:t>
      </w:r>
    </w:p>
    <w:p w:rsidR="004362D9" w:rsidRPr="00B6647E" w:rsidRDefault="004362D9" w:rsidP="00553111">
      <w:pPr>
        <w:pStyle w:val="Paragraphedeliste"/>
        <w:tabs>
          <w:tab w:val="left" w:pos="3630"/>
        </w:tabs>
        <w:spacing w:after="0" w:line="240" w:lineRule="auto"/>
        <w:ind w:left="0"/>
        <w:rPr>
          <w:rFonts w:ascii="Arial" w:hAnsi="Arial" w:cs="Arial"/>
          <w:sz w:val="20"/>
          <w:szCs w:val="20"/>
        </w:rPr>
      </w:pPr>
    </w:p>
    <w:p w:rsidR="004815D2" w:rsidRPr="00B6647E" w:rsidRDefault="004362D9" w:rsidP="00553111">
      <w:pPr>
        <w:pStyle w:val="Paragraphedeliste"/>
        <w:tabs>
          <w:tab w:val="left" w:pos="3630"/>
        </w:tabs>
        <w:spacing w:after="0" w:line="240" w:lineRule="auto"/>
        <w:ind w:left="0"/>
        <w:rPr>
          <w:rFonts w:ascii="Arial" w:hAnsi="Arial" w:cs="Arial"/>
          <w:sz w:val="20"/>
          <w:szCs w:val="20"/>
        </w:rPr>
      </w:pPr>
      <w:r w:rsidRPr="00B6647E">
        <w:rPr>
          <w:noProof/>
          <w:szCs w:val="20"/>
          <w:lang w:val="fr-FR" w:eastAsia="fr-FR"/>
        </w:rPr>
        <w:drawing>
          <wp:inline distT="0" distB="0" distL="0" distR="0">
            <wp:extent cx="5762559" cy="3467100"/>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srcRect/>
                    <a:stretch>
                      <a:fillRect/>
                    </a:stretch>
                  </pic:blipFill>
                  <pic:spPr bwMode="auto">
                    <a:xfrm>
                      <a:off x="0" y="0"/>
                      <a:ext cx="5762559" cy="3467100"/>
                    </a:xfrm>
                    <a:prstGeom prst="rect">
                      <a:avLst/>
                    </a:prstGeom>
                    <a:noFill/>
                    <a:ln w="9525">
                      <a:noFill/>
                      <a:miter lim="800000"/>
                      <a:headEnd/>
                      <a:tailEnd/>
                    </a:ln>
                  </pic:spPr>
                </pic:pic>
              </a:graphicData>
            </a:graphic>
          </wp:inline>
        </w:drawing>
      </w:r>
    </w:p>
    <w:p w:rsidR="004362D9" w:rsidRPr="00B6647E" w:rsidRDefault="004362D9" w:rsidP="0021238D">
      <w:pPr>
        <w:pStyle w:val="Paragraphedeliste"/>
        <w:spacing w:before="200" w:line="240" w:lineRule="auto"/>
        <w:ind w:left="0"/>
        <w:contextualSpacing w:val="0"/>
        <w:jc w:val="both"/>
        <w:rPr>
          <w:rFonts w:ascii="Arial" w:hAnsi="Arial" w:cs="Arial"/>
          <w:sz w:val="20"/>
          <w:szCs w:val="20"/>
        </w:rPr>
      </w:pPr>
      <w:r w:rsidRPr="00B6647E">
        <w:rPr>
          <w:rFonts w:ascii="Arial" w:hAnsi="Arial" w:cs="Arial"/>
          <w:sz w:val="20"/>
          <w:szCs w:val="20"/>
        </w:rPr>
        <w:lastRenderedPageBreak/>
        <w:t>La contribution de la saison B dans cette production est estimée 741.884 ETC (52,5%). Celle de saison A évaluée à 335.147 ETC (23,7%) est pratiquement équivalente à celle de la saison C estimée à 336.112 ETC (23,8%).</w:t>
      </w:r>
    </w:p>
    <w:p w:rsidR="0006002C" w:rsidRPr="00B6647E" w:rsidRDefault="0006002C" w:rsidP="0006002C">
      <w:pPr>
        <w:pStyle w:val="Paragraphedeliste"/>
        <w:spacing w:after="0" w:line="240" w:lineRule="auto"/>
        <w:ind w:left="0"/>
        <w:jc w:val="both"/>
        <w:rPr>
          <w:rFonts w:ascii="Arial" w:eastAsia="Times New Roman" w:hAnsi="Arial" w:cs="Times New Roman"/>
          <w:b/>
          <w:sz w:val="20"/>
          <w:szCs w:val="20"/>
          <w:lang w:val="fr-FR" w:eastAsia="fr-FR"/>
        </w:rPr>
      </w:pPr>
      <w:r w:rsidRPr="00B6647E">
        <w:rPr>
          <w:rFonts w:ascii="Arial" w:eastAsia="Times New Roman" w:hAnsi="Arial" w:cs="Times New Roman"/>
          <w:b/>
          <w:sz w:val="20"/>
          <w:szCs w:val="20"/>
          <w:lang w:val="fr-FR" w:eastAsia="fr-FR"/>
        </w:rPr>
        <w:t xml:space="preserve">Tableaux </w:t>
      </w:r>
      <w:r w:rsidR="0048718F">
        <w:rPr>
          <w:rFonts w:ascii="Arial" w:eastAsia="Times New Roman" w:hAnsi="Arial" w:cs="Times New Roman"/>
          <w:b/>
          <w:sz w:val="20"/>
          <w:szCs w:val="20"/>
          <w:lang w:val="fr-FR" w:eastAsia="fr-FR"/>
        </w:rPr>
        <w:t>50</w:t>
      </w:r>
      <w:r w:rsidRPr="00B6647E">
        <w:rPr>
          <w:rFonts w:ascii="Arial" w:eastAsia="Times New Roman" w:hAnsi="Arial" w:cs="Times New Roman"/>
          <w:b/>
          <w:sz w:val="20"/>
          <w:szCs w:val="20"/>
          <w:lang w:val="fr-FR" w:eastAsia="fr-FR"/>
        </w:rPr>
        <w:t> : Production totale des cultures vivrières par groupe de cultures</w:t>
      </w:r>
    </w:p>
    <w:p w:rsidR="0006002C" w:rsidRPr="00B6647E" w:rsidRDefault="0006002C" w:rsidP="00E51ED6">
      <w:pPr>
        <w:pStyle w:val="Paragraphedeliste"/>
        <w:spacing w:after="0" w:line="240" w:lineRule="auto"/>
        <w:ind w:left="0"/>
        <w:rPr>
          <w:rFonts w:ascii="Arial" w:hAnsi="Arial" w:cs="Arial"/>
          <w:sz w:val="20"/>
          <w:szCs w:val="20"/>
          <w:lang w:val="fr-FR"/>
        </w:rPr>
      </w:pPr>
    </w:p>
    <w:p w:rsidR="0006002C" w:rsidRPr="00B6647E" w:rsidRDefault="00553111" w:rsidP="00E51ED6">
      <w:pPr>
        <w:pStyle w:val="Paragraphedeliste"/>
        <w:spacing w:after="0" w:line="240" w:lineRule="auto"/>
        <w:ind w:left="0"/>
        <w:rPr>
          <w:rFonts w:ascii="Arial" w:hAnsi="Arial" w:cs="Arial"/>
          <w:sz w:val="20"/>
          <w:szCs w:val="20"/>
        </w:rPr>
      </w:pPr>
      <w:r w:rsidRPr="00B6647E">
        <w:rPr>
          <w:noProof/>
          <w:szCs w:val="20"/>
          <w:lang w:val="fr-FR" w:eastAsia="fr-FR"/>
        </w:rPr>
        <w:drawing>
          <wp:inline distT="0" distB="0" distL="0" distR="0">
            <wp:extent cx="5505450" cy="3295650"/>
            <wp:effectExtent l="19050" t="0" r="0" b="0"/>
            <wp:docPr id="13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cstate="print"/>
                    <a:srcRect/>
                    <a:stretch>
                      <a:fillRect/>
                    </a:stretch>
                  </pic:blipFill>
                  <pic:spPr bwMode="auto">
                    <a:xfrm>
                      <a:off x="0" y="0"/>
                      <a:ext cx="5505450" cy="3295650"/>
                    </a:xfrm>
                    <a:prstGeom prst="rect">
                      <a:avLst/>
                    </a:prstGeom>
                    <a:noFill/>
                    <a:ln w="9525">
                      <a:noFill/>
                      <a:miter lim="800000"/>
                      <a:headEnd/>
                      <a:tailEnd/>
                    </a:ln>
                  </pic:spPr>
                </pic:pic>
              </a:graphicData>
            </a:graphic>
          </wp:inline>
        </w:drawing>
      </w:r>
    </w:p>
    <w:p w:rsidR="002E1E44" w:rsidRPr="00B6647E" w:rsidRDefault="002E1E44" w:rsidP="00E51ED6">
      <w:pPr>
        <w:pStyle w:val="Paragraphedeliste"/>
        <w:spacing w:after="0" w:line="240" w:lineRule="auto"/>
        <w:ind w:left="0"/>
        <w:rPr>
          <w:rFonts w:ascii="Arial" w:hAnsi="Arial" w:cs="Arial"/>
          <w:sz w:val="20"/>
          <w:szCs w:val="20"/>
        </w:rPr>
      </w:pPr>
    </w:p>
    <w:p w:rsidR="002E1E44" w:rsidRPr="00B6647E" w:rsidRDefault="002E1E44" w:rsidP="00E51ED6">
      <w:pPr>
        <w:pStyle w:val="Paragraphedeliste"/>
        <w:spacing w:after="0" w:line="240" w:lineRule="auto"/>
        <w:ind w:left="0"/>
        <w:rPr>
          <w:rFonts w:ascii="Arial" w:hAnsi="Arial" w:cs="Arial"/>
          <w:b/>
          <w:sz w:val="20"/>
          <w:szCs w:val="20"/>
        </w:rPr>
      </w:pPr>
      <w:r w:rsidRPr="00B6647E">
        <w:rPr>
          <w:rFonts w:ascii="Arial" w:hAnsi="Arial" w:cs="Arial"/>
          <w:b/>
          <w:sz w:val="20"/>
          <w:szCs w:val="20"/>
        </w:rPr>
        <w:t xml:space="preserve">Carte </w:t>
      </w:r>
      <w:r w:rsidR="00613D0F" w:rsidRPr="00B6647E">
        <w:rPr>
          <w:rFonts w:ascii="Arial" w:hAnsi="Arial" w:cs="Arial"/>
          <w:b/>
          <w:sz w:val="20"/>
          <w:szCs w:val="20"/>
        </w:rPr>
        <w:t>06</w:t>
      </w:r>
      <w:r w:rsidRPr="00B6647E">
        <w:rPr>
          <w:rFonts w:ascii="Arial" w:hAnsi="Arial" w:cs="Arial"/>
          <w:b/>
          <w:sz w:val="20"/>
          <w:szCs w:val="20"/>
        </w:rPr>
        <w:t> : Production moyenne en équivalent kg céréale par ménage et par province</w:t>
      </w:r>
    </w:p>
    <w:p w:rsidR="00112D22" w:rsidRPr="00B6647E" w:rsidRDefault="00112D22" w:rsidP="00E51ED6">
      <w:pPr>
        <w:pStyle w:val="Paragraphedeliste"/>
        <w:spacing w:after="0" w:line="240" w:lineRule="auto"/>
        <w:ind w:left="0"/>
        <w:rPr>
          <w:rFonts w:ascii="Arial" w:hAnsi="Arial" w:cs="Arial"/>
          <w:b/>
          <w:sz w:val="20"/>
          <w:szCs w:val="20"/>
        </w:rPr>
      </w:pPr>
    </w:p>
    <w:p w:rsidR="002E1E44" w:rsidRPr="00B6647E" w:rsidRDefault="00224255" w:rsidP="002F6802">
      <w:pPr>
        <w:pStyle w:val="Paragraphedeliste"/>
        <w:spacing w:after="0" w:line="240" w:lineRule="auto"/>
        <w:ind w:left="-1260"/>
        <w:jc w:val="center"/>
        <w:rPr>
          <w:rFonts w:ascii="Arial" w:hAnsi="Arial" w:cs="Arial"/>
          <w:sz w:val="20"/>
          <w:szCs w:val="20"/>
        </w:rPr>
      </w:pPr>
      <w:r>
        <w:rPr>
          <w:noProof/>
          <w:lang w:val="fr-FR" w:eastAsia="fr-FR"/>
        </w:rPr>
        <w:drawing>
          <wp:inline distT="0" distB="0" distL="0" distR="0">
            <wp:extent cx="5981700" cy="3981450"/>
            <wp:effectExtent l="19050" t="0" r="0" b="0"/>
            <wp:docPr id="31"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rcRect l="5318" t="5399" r="5274" b="5634"/>
                    <a:stretch>
                      <a:fillRect/>
                    </a:stretch>
                  </pic:blipFill>
                  <pic:spPr>
                    <a:xfrm>
                      <a:off x="0" y="0"/>
                      <a:ext cx="5981700" cy="3981450"/>
                    </a:xfrm>
                    <a:prstGeom prst="rect">
                      <a:avLst/>
                    </a:prstGeom>
                  </pic:spPr>
                </pic:pic>
              </a:graphicData>
            </a:graphic>
          </wp:inline>
        </w:drawing>
      </w:r>
    </w:p>
    <w:p w:rsidR="001A3AEF" w:rsidRPr="00B6647E" w:rsidRDefault="000552AE" w:rsidP="00AD2B33">
      <w:pPr>
        <w:pStyle w:val="Titre2"/>
        <w:keepNext w:val="0"/>
        <w:numPr>
          <w:ilvl w:val="1"/>
          <w:numId w:val="1"/>
        </w:numPr>
        <w:spacing w:before="240" w:after="200"/>
        <w:ind w:left="360"/>
        <w:rPr>
          <w:rFonts w:cs="Arial"/>
          <w:u w:val="dotDash"/>
        </w:rPr>
      </w:pPr>
      <w:bookmarkStart w:id="228" w:name="_Toc354313875"/>
      <w:r w:rsidRPr="00B6647E">
        <w:rPr>
          <w:rFonts w:cs="Arial"/>
          <w:u w:val="dotDash"/>
        </w:rPr>
        <w:lastRenderedPageBreak/>
        <w:t>Céréales</w:t>
      </w:r>
      <w:bookmarkEnd w:id="228"/>
      <w:r w:rsidRPr="00B6647E">
        <w:rPr>
          <w:rFonts w:cs="Arial"/>
          <w:u w:val="dotDash"/>
        </w:rPr>
        <w:t xml:space="preserve"> </w:t>
      </w:r>
    </w:p>
    <w:p w:rsidR="00F82D2E" w:rsidRPr="00B6647E" w:rsidRDefault="00334F75" w:rsidP="00AD2B33">
      <w:pPr>
        <w:pStyle w:val="Titre3"/>
        <w:keepNext w:val="0"/>
        <w:numPr>
          <w:ilvl w:val="2"/>
          <w:numId w:val="1"/>
        </w:numPr>
        <w:spacing w:before="200" w:after="120"/>
        <w:ind w:left="720"/>
        <w:rPr>
          <w:rFonts w:cs="Arial"/>
          <w:szCs w:val="20"/>
        </w:rPr>
      </w:pPr>
      <w:bookmarkStart w:id="229" w:name="_Toc354313876"/>
      <w:r w:rsidRPr="00B6647E">
        <w:rPr>
          <w:rFonts w:cs="Arial"/>
          <w:szCs w:val="20"/>
        </w:rPr>
        <w:t>Superficies</w:t>
      </w:r>
      <w:bookmarkEnd w:id="229"/>
    </w:p>
    <w:p w:rsidR="00704A4D" w:rsidRPr="00B6647E" w:rsidRDefault="0021238D" w:rsidP="00384BE7">
      <w:pPr>
        <w:pStyle w:val="Paragraphedeliste"/>
        <w:spacing w:after="120" w:line="240" w:lineRule="auto"/>
        <w:ind w:left="0"/>
        <w:contextualSpacing w:val="0"/>
        <w:jc w:val="both"/>
        <w:rPr>
          <w:rFonts w:ascii="Arial" w:hAnsi="Arial" w:cs="Arial"/>
          <w:sz w:val="20"/>
          <w:szCs w:val="20"/>
        </w:rPr>
      </w:pPr>
      <w:r w:rsidRPr="00B6647E">
        <w:rPr>
          <w:rFonts w:ascii="Arial" w:hAnsi="Arial" w:cs="Arial"/>
          <w:sz w:val="20"/>
          <w:szCs w:val="20"/>
        </w:rPr>
        <w:t xml:space="preserve">La superficie des parcelles des céréales (en pure et principale) au cours des trois saisons a été </w:t>
      </w:r>
      <w:r w:rsidR="006154F1" w:rsidRPr="00B6647E">
        <w:rPr>
          <w:rFonts w:ascii="Arial" w:hAnsi="Arial" w:cs="Arial"/>
          <w:sz w:val="20"/>
          <w:szCs w:val="20"/>
          <w:lang w:val="fr-FR"/>
        </w:rPr>
        <w:t>estim</w:t>
      </w:r>
      <w:r w:rsidRPr="00B6647E">
        <w:rPr>
          <w:rFonts w:ascii="Arial" w:hAnsi="Arial" w:cs="Arial"/>
          <w:sz w:val="20"/>
          <w:szCs w:val="20"/>
          <w:lang w:val="fr-FR"/>
        </w:rPr>
        <w:t>é</w:t>
      </w:r>
      <w:r w:rsidR="006154F1" w:rsidRPr="00B6647E">
        <w:rPr>
          <w:rFonts w:ascii="Arial" w:hAnsi="Arial" w:cs="Arial"/>
          <w:sz w:val="20"/>
          <w:szCs w:val="20"/>
          <w:lang w:val="fr-FR"/>
        </w:rPr>
        <w:t>e à</w:t>
      </w:r>
      <w:r w:rsidR="006154F1" w:rsidRPr="00B6647E">
        <w:rPr>
          <w:rFonts w:ascii="Arial" w:hAnsi="Arial" w:cs="Arial"/>
          <w:sz w:val="20"/>
          <w:szCs w:val="20"/>
        </w:rPr>
        <w:t xml:space="preserve"> 222.623 ha</w:t>
      </w:r>
      <w:r w:rsidR="00B71E0F" w:rsidRPr="00B6647E">
        <w:rPr>
          <w:rFonts w:ascii="Arial" w:hAnsi="Arial" w:cs="Arial"/>
          <w:sz w:val="20"/>
          <w:szCs w:val="20"/>
        </w:rPr>
        <w:t xml:space="preserve">. </w:t>
      </w:r>
      <w:r w:rsidRPr="00B6647E">
        <w:rPr>
          <w:rFonts w:ascii="Arial" w:hAnsi="Arial" w:cs="Arial"/>
          <w:sz w:val="20"/>
          <w:szCs w:val="20"/>
        </w:rPr>
        <w:t>R</w:t>
      </w:r>
      <w:r w:rsidR="00B71E0F" w:rsidRPr="00B6647E">
        <w:rPr>
          <w:rFonts w:ascii="Arial" w:hAnsi="Arial" w:cs="Arial"/>
          <w:sz w:val="20"/>
          <w:szCs w:val="20"/>
        </w:rPr>
        <w:t xml:space="preserve">elativement aux saisons B et C, </w:t>
      </w:r>
      <w:r w:rsidR="00704A4D" w:rsidRPr="00B6647E">
        <w:rPr>
          <w:rFonts w:ascii="Arial" w:hAnsi="Arial" w:cs="Arial"/>
          <w:sz w:val="20"/>
          <w:szCs w:val="20"/>
        </w:rPr>
        <w:t>la saison A se caractérise par l’importance des super</w:t>
      </w:r>
      <w:r w:rsidRPr="00B6647E">
        <w:rPr>
          <w:rFonts w:ascii="Arial" w:hAnsi="Arial" w:cs="Arial"/>
          <w:sz w:val="20"/>
          <w:szCs w:val="20"/>
        </w:rPr>
        <w:t>ficies des céréales (128.604 ha contre</w:t>
      </w:r>
      <w:r w:rsidR="00704A4D" w:rsidRPr="00B6647E">
        <w:rPr>
          <w:rFonts w:ascii="Arial" w:hAnsi="Arial" w:cs="Arial"/>
          <w:sz w:val="20"/>
          <w:szCs w:val="20"/>
        </w:rPr>
        <w:t xml:space="preserve"> 62.261 ha </w:t>
      </w:r>
      <w:r w:rsidRPr="00B6647E">
        <w:rPr>
          <w:rFonts w:ascii="Arial" w:hAnsi="Arial" w:cs="Arial"/>
          <w:sz w:val="20"/>
          <w:szCs w:val="20"/>
        </w:rPr>
        <w:t>en</w:t>
      </w:r>
      <w:r w:rsidR="00704A4D" w:rsidRPr="00B6647E">
        <w:rPr>
          <w:rFonts w:ascii="Arial" w:hAnsi="Arial" w:cs="Arial"/>
          <w:sz w:val="20"/>
          <w:szCs w:val="20"/>
        </w:rPr>
        <w:t xml:space="preserve"> saison B et 31.758 ha </w:t>
      </w:r>
      <w:r w:rsidRPr="00B6647E">
        <w:rPr>
          <w:rFonts w:ascii="Arial" w:hAnsi="Arial" w:cs="Arial"/>
          <w:sz w:val="20"/>
          <w:szCs w:val="20"/>
        </w:rPr>
        <w:t xml:space="preserve">en </w:t>
      </w:r>
      <w:r w:rsidR="00704A4D" w:rsidRPr="00B6647E">
        <w:rPr>
          <w:rFonts w:ascii="Arial" w:hAnsi="Arial" w:cs="Arial"/>
          <w:sz w:val="20"/>
          <w:szCs w:val="20"/>
        </w:rPr>
        <w:t>saison C).</w:t>
      </w:r>
    </w:p>
    <w:p w:rsidR="00BC3EA1" w:rsidRPr="00B6647E" w:rsidRDefault="00BC3EA1" w:rsidP="00384BE7">
      <w:pPr>
        <w:pStyle w:val="Paragraphedeliste"/>
        <w:spacing w:after="120" w:line="240" w:lineRule="auto"/>
        <w:ind w:left="0"/>
        <w:contextualSpacing w:val="0"/>
        <w:jc w:val="both"/>
        <w:rPr>
          <w:rFonts w:ascii="Arial" w:hAnsi="Arial" w:cs="Arial"/>
          <w:b/>
          <w:sz w:val="20"/>
          <w:szCs w:val="20"/>
        </w:rPr>
      </w:pPr>
      <w:r w:rsidRPr="00B6647E">
        <w:rPr>
          <w:rFonts w:ascii="Arial" w:hAnsi="Arial" w:cs="Arial"/>
          <w:b/>
          <w:sz w:val="20"/>
          <w:szCs w:val="20"/>
        </w:rPr>
        <w:t xml:space="preserve">Graphique </w:t>
      </w:r>
      <w:r w:rsidR="006F5A28" w:rsidRPr="00B6647E">
        <w:rPr>
          <w:rFonts w:ascii="Arial" w:hAnsi="Arial" w:cs="Arial"/>
          <w:b/>
          <w:sz w:val="20"/>
          <w:szCs w:val="20"/>
        </w:rPr>
        <w:t>1</w:t>
      </w:r>
      <w:r w:rsidR="007F30DD">
        <w:rPr>
          <w:rFonts w:ascii="Arial" w:hAnsi="Arial" w:cs="Arial"/>
          <w:b/>
          <w:sz w:val="20"/>
          <w:szCs w:val="20"/>
        </w:rPr>
        <w:t>3</w:t>
      </w:r>
      <w:r w:rsidRPr="00B6647E">
        <w:rPr>
          <w:rFonts w:ascii="Arial" w:hAnsi="Arial" w:cs="Arial"/>
          <w:b/>
          <w:sz w:val="20"/>
          <w:szCs w:val="20"/>
        </w:rPr>
        <w:t xml:space="preserve"> : Superficie </w:t>
      </w:r>
      <w:r w:rsidR="00664B20" w:rsidRPr="00B6647E">
        <w:rPr>
          <w:rFonts w:ascii="Arial" w:hAnsi="Arial" w:cs="Arial"/>
          <w:b/>
          <w:sz w:val="20"/>
          <w:szCs w:val="20"/>
        </w:rPr>
        <w:t xml:space="preserve">(en ha) </w:t>
      </w:r>
      <w:r w:rsidRPr="00B6647E">
        <w:rPr>
          <w:rFonts w:ascii="Arial" w:hAnsi="Arial" w:cs="Arial"/>
          <w:b/>
          <w:sz w:val="20"/>
          <w:szCs w:val="20"/>
        </w:rPr>
        <w:t xml:space="preserve">de céréales (en pure et principale) cultivée pendant la campagne agricole 2011-12 </w:t>
      </w:r>
      <w:r w:rsidR="00664B20" w:rsidRPr="00B6647E">
        <w:rPr>
          <w:rFonts w:ascii="Arial" w:hAnsi="Arial" w:cs="Arial"/>
          <w:b/>
          <w:sz w:val="20"/>
          <w:szCs w:val="20"/>
        </w:rPr>
        <w:t>par région naturelle</w:t>
      </w:r>
    </w:p>
    <w:p w:rsidR="00BC3EA1" w:rsidRPr="00B6647E" w:rsidRDefault="00664B20" w:rsidP="0021238D">
      <w:pPr>
        <w:pStyle w:val="Paragraphedeliste"/>
        <w:spacing w:after="0" w:line="240" w:lineRule="auto"/>
        <w:ind w:left="0"/>
        <w:contextualSpacing w:val="0"/>
        <w:rPr>
          <w:rFonts w:ascii="Arial" w:hAnsi="Arial" w:cs="Arial"/>
          <w:sz w:val="20"/>
          <w:szCs w:val="20"/>
        </w:rPr>
      </w:pPr>
      <w:r w:rsidRPr="00B6647E">
        <w:rPr>
          <w:noProof/>
          <w:szCs w:val="20"/>
          <w:lang w:val="fr-FR" w:eastAsia="fr-FR"/>
        </w:rPr>
        <w:drawing>
          <wp:inline distT="0" distB="0" distL="0" distR="0">
            <wp:extent cx="5398441" cy="3248025"/>
            <wp:effectExtent l="19050" t="0" r="0" b="0"/>
            <wp:docPr id="26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print"/>
                    <a:srcRect/>
                    <a:stretch>
                      <a:fillRect/>
                    </a:stretch>
                  </pic:blipFill>
                  <pic:spPr bwMode="auto">
                    <a:xfrm>
                      <a:off x="0" y="0"/>
                      <a:ext cx="5406330" cy="3252771"/>
                    </a:xfrm>
                    <a:prstGeom prst="rect">
                      <a:avLst/>
                    </a:prstGeom>
                    <a:noFill/>
                    <a:ln w="9525">
                      <a:noFill/>
                      <a:miter lim="800000"/>
                      <a:headEnd/>
                      <a:tailEnd/>
                    </a:ln>
                  </pic:spPr>
                </pic:pic>
              </a:graphicData>
            </a:graphic>
          </wp:inline>
        </w:drawing>
      </w:r>
    </w:p>
    <w:p w:rsidR="00D106DF" w:rsidRPr="00B6647E" w:rsidRDefault="00A712A8" w:rsidP="0021238D">
      <w:pPr>
        <w:pStyle w:val="Paragraphedeliste"/>
        <w:spacing w:before="120" w:after="120" w:line="240" w:lineRule="auto"/>
        <w:ind w:left="0"/>
        <w:contextualSpacing w:val="0"/>
        <w:rPr>
          <w:rFonts w:ascii="Arial" w:hAnsi="Arial" w:cs="Arial"/>
          <w:b/>
          <w:sz w:val="20"/>
          <w:szCs w:val="20"/>
        </w:rPr>
      </w:pPr>
      <w:r w:rsidRPr="00B6647E">
        <w:rPr>
          <w:rFonts w:ascii="Arial" w:hAnsi="Arial" w:cs="Arial"/>
          <w:b/>
          <w:sz w:val="20"/>
          <w:szCs w:val="20"/>
        </w:rPr>
        <w:t xml:space="preserve">a) </w:t>
      </w:r>
      <w:r w:rsidR="006C1355" w:rsidRPr="00B6647E">
        <w:rPr>
          <w:rFonts w:ascii="Arial" w:hAnsi="Arial" w:cs="Arial"/>
          <w:b/>
          <w:sz w:val="20"/>
          <w:szCs w:val="20"/>
        </w:rPr>
        <w:t>Superficies des céréales dans les régions naturelles</w:t>
      </w:r>
    </w:p>
    <w:p w:rsidR="00712987" w:rsidRPr="00B6647E" w:rsidRDefault="00E67DA9" w:rsidP="0021238D">
      <w:pPr>
        <w:pStyle w:val="Paragraphedeliste"/>
        <w:spacing w:after="80" w:line="240" w:lineRule="auto"/>
        <w:ind w:left="0"/>
        <w:contextualSpacing w:val="0"/>
        <w:jc w:val="both"/>
        <w:rPr>
          <w:rFonts w:ascii="Arial" w:hAnsi="Arial" w:cs="Arial"/>
          <w:sz w:val="20"/>
          <w:szCs w:val="20"/>
        </w:rPr>
      </w:pPr>
      <w:r w:rsidRPr="00B6647E">
        <w:rPr>
          <w:rFonts w:ascii="Arial" w:hAnsi="Arial" w:cs="Arial"/>
          <w:sz w:val="20"/>
          <w:szCs w:val="20"/>
        </w:rPr>
        <w:t>Buragane</w:t>
      </w:r>
      <w:r w:rsidR="00914694" w:rsidRPr="00B6647E">
        <w:rPr>
          <w:rFonts w:ascii="Arial" w:hAnsi="Arial" w:cs="Arial"/>
          <w:sz w:val="20"/>
          <w:szCs w:val="20"/>
        </w:rPr>
        <w:t xml:space="preserve"> (</w:t>
      </w:r>
      <w:r w:rsidRPr="00B6647E">
        <w:rPr>
          <w:rFonts w:ascii="Arial" w:hAnsi="Arial" w:cs="Arial"/>
          <w:sz w:val="20"/>
          <w:szCs w:val="20"/>
        </w:rPr>
        <w:t xml:space="preserve">5.816 ha), Bututsi (7.410 ha) et Mumirwa (4.485 ha) </w:t>
      </w:r>
      <w:r w:rsidR="00F26D43" w:rsidRPr="00B6647E">
        <w:rPr>
          <w:rFonts w:ascii="Arial" w:hAnsi="Arial" w:cs="Arial"/>
          <w:sz w:val="20"/>
          <w:szCs w:val="20"/>
        </w:rPr>
        <w:t>ont enregistré de petite</w:t>
      </w:r>
      <w:r w:rsidRPr="00B6647E">
        <w:rPr>
          <w:rFonts w:ascii="Arial" w:hAnsi="Arial" w:cs="Arial"/>
          <w:sz w:val="20"/>
          <w:szCs w:val="20"/>
        </w:rPr>
        <w:t>s</w:t>
      </w:r>
      <w:r w:rsidR="00F26D43" w:rsidRPr="00B6647E">
        <w:rPr>
          <w:rFonts w:ascii="Arial" w:hAnsi="Arial" w:cs="Arial"/>
          <w:sz w:val="20"/>
          <w:szCs w:val="20"/>
        </w:rPr>
        <w:t xml:space="preserve"> superficie</w:t>
      </w:r>
      <w:r w:rsidRPr="00B6647E">
        <w:rPr>
          <w:rFonts w:ascii="Arial" w:hAnsi="Arial" w:cs="Arial"/>
          <w:sz w:val="20"/>
          <w:szCs w:val="20"/>
        </w:rPr>
        <w:t>s</w:t>
      </w:r>
      <w:r w:rsidR="00F26D43" w:rsidRPr="00B6647E">
        <w:rPr>
          <w:rFonts w:ascii="Arial" w:hAnsi="Arial" w:cs="Arial"/>
          <w:sz w:val="20"/>
          <w:szCs w:val="20"/>
        </w:rPr>
        <w:t xml:space="preserve"> en céréales par </w:t>
      </w:r>
      <w:r w:rsidRPr="00B6647E">
        <w:rPr>
          <w:rFonts w:ascii="Arial" w:hAnsi="Arial" w:cs="Arial"/>
          <w:sz w:val="20"/>
          <w:szCs w:val="20"/>
        </w:rPr>
        <w:t>rapport</w:t>
      </w:r>
      <w:r w:rsidR="00F26D43" w:rsidRPr="00B6647E">
        <w:rPr>
          <w:rFonts w:ascii="Arial" w:hAnsi="Arial" w:cs="Arial"/>
          <w:sz w:val="20"/>
          <w:szCs w:val="20"/>
        </w:rPr>
        <w:t xml:space="preserve"> </w:t>
      </w:r>
      <w:r w:rsidRPr="00B6647E">
        <w:rPr>
          <w:rFonts w:ascii="Arial" w:hAnsi="Arial" w:cs="Arial"/>
          <w:sz w:val="20"/>
          <w:szCs w:val="20"/>
        </w:rPr>
        <w:t>aux huit autres régions</w:t>
      </w:r>
      <w:r w:rsidR="00F26D43" w:rsidRPr="00B6647E">
        <w:rPr>
          <w:rFonts w:ascii="Arial" w:hAnsi="Arial" w:cs="Arial"/>
          <w:sz w:val="20"/>
          <w:szCs w:val="20"/>
        </w:rPr>
        <w:t xml:space="preserve"> </w:t>
      </w:r>
      <w:r w:rsidR="00712987" w:rsidRPr="00B6647E">
        <w:rPr>
          <w:rFonts w:ascii="Arial" w:hAnsi="Arial" w:cs="Arial"/>
          <w:sz w:val="20"/>
          <w:szCs w:val="20"/>
        </w:rPr>
        <w:t>qui ont cultivé</w:t>
      </w:r>
      <w:r w:rsidR="00F26D43" w:rsidRPr="00B6647E">
        <w:rPr>
          <w:rFonts w:ascii="Arial" w:hAnsi="Arial" w:cs="Arial"/>
          <w:sz w:val="20"/>
          <w:szCs w:val="20"/>
        </w:rPr>
        <w:t xml:space="preserve"> </w:t>
      </w:r>
      <w:r w:rsidRPr="00B6647E">
        <w:rPr>
          <w:rFonts w:ascii="Arial" w:hAnsi="Arial" w:cs="Arial"/>
          <w:sz w:val="20"/>
          <w:szCs w:val="20"/>
        </w:rPr>
        <w:t>plus de 19.000 ha chacune</w:t>
      </w:r>
      <w:r w:rsidR="00914694" w:rsidRPr="00B6647E">
        <w:rPr>
          <w:rFonts w:ascii="Arial" w:hAnsi="Arial" w:cs="Arial"/>
          <w:sz w:val="20"/>
          <w:szCs w:val="20"/>
        </w:rPr>
        <w:t xml:space="preserve">. </w:t>
      </w:r>
    </w:p>
    <w:p w:rsidR="00D106DF" w:rsidRPr="00B6647E" w:rsidRDefault="00D106DF" w:rsidP="0021238D">
      <w:pPr>
        <w:pStyle w:val="Lgende"/>
        <w:keepNext/>
        <w:jc w:val="both"/>
        <w:rPr>
          <w:rFonts w:ascii="Arial" w:hAnsi="Arial" w:cs="Arial"/>
        </w:rPr>
      </w:pPr>
      <w:r w:rsidRPr="00B6647E">
        <w:rPr>
          <w:rFonts w:ascii="Arial" w:hAnsi="Arial" w:cs="Arial"/>
        </w:rPr>
        <w:t xml:space="preserve">Tableau </w:t>
      </w:r>
      <w:r w:rsidR="0048718F">
        <w:rPr>
          <w:rFonts w:ascii="Arial" w:hAnsi="Arial" w:cs="Arial"/>
        </w:rPr>
        <w:t>51</w:t>
      </w:r>
      <w:r w:rsidRPr="00B6647E">
        <w:rPr>
          <w:rFonts w:ascii="Arial" w:hAnsi="Arial" w:cs="Arial"/>
        </w:rPr>
        <w:t>: Superficie totale cultivée des céréales</w:t>
      </w:r>
      <w:r w:rsidRPr="00B6647E">
        <w:rPr>
          <w:rStyle w:val="Appelnotedebasdep"/>
          <w:rFonts w:ascii="Arial" w:hAnsi="Arial" w:cs="Arial"/>
        </w:rPr>
        <w:footnoteReference w:id="34"/>
      </w:r>
      <w:r w:rsidRPr="00B6647E">
        <w:rPr>
          <w:rFonts w:ascii="Arial" w:hAnsi="Arial" w:cs="Arial"/>
        </w:rPr>
        <w:t xml:space="preserve"> par région pendant les trois saisons</w:t>
      </w:r>
    </w:p>
    <w:p w:rsidR="00D106DF" w:rsidRPr="00B6647E" w:rsidRDefault="002E298B" w:rsidP="0021238D">
      <w:pPr>
        <w:pStyle w:val="Paragraphedeliste"/>
        <w:keepNext/>
        <w:spacing w:after="0" w:line="240" w:lineRule="auto"/>
        <w:ind w:left="0"/>
        <w:contextualSpacing w:val="0"/>
        <w:rPr>
          <w:rFonts w:ascii="Arial" w:hAnsi="Arial" w:cs="Arial"/>
          <w:sz w:val="16"/>
          <w:szCs w:val="16"/>
        </w:rPr>
      </w:pPr>
      <w:r w:rsidRPr="00B6647E">
        <w:rPr>
          <w:noProof/>
          <w:szCs w:val="16"/>
          <w:lang w:val="fr-FR" w:eastAsia="fr-FR"/>
        </w:rPr>
        <w:drawing>
          <wp:inline distT="0" distB="0" distL="0" distR="0">
            <wp:extent cx="4314825" cy="2779656"/>
            <wp:effectExtent l="19050" t="0" r="9525" b="0"/>
            <wp:docPr id="4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srcRect/>
                    <a:stretch>
                      <a:fillRect/>
                    </a:stretch>
                  </pic:blipFill>
                  <pic:spPr bwMode="auto">
                    <a:xfrm>
                      <a:off x="0" y="0"/>
                      <a:ext cx="4314825" cy="2779656"/>
                    </a:xfrm>
                    <a:prstGeom prst="rect">
                      <a:avLst/>
                    </a:prstGeom>
                    <a:noFill/>
                    <a:ln w="9525">
                      <a:noFill/>
                      <a:miter lim="800000"/>
                      <a:headEnd/>
                      <a:tailEnd/>
                    </a:ln>
                  </pic:spPr>
                </pic:pic>
              </a:graphicData>
            </a:graphic>
          </wp:inline>
        </w:drawing>
      </w:r>
    </w:p>
    <w:p w:rsidR="0021238D" w:rsidRPr="00B6647E" w:rsidRDefault="0021238D" w:rsidP="0021238D">
      <w:pPr>
        <w:pStyle w:val="Paragraphedeliste"/>
        <w:spacing w:after="120" w:line="240" w:lineRule="auto"/>
        <w:ind w:left="0"/>
        <w:contextualSpacing w:val="0"/>
        <w:jc w:val="both"/>
        <w:rPr>
          <w:rFonts w:ascii="Arial" w:hAnsi="Arial" w:cs="Arial"/>
          <w:sz w:val="20"/>
          <w:szCs w:val="20"/>
        </w:rPr>
      </w:pPr>
      <w:r w:rsidRPr="00B6647E">
        <w:rPr>
          <w:rFonts w:ascii="Arial" w:hAnsi="Arial" w:cs="Arial"/>
          <w:sz w:val="20"/>
          <w:szCs w:val="20"/>
        </w:rPr>
        <w:t>Kirimiro a la superficie de céréales de loin la plus importante (en 47.000 ha, soit 21,1% de la superficie totale de céréales de la campagne agricole 2011-2012).</w:t>
      </w:r>
    </w:p>
    <w:p w:rsidR="00604D51" w:rsidRPr="00B6647E" w:rsidRDefault="0015672C" w:rsidP="00384BE7">
      <w:pPr>
        <w:pStyle w:val="Paragraphedeliste"/>
        <w:spacing w:after="120" w:line="240" w:lineRule="auto"/>
        <w:ind w:left="0"/>
        <w:contextualSpacing w:val="0"/>
        <w:jc w:val="both"/>
        <w:rPr>
          <w:rFonts w:ascii="Arial" w:hAnsi="Arial" w:cs="Arial"/>
          <w:sz w:val="20"/>
          <w:szCs w:val="20"/>
        </w:rPr>
      </w:pPr>
      <w:r w:rsidRPr="00B6647E">
        <w:rPr>
          <w:rFonts w:ascii="Arial" w:hAnsi="Arial" w:cs="Arial"/>
          <w:sz w:val="20"/>
          <w:szCs w:val="20"/>
        </w:rPr>
        <w:lastRenderedPageBreak/>
        <w:t>Au cours de la campagne agricole 2011-2012</w:t>
      </w:r>
      <w:r w:rsidR="009F157A" w:rsidRPr="00B6647E">
        <w:rPr>
          <w:rFonts w:ascii="Arial" w:hAnsi="Arial" w:cs="Arial"/>
          <w:sz w:val="20"/>
          <w:szCs w:val="20"/>
        </w:rPr>
        <w:t>,</w:t>
      </w:r>
      <w:r w:rsidRPr="00B6647E">
        <w:rPr>
          <w:rFonts w:ascii="Arial" w:hAnsi="Arial" w:cs="Arial"/>
          <w:sz w:val="20"/>
          <w:szCs w:val="20"/>
        </w:rPr>
        <w:t xml:space="preserve"> </w:t>
      </w:r>
      <w:r w:rsidR="009F157A" w:rsidRPr="00B6647E">
        <w:rPr>
          <w:rFonts w:ascii="Arial" w:hAnsi="Arial" w:cs="Arial"/>
          <w:sz w:val="20"/>
          <w:szCs w:val="20"/>
        </w:rPr>
        <w:t>l</w:t>
      </w:r>
      <w:r w:rsidR="00F26D43" w:rsidRPr="00B6647E">
        <w:rPr>
          <w:rFonts w:ascii="Arial" w:hAnsi="Arial" w:cs="Arial"/>
          <w:sz w:val="20"/>
          <w:szCs w:val="20"/>
        </w:rPr>
        <w:t xml:space="preserve">a superficie occupée par le maïs </w:t>
      </w:r>
      <w:r w:rsidR="009F157A" w:rsidRPr="00B6647E">
        <w:rPr>
          <w:rFonts w:ascii="Arial" w:hAnsi="Arial" w:cs="Arial"/>
          <w:sz w:val="20"/>
          <w:szCs w:val="20"/>
        </w:rPr>
        <w:t xml:space="preserve">(119.478 ha,) </w:t>
      </w:r>
      <w:r w:rsidR="00F26D43" w:rsidRPr="00B6647E">
        <w:rPr>
          <w:rFonts w:ascii="Arial" w:hAnsi="Arial" w:cs="Arial"/>
          <w:sz w:val="20"/>
          <w:szCs w:val="20"/>
        </w:rPr>
        <w:t xml:space="preserve">représente </w:t>
      </w:r>
      <w:r w:rsidR="009F157A" w:rsidRPr="00B6647E">
        <w:rPr>
          <w:rFonts w:ascii="Arial" w:hAnsi="Arial" w:cs="Arial"/>
          <w:sz w:val="20"/>
          <w:szCs w:val="20"/>
        </w:rPr>
        <w:t xml:space="preserve">plus de la moitié (53,7%) de la superficie totale de céréales. </w:t>
      </w:r>
      <w:r w:rsidR="002618FF" w:rsidRPr="00B6647E">
        <w:rPr>
          <w:rFonts w:ascii="Arial" w:hAnsi="Arial" w:cs="Arial"/>
          <w:sz w:val="20"/>
          <w:szCs w:val="20"/>
        </w:rPr>
        <w:t xml:space="preserve">Cette proportion est </w:t>
      </w:r>
      <w:r w:rsidR="00B71E0F" w:rsidRPr="00B6647E">
        <w:rPr>
          <w:rFonts w:ascii="Arial" w:hAnsi="Arial" w:cs="Arial"/>
          <w:sz w:val="20"/>
          <w:szCs w:val="20"/>
        </w:rPr>
        <w:t xml:space="preserve">76,6% </w:t>
      </w:r>
      <w:r w:rsidR="00F26D43" w:rsidRPr="00B6647E">
        <w:rPr>
          <w:rFonts w:ascii="Arial" w:hAnsi="Arial" w:cs="Arial"/>
          <w:sz w:val="20"/>
          <w:szCs w:val="20"/>
        </w:rPr>
        <w:t>au cours de la saison A (98.462 ha)</w:t>
      </w:r>
      <w:r w:rsidR="002618FF" w:rsidRPr="00B6647E">
        <w:rPr>
          <w:rFonts w:ascii="Arial" w:hAnsi="Arial" w:cs="Arial"/>
          <w:sz w:val="20"/>
          <w:szCs w:val="20"/>
        </w:rPr>
        <w:t>,</w:t>
      </w:r>
      <w:r w:rsidR="00F26D43" w:rsidRPr="00B6647E">
        <w:rPr>
          <w:rFonts w:ascii="Arial" w:hAnsi="Arial" w:cs="Arial"/>
          <w:sz w:val="20"/>
          <w:szCs w:val="20"/>
        </w:rPr>
        <w:t xml:space="preserve"> de 19,6% pendant la saison B (12.171 ha) et de 27% en saison C</w:t>
      </w:r>
      <w:r w:rsidR="00B71E0F" w:rsidRPr="00B6647E">
        <w:rPr>
          <w:rFonts w:ascii="Arial" w:hAnsi="Arial" w:cs="Arial"/>
          <w:sz w:val="20"/>
          <w:szCs w:val="20"/>
        </w:rPr>
        <w:t xml:space="preserve"> </w:t>
      </w:r>
      <w:r w:rsidR="00F26D43" w:rsidRPr="00B6647E">
        <w:rPr>
          <w:rFonts w:ascii="Arial" w:hAnsi="Arial" w:cs="Arial"/>
          <w:sz w:val="20"/>
          <w:szCs w:val="20"/>
        </w:rPr>
        <w:t>(8.843 ha)</w:t>
      </w:r>
      <w:r w:rsidR="00604D51" w:rsidRPr="00B6647E">
        <w:rPr>
          <w:rFonts w:ascii="Arial" w:hAnsi="Arial" w:cs="Arial"/>
          <w:sz w:val="20"/>
          <w:szCs w:val="20"/>
        </w:rPr>
        <w:t>.</w:t>
      </w:r>
      <w:r w:rsidR="00FD4B20" w:rsidRPr="00B6647E">
        <w:rPr>
          <w:rFonts w:ascii="Arial" w:hAnsi="Arial" w:cs="Arial"/>
          <w:sz w:val="20"/>
          <w:szCs w:val="20"/>
        </w:rPr>
        <w:t xml:space="preserve"> </w:t>
      </w:r>
      <w:r w:rsidR="00604D51" w:rsidRPr="00B6647E">
        <w:rPr>
          <w:rFonts w:ascii="Arial" w:hAnsi="Arial" w:cs="Arial"/>
          <w:sz w:val="20"/>
          <w:szCs w:val="20"/>
        </w:rPr>
        <w:t>La superficie de maïs (30.12 ha) de la région naturelle de Kirimiro est nettement supérieure aux autres régions. Viennent ensuite dans l’ordre au moins 9.000 ha, celles de Mugamba (14.409 ha), Imbo (11.586 ha), Bweru (11.508 ha), Buyenzi (</w:t>
      </w:r>
      <w:r w:rsidR="0048508D" w:rsidRPr="00B6647E">
        <w:rPr>
          <w:rFonts w:ascii="Arial" w:hAnsi="Arial" w:cs="Arial"/>
          <w:sz w:val="20"/>
          <w:szCs w:val="20"/>
        </w:rPr>
        <w:t xml:space="preserve">9.577 ha) </w:t>
      </w:r>
      <w:r w:rsidR="00604D51" w:rsidRPr="00B6647E">
        <w:rPr>
          <w:rFonts w:ascii="Arial" w:hAnsi="Arial" w:cs="Arial"/>
          <w:sz w:val="20"/>
          <w:szCs w:val="20"/>
        </w:rPr>
        <w:t>et Buyogoma</w:t>
      </w:r>
      <w:r w:rsidR="0048508D" w:rsidRPr="00B6647E">
        <w:rPr>
          <w:rFonts w:ascii="Arial" w:hAnsi="Arial" w:cs="Arial"/>
          <w:sz w:val="20"/>
          <w:szCs w:val="20"/>
        </w:rPr>
        <w:t xml:space="preserve"> (9.000 ha)</w:t>
      </w:r>
      <w:r w:rsidR="00604D51" w:rsidRPr="00B6647E">
        <w:rPr>
          <w:rFonts w:ascii="Arial" w:hAnsi="Arial" w:cs="Arial"/>
          <w:sz w:val="20"/>
          <w:szCs w:val="20"/>
        </w:rPr>
        <w:t xml:space="preserve">. </w:t>
      </w:r>
      <w:r w:rsidR="0048508D" w:rsidRPr="00B6647E">
        <w:rPr>
          <w:rFonts w:ascii="Arial" w:hAnsi="Arial" w:cs="Arial"/>
          <w:sz w:val="20"/>
          <w:szCs w:val="20"/>
        </w:rPr>
        <w:t>Buragane, Mumirwa et Moso ont cultivé chacune moins de 5.000 ha de maïs sur l’ensemble des trois saisons de la campagne agricole 2011-2012</w:t>
      </w:r>
    </w:p>
    <w:p w:rsidR="00D106DF" w:rsidRPr="00B6647E" w:rsidRDefault="00D106DF" w:rsidP="00CA3139">
      <w:pPr>
        <w:pStyle w:val="Lgende"/>
        <w:keepNext/>
        <w:jc w:val="both"/>
        <w:rPr>
          <w:rFonts w:ascii="Arial" w:hAnsi="Arial" w:cs="Arial"/>
        </w:rPr>
      </w:pPr>
      <w:r w:rsidRPr="00B6647E">
        <w:rPr>
          <w:rFonts w:ascii="Arial" w:hAnsi="Arial" w:cs="Arial"/>
        </w:rPr>
        <w:t xml:space="preserve">Tableau </w:t>
      </w:r>
      <w:r w:rsidR="0048718F">
        <w:rPr>
          <w:rFonts w:ascii="Arial" w:hAnsi="Arial" w:cs="Arial"/>
        </w:rPr>
        <w:t>52</w:t>
      </w:r>
      <w:r w:rsidRPr="00B6647E">
        <w:rPr>
          <w:rFonts w:ascii="Arial" w:hAnsi="Arial" w:cs="Arial"/>
        </w:rPr>
        <w:t>: Superficie totale cultivée de maïs par région pendant les trois saisons</w:t>
      </w:r>
    </w:p>
    <w:p w:rsidR="00D106DF" w:rsidRPr="00B6647E" w:rsidRDefault="002E298B" w:rsidP="00CA3139">
      <w:pPr>
        <w:pStyle w:val="Paragraphedeliste"/>
        <w:spacing w:after="0" w:line="240" w:lineRule="auto"/>
        <w:ind w:left="0"/>
        <w:contextualSpacing w:val="0"/>
        <w:rPr>
          <w:rFonts w:ascii="Arial" w:hAnsi="Arial" w:cs="Arial"/>
          <w:sz w:val="20"/>
          <w:szCs w:val="20"/>
        </w:rPr>
      </w:pPr>
      <w:r w:rsidRPr="00B6647E">
        <w:rPr>
          <w:noProof/>
          <w:szCs w:val="20"/>
          <w:lang w:val="fr-FR" w:eastAsia="fr-FR"/>
        </w:rPr>
        <w:drawing>
          <wp:inline distT="0" distB="0" distL="0" distR="0">
            <wp:extent cx="4524375" cy="2914650"/>
            <wp:effectExtent l="19050" t="0" r="9525" b="0"/>
            <wp:docPr id="5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srcRect/>
                    <a:stretch>
                      <a:fillRect/>
                    </a:stretch>
                  </pic:blipFill>
                  <pic:spPr bwMode="auto">
                    <a:xfrm>
                      <a:off x="0" y="0"/>
                      <a:ext cx="4524375" cy="2914650"/>
                    </a:xfrm>
                    <a:prstGeom prst="rect">
                      <a:avLst/>
                    </a:prstGeom>
                    <a:noFill/>
                    <a:ln w="9525">
                      <a:noFill/>
                      <a:miter lim="800000"/>
                      <a:headEnd/>
                      <a:tailEnd/>
                    </a:ln>
                  </pic:spPr>
                </pic:pic>
              </a:graphicData>
            </a:graphic>
          </wp:inline>
        </w:drawing>
      </w:r>
    </w:p>
    <w:p w:rsidR="0048508D" w:rsidRPr="00B6647E" w:rsidRDefault="00DB7BFC" w:rsidP="00384BE7">
      <w:pPr>
        <w:pStyle w:val="Paragraphedeliste"/>
        <w:spacing w:after="120" w:line="240" w:lineRule="auto"/>
        <w:ind w:left="0"/>
        <w:contextualSpacing w:val="0"/>
        <w:rPr>
          <w:rFonts w:ascii="Arial" w:hAnsi="Arial" w:cs="Arial"/>
          <w:sz w:val="20"/>
          <w:szCs w:val="20"/>
        </w:rPr>
      </w:pPr>
      <w:r w:rsidRPr="00B6647E">
        <w:rPr>
          <w:rFonts w:ascii="Arial" w:hAnsi="Arial" w:cs="Arial"/>
          <w:sz w:val="20"/>
          <w:szCs w:val="20"/>
        </w:rPr>
        <w:t>Après le maïs, le sorgho vient en deuxième position de superficie cultivée avec 53.523 ha sur toute la campagne agricole (12.807 ha en saison A, 25.660 ha pendant la saison B et 15.056 ha en saison C). Contrairement au maïs, la superficie de sorgho au cours de la saison B est pratiquement le double de celle enregistrée pendant la saison A.</w:t>
      </w:r>
    </w:p>
    <w:p w:rsidR="00D106DF" w:rsidRPr="00B6647E" w:rsidRDefault="00D106DF" w:rsidP="00CA3139">
      <w:pPr>
        <w:pStyle w:val="Lgende"/>
        <w:keepNext/>
        <w:jc w:val="both"/>
        <w:rPr>
          <w:rFonts w:ascii="Arial" w:hAnsi="Arial" w:cs="Arial"/>
        </w:rPr>
      </w:pPr>
      <w:r w:rsidRPr="00B6647E">
        <w:rPr>
          <w:rFonts w:ascii="Arial" w:hAnsi="Arial" w:cs="Arial"/>
        </w:rPr>
        <w:t xml:space="preserve">Tableau </w:t>
      </w:r>
      <w:r w:rsidR="0048718F">
        <w:rPr>
          <w:rFonts w:ascii="Arial" w:hAnsi="Arial" w:cs="Arial"/>
        </w:rPr>
        <w:t>53</w:t>
      </w:r>
      <w:r w:rsidRPr="00B6647E">
        <w:rPr>
          <w:rFonts w:ascii="Arial" w:hAnsi="Arial" w:cs="Arial"/>
        </w:rPr>
        <w:t>: Superficie totale cultivée de sorgo par région pendant les trois saisons</w:t>
      </w:r>
    </w:p>
    <w:p w:rsidR="00D106DF" w:rsidRPr="00B6647E" w:rsidRDefault="002E298B" w:rsidP="00CA3139">
      <w:pPr>
        <w:spacing w:after="0" w:line="240" w:lineRule="auto"/>
        <w:rPr>
          <w:lang w:eastAsia="fr-FR"/>
        </w:rPr>
      </w:pPr>
      <w:r w:rsidRPr="00B6647E">
        <w:rPr>
          <w:noProof/>
          <w:lang w:val="fr-FR" w:eastAsia="fr-FR"/>
        </w:rPr>
        <w:drawing>
          <wp:inline distT="0" distB="0" distL="0" distR="0">
            <wp:extent cx="4524375" cy="2914650"/>
            <wp:effectExtent l="19050" t="0" r="9525" b="0"/>
            <wp:docPr id="5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srcRect/>
                    <a:stretch>
                      <a:fillRect/>
                    </a:stretch>
                  </pic:blipFill>
                  <pic:spPr bwMode="auto">
                    <a:xfrm>
                      <a:off x="0" y="0"/>
                      <a:ext cx="4524375" cy="2914650"/>
                    </a:xfrm>
                    <a:prstGeom prst="rect">
                      <a:avLst/>
                    </a:prstGeom>
                    <a:noFill/>
                    <a:ln w="9525">
                      <a:noFill/>
                      <a:miter lim="800000"/>
                      <a:headEnd/>
                      <a:tailEnd/>
                    </a:ln>
                  </pic:spPr>
                </pic:pic>
              </a:graphicData>
            </a:graphic>
          </wp:inline>
        </w:drawing>
      </w:r>
    </w:p>
    <w:p w:rsidR="00D106DF" w:rsidRPr="00B6647E" w:rsidRDefault="009722A0" w:rsidP="00FD4B20">
      <w:pPr>
        <w:pStyle w:val="Paragraphedeliste"/>
        <w:spacing w:after="120" w:line="240" w:lineRule="auto"/>
        <w:ind w:left="0"/>
        <w:contextualSpacing w:val="0"/>
        <w:jc w:val="both"/>
        <w:rPr>
          <w:rFonts w:ascii="Arial" w:hAnsi="Arial" w:cs="Arial"/>
          <w:sz w:val="20"/>
          <w:szCs w:val="20"/>
          <w:lang w:eastAsia="fr-FR"/>
        </w:rPr>
      </w:pPr>
      <w:r w:rsidRPr="00B6647E">
        <w:rPr>
          <w:rFonts w:ascii="Arial" w:hAnsi="Arial" w:cs="Arial"/>
          <w:sz w:val="20"/>
          <w:szCs w:val="20"/>
        </w:rPr>
        <w:t>Au niveau des régions naturelles, Bugesera (18.310 ha), Kirimiro (14.796 ha) et dans une moindre mesure Buyogoma (8.047 ha) et Bweru (5.361 ha) enregistrent les superficies de sorgho les plus importante</w:t>
      </w:r>
      <w:r w:rsidR="00523799">
        <w:rPr>
          <w:rFonts w:ascii="Arial" w:hAnsi="Arial" w:cs="Arial"/>
          <w:sz w:val="20"/>
          <w:szCs w:val="20"/>
        </w:rPr>
        <w:t>s</w:t>
      </w:r>
      <w:r w:rsidRPr="00B6647E">
        <w:rPr>
          <w:rFonts w:ascii="Arial" w:hAnsi="Arial" w:cs="Arial"/>
          <w:sz w:val="20"/>
          <w:szCs w:val="20"/>
        </w:rPr>
        <w:t xml:space="preserve"> </w:t>
      </w:r>
      <w:r w:rsidR="00DB7BFC" w:rsidRPr="00B6647E">
        <w:rPr>
          <w:rFonts w:ascii="Arial" w:hAnsi="Arial" w:cs="Arial"/>
          <w:sz w:val="20"/>
          <w:szCs w:val="20"/>
          <w:lang w:eastAsia="fr-FR"/>
        </w:rPr>
        <w:t xml:space="preserve">Les superficies de sorgho en culture pure et principale </w:t>
      </w:r>
      <w:r w:rsidR="00F7620F" w:rsidRPr="00B6647E">
        <w:rPr>
          <w:rFonts w:ascii="Arial" w:hAnsi="Arial" w:cs="Arial"/>
          <w:sz w:val="20"/>
          <w:szCs w:val="20"/>
          <w:lang w:eastAsia="fr-FR"/>
        </w:rPr>
        <w:t>n</w:t>
      </w:r>
      <w:r w:rsidR="00DB7BFC" w:rsidRPr="00B6647E">
        <w:rPr>
          <w:rFonts w:ascii="Arial" w:hAnsi="Arial" w:cs="Arial"/>
          <w:sz w:val="20"/>
          <w:szCs w:val="20"/>
          <w:lang w:eastAsia="fr-FR"/>
        </w:rPr>
        <w:t xml:space="preserve">’ont pratiquement </w:t>
      </w:r>
      <w:r w:rsidR="00F7620F" w:rsidRPr="00B6647E">
        <w:rPr>
          <w:rFonts w:ascii="Arial" w:hAnsi="Arial" w:cs="Arial"/>
          <w:sz w:val="20"/>
          <w:szCs w:val="20"/>
          <w:lang w:eastAsia="fr-FR"/>
        </w:rPr>
        <w:t>pas été enregistrées dans la</w:t>
      </w:r>
      <w:r w:rsidR="00DB7BFC" w:rsidRPr="00B6647E">
        <w:rPr>
          <w:rFonts w:ascii="Arial" w:hAnsi="Arial" w:cs="Arial"/>
          <w:sz w:val="20"/>
          <w:szCs w:val="20"/>
          <w:lang w:eastAsia="fr-FR"/>
        </w:rPr>
        <w:t xml:space="preserve"> région </w:t>
      </w:r>
      <w:r w:rsidR="00F7620F" w:rsidRPr="00B6647E">
        <w:rPr>
          <w:rFonts w:ascii="Arial" w:hAnsi="Arial" w:cs="Arial"/>
          <w:sz w:val="20"/>
          <w:szCs w:val="20"/>
          <w:lang w:eastAsia="fr-FR"/>
        </w:rPr>
        <w:t>naturelle</w:t>
      </w:r>
      <w:r w:rsidR="00DB7BFC" w:rsidRPr="00B6647E">
        <w:rPr>
          <w:rFonts w:ascii="Arial" w:hAnsi="Arial" w:cs="Arial"/>
          <w:sz w:val="20"/>
          <w:szCs w:val="20"/>
          <w:lang w:eastAsia="fr-FR"/>
        </w:rPr>
        <w:t xml:space="preserve"> de Bututsi. Elles </w:t>
      </w:r>
      <w:r w:rsidR="00F7620F" w:rsidRPr="00B6647E">
        <w:rPr>
          <w:rFonts w:ascii="Arial" w:hAnsi="Arial" w:cs="Arial"/>
          <w:sz w:val="20"/>
          <w:szCs w:val="20"/>
          <w:lang w:eastAsia="fr-FR"/>
        </w:rPr>
        <w:t>ont été</w:t>
      </w:r>
      <w:r w:rsidR="00DB7BFC" w:rsidRPr="00B6647E">
        <w:rPr>
          <w:rFonts w:ascii="Arial" w:hAnsi="Arial" w:cs="Arial"/>
          <w:sz w:val="20"/>
          <w:szCs w:val="20"/>
          <w:lang w:eastAsia="fr-FR"/>
        </w:rPr>
        <w:t xml:space="preserve"> pratiquement négligeables dans </w:t>
      </w:r>
      <w:r w:rsidR="00F7620F" w:rsidRPr="00B6647E">
        <w:rPr>
          <w:rFonts w:ascii="Arial" w:hAnsi="Arial" w:cs="Arial"/>
          <w:sz w:val="20"/>
          <w:szCs w:val="20"/>
          <w:lang w:eastAsia="fr-FR"/>
        </w:rPr>
        <w:t xml:space="preserve">celles de </w:t>
      </w:r>
      <w:r w:rsidR="00DB7BFC" w:rsidRPr="00B6647E">
        <w:rPr>
          <w:rFonts w:ascii="Arial" w:hAnsi="Arial" w:cs="Arial"/>
          <w:sz w:val="20"/>
          <w:szCs w:val="20"/>
          <w:lang w:eastAsia="fr-FR"/>
        </w:rPr>
        <w:t>Mugamba et Mumirwa.</w:t>
      </w:r>
    </w:p>
    <w:p w:rsidR="007F7E23" w:rsidRPr="00B6647E" w:rsidRDefault="007F7E23" w:rsidP="00384BE7">
      <w:pPr>
        <w:spacing w:after="120" w:line="240" w:lineRule="auto"/>
        <w:jc w:val="both"/>
        <w:rPr>
          <w:rFonts w:ascii="Arial" w:hAnsi="Arial" w:cs="Arial"/>
          <w:sz w:val="20"/>
          <w:szCs w:val="20"/>
          <w:lang w:eastAsia="fr-FR"/>
        </w:rPr>
      </w:pPr>
      <w:r w:rsidRPr="00B6647E">
        <w:rPr>
          <w:rFonts w:ascii="Arial" w:hAnsi="Arial" w:cs="Arial"/>
          <w:sz w:val="20"/>
          <w:szCs w:val="20"/>
          <w:lang w:eastAsia="fr-FR"/>
        </w:rPr>
        <w:lastRenderedPageBreak/>
        <w:t>La superficie de riz</w:t>
      </w:r>
      <w:r w:rsidRPr="00B6647E">
        <w:rPr>
          <w:rStyle w:val="Appelnotedebasdep"/>
          <w:rFonts w:ascii="Arial" w:hAnsi="Arial" w:cs="Arial"/>
          <w:sz w:val="20"/>
          <w:szCs w:val="20"/>
          <w:lang w:eastAsia="fr-FR"/>
        </w:rPr>
        <w:footnoteReference w:id="35"/>
      </w:r>
      <w:r w:rsidRPr="00B6647E">
        <w:rPr>
          <w:rFonts w:ascii="Arial" w:hAnsi="Arial" w:cs="Arial"/>
          <w:sz w:val="20"/>
          <w:szCs w:val="20"/>
          <w:lang w:eastAsia="fr-FR"/>
        </w:rPr>
        <w:t xml:space="preserve"> en troisième position après le maïs et le sorgho est d’environ 30.711 ha sur toute la campagne agricole. Les superficies les plus grandes ont été estimées dans les régions de Buyenzi (8.734 ha), de l’Imbo (7.902 ha) et de Moso (5.201 ha). Bututsi et Mugamba enregistrent des superficies pratiquement insignifiantes.</w:t>
      </w:r>
    </w:p>
    <w:p w:rsidR="00D106DF" w:rsidRPr="00B6647E" w:rsidRDefault="00D106DF" w:rsidP="00384BE7">
      <w:pPr>
        <w:pStyle w:val="Lgende"/>
        <w:keepNext/>
        <w:spacing w:after="120"/>
        <w:jc w:val="both"/>
        <w:rPr>
          <w:rFonts w:ascii="Arial" w:hAnsi="Arial" w:cs="Arial"/>
        </w:rPr>
      </w:pPr>
      <w:r w:rsidRPr="00B6647E">
        <w:rPr>
          <w:rFonts w:ascii="Arial" w:hAnsi="Arial" w:cs="Arial"/>
        </w:rPr>
        <w:t xml:space="preserve">Tableau </w:t>
      </w:r>
      <w:r w:rsidR="0048718F">
        <w:rPr>
          <w:rFonts w:ascii="Arial" w:hAnsi="Arial" w:cs="Arial"/>
        </w:rPr>
        <w:t>54</w:t>
      </w:r>
      <w:r w:rsidRPr="00B6647E">
        <w:rPr>
          <w:rFonts w:ascii="Arial" w:hAnsi="Arial" w:cs="Arial"/>
        </w:rPr>
        <w:t>: Superficie totale cultivée de riz par région pendant les trois saisons</w:t>
      </w:r>
    </w:p>
    <w:p w:rsidR="00D106DF" w:rsidRPr="00B6647E" w:rsidRDefault="002E298B" w:rsidP="00FD4B20">
      <w:pPr>
        <w:spacing w:after="0" w:line="240" w:lineRule="auto"/>
        <w:rPr>
          <w:lang w:eastAsia="fr-FR"/>
        </w:rPr>
      </w:pPr>
      <w:r w:rsidRPr="00B6647E">
        <w:rPr>
          <w:noProof/>
          <w:lang w:val="fr-FR" w:eastAsia="fr-FR"/>
        </w:rPr>
        <w:drawing>
          <wp:inline distT="0" distB="0" distL="0" distR="0">
            <wp:extent cx="4524375" cy="2914650"/>
            <wp:effectExtent l="19050" t="0" r="9525" b="0"/>
            <wp:docPr id="6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srcRect/>
                    <a:stretch>
                      <a:fillRect/>
                    </a:stretch>
                  </pic:blipFill>
                  <pic:spPr bwMode="auto">
                    <a:xfrm>
                      <a:off x="0" y="0"/>
                      <a:ext cx="4524375" cy="2914650"/>
                    </a:xfrm>
                    <a:prstGeom prst="rect">
                      <a:avLst/>
                    </a:prstGeom>
                    <a:noFill/>
                    <a:ln w="9525">
                      <a:noFill/>
                      <a:miter lim="800000"/>
                      <a:headEnd/>
                      <a:tailEnd/>
                    </a:ln>
                  </pic:spPr>
                </pic:pic>
              </a:graphicData>
            </a:graphic>
          </wp:inline>
        </w:drawing>
      </w:r>
    </w:p>
    <w:p w:rsidR="007F7E23" w:rsidRPr="00B6647E" w:rsidRDefault="009E440F" w:rsidP="00384BE7">
      <w:pPr>
        <w:spacing w:after="120" w:line="240" w:lineRule="auto"/>
        <w:jc w:val="both"/>
        <w:rPr>
          <w:rFonts w:ascii="Arial" w:hAnsi="Arial" w:cs="Arial"/>
          <w:sz w:val="20"/>
          <w:szCs w:val="20"/>
          <w:lang w:eastAsia="fr-FR"/>
        </w:rPr>
      </w:pPr>
      <w:r w:rsidRPr="00B6647E">
        <w:rPr>
          <w:rFonts w:ascii="Arial" w:hAnsi="Arial" w:cs="Arial"/>
          <w:sz w:val="20"/>
          <w:szCs w:val="20"/>
          <w:lang w:eastAsia="fr-FR"/>
        </w:rPr>
        <w:t>Moins de 10.000 ha d’éleusine en culture pure et principale ont été estimés cumulativement sur les trois saisons.</w:t>
      </w:r>
    </w:p>
    <w:p w:rsidR="00D106DF" w:rsidRPr="00B6647E" w:rsidRDefault="00D106DF" w:rsidP="00384BE7">
      <w:pPr>
        <w:pStyle w:val="Lgende"/>
        <w:keepNext/>
        <w:spacing w:after="120"/>
        <w:jc w:val="both"/>
        <w:rPr>
          <w:rFonts w:ascii="Arial" w:hAnsi="Arial" w:cs="Arial"/>
        </w:rPr>
      </w:pPr>
      <w:r w:rsidRPr="00B6647E">
        <w:rPr>
          <w:rFonts w:ascii="Arial" w:hAnsi="Arial" w:cs="Arial"/>
        </w:rPr>
        <w:t xml:space="preserve">Tableau </w:t>
      </w:r>
      <w:r w:rsidR="0048718F">
        <w:rPr>
          <w:rFonts w:ascii="Arial" w:hAnsi="Arial" w:cs="Arial"/>
        </w:rPr>
        <w:t>55</w:t>
      </w:r>
      <w:r w:rsidRPr="00B6647E">
        <w:rPr>
          <w:rFonts w:ascii="Arial" w:hAnsi="Arial" w:cs="Arial"/>
        </w:rPr>
        <w:t>: Superficie totale cultivée d’éleusine par région pendant les trois saisons</w:t>
      </w:r>
    </w:p>
    <w:p w:rsidR="00D106DF" w:rsidRPr="00B6647E" w:rsidRDefault="002E298B" w:rsidP="00384BE7">
      <w:pPr>
        <w:spacing w:after="120" w:line="240" w:lineRule="auto"/>
        <w:rPr>
          <w:lang w:eastAsia="fr-FR"/>
        </w:rPr>
      </w:pPr>
      <w:r w:rsidRPr="00B6647E">
        <w:rPr>
          <w:noProof/>
          <w:lang w:val="fr-FR" w:eastAsia="fr-FR"/>
        </w:rPr>
        <w:drawing>
          <wp:inline distT="0" distB="0" distL="0" distR="0">
            <wp:extent cx="4524375" cy="2914650"/>
            <wp:effectExtent l="19050" t="0" r="9525" b="0"/>
            <wp:docPr id="6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srcRect/>
                    <a:stretch>
                      <a:fillRect/>
                    </a:stretch>
                  </pic:blipFill>
                  <pic:spPr bwMode="auto">
                    <a:xfrm>
                      <a:off x="0" y="0"/>
                      <a:ext cx="4524375" cy="2914650"/>
                    </a:xfrm>
                    <a:prstGeom prst="rect">
                      <a:avLst/>
                    </a:prstGeom>
                    <a:noFill/>
                    <a:ln w="9525">
                      <a:noFill/>
                      <a:miter lim="800000"/>
                      <a:headEnd/>
                      <a:tailEnd/>
                    </a:ln>
                  </pic:spPr>
                </pic:pic>
              </a:graphicData>
            </a:graphic>
          </wp:inline>
        </w:drawing>
      </w:r>
    </w:p>
    <w:p w:rsidR="009722A0" w:rsidRPr="00B6647E" w:rsidRDefault="009722A0" w:rsidP="009722A0">
      <w:pPr>
        <w:spacing w:after="120" w:line="240" w:lineRule="auto"/>
        <w:jc w:val="both"/>
        <w:rPr>
          <w:rFonts w:ascii="Arial" w:hAnsi="Arial" w:cs="Arial"/>
          <w:sz w:val="20"/>
          <w:szCs w:val="20"/>
          <w:lang w:eastAsia="fr-FR"/>
        </w:rPr>
      </w:pPr>
      <w:r w:rsidRPr="00B6647E">
        <w:rPr>
          <w:rFonts w:ascii="Arial" w:hAnsi="Arial" w:cs="Arial"/>
          <w:sz w:val="20"/>
          <w:szCs w:val="20"/>
          <w:lang w:eastAsia="fr-FR"/>
        </w:rPr>
        <w:t>Principalement au cours des saisons A et B et dans les régions naturelles de Kirimiro (2.332 ha), Moso (1.694 ha), Bweru (1.665 ha), 1.578 ha) et Buyenzi (1.466 ha).</w:t>
      </w:r>
    </w:p>
    <w:p w:rsidR="00CA3139" w:rsidRPr="00B6647E" w:rsidRDefault="00CA3139" w:rsidP="00CA3139">
      <w:pPr>
        <w:spacing w:after="120" w:line="240" w:lineRule="auto"/>
        <w:jc w:val="both"/>
        <w:rPr>
          <w:rFonts w:ascii="Arial" w:hAnsi="Arial" w:cs="Arial"/>
          <w:sz w:val="20"/>
          <w:szCs w:val="20"/>
          <w:lang w:eastAsia="fr-FR"/>
        </w:rPr>
      </w:pPr>
      <w:r w:rsidRPr="00B6647E">
        <w:rPr>
          <w:rFonts w:ascii="Arial" w:hAnsi="Arial" w:cs="Arial"/>
          <w:sz w:val="20"/>
          <w:szCs w:val="20"/>
          <w:lang w:eastAsia="fr-FR"/>
        </w:rPr>
        <w:t xml:space="preserve">Le blé est cultivé en culture pure et principale essentiellement </w:t>
      </w:r>
      <w:r w:rsidR="00523799">
        <w:rPr>
          <w:rFonts w:ascii="Arial" w:hAnsi="Arial" w:cs="Arial"/>
          <w:sz w:val="20"/>
          <w:szCs w:val="20"/>
          <w:lang w:eastAsia="fr-FR"/>
        </w:rPr>
        <w:t xml:space="preserve">au </w:t>
      </w:r>
      <w:r w:rsidRPr="00B6647E">
        <w:rPr>
          <w:rFonts w:ascii="Arial" w:hAnsi="Arial" w:cs="Arial"/>
          <w:sz w:val="20"/>
          <w:szCs w:val="20"/>
          <w:lang w:eastAsia="fr-FR"/>
        </w:rPr>
        <w:t>cours des saisons B (4.823 ha) et C (3.465 ha). Plus de la moitié de cette superficie (51,1%) des trois saisons a été enregistrée dans la seule région naturelle de Mugamba.</w:t>
      </w:r>
    </w:p>
    <w:p w:rsidR="00CA3139" w:rsidRPr="00B6647E" w:rsidRDefault="00CA3139" w:rsidP="009722A0">
      <w:pPr>
        <w:spacing w:after="120" w:line="240" w:lineRule="auto"/>
        <w:jc w:val="both"/>
        <w:rPr>
          <w:rFonts w:ascii="Arial" w:hAnsi="Arial" w:cs="Arial"/>
          <w:sz w:val="20"/>
          <w:szCs w:val="20"/>
          <w:lang w:eastAsia="fr-FR"/>
        </w:rPr>
      </w:pPr>
    </w:p>
    <w:p w:rsidR="00D106DF" w:rsidRPr="00B6647E" w:rsidRDefault="00D106DF" w:rsidP="00FD4B20">
      <w:pPr>
        <w:pStyle w:val="Lgende"/>
        <w:keepNext/>
        <w:jc w:val="both"/>
        <w:rPr>
          <w:rFonts w:ascii="Arial" w:hAnsi="Arial" w:cs="Arial"/>
        </w:rPr>
      </w:pPr>
      <w:r w:rsidRPr="00B6647E">
        <w:rPr>
          <w:rFonts w:ascii="Arial" w:hAnsi="Arial" w:cs="Arial"/>
        </w:rPr>
        <w:lastRenderedPageBreak/>
        <w:t xml:space="preserve">Tableau </w:t>
      </w:r>
      <w:r w:rsidR="0048718F">
        <w:rPr>
          <w:rFonts w:ascii="Arial" w:hAnsi="Arial" w:cs="Arial"/>
        </w:rPr>
        <w:t>56</w:t>
      </w:r>
      <w:r w:rsidRPr="00B6647E">
        <w:rPr>
          <w:rFonts w:ascii="Arial" w:hAnsi="Arial" w:cs="Arial"/>
        </w:rPr>
        <w:t>: Superficie totale cultivée de blé par région pendant les trois saisons</w:t>
      </w:r>
    </w:p>
    <w:p w:rsidR="00D106DF" w:rsidRPr="00B6647E" w:rsidRDefault="008206E9" w:rsidP="00FD4B20">
      <w:pPr>
        <w:spacing w:after="0" w:line="240" w:lineRule="auto"/>
        <w:rPr>
          <w:lang w:eastAsia="fr-FR"/>
        </w:rPr>
      </w:pPr>
      <w:r w:rsidRPr="00B6647E">
        <w:rPr>
          <w:noProof/>
          <w:lang w:val="fr-FR" w:eastAsia="fr-FR"/>
        </w:rPr>
        <w:drawing>
          <wp:inline distT="0" distB="0" distL="0" distR="0">
            <wp:extent cx="4373769" cy="2817628"/>
            <wp:effectExtent l="19050" t="0" r="7731" b="0"/>
            <wp:docPr id="7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cstate="print"/>
                    <a:srcRect/>
                    <a:stretch>
                      <a:fillRect/>
                    </a:stretch>
                  </pic:blipFill>
                  <pic:spPr bwMode="auto">
                    <a:xfrm>
                      <a:off x="0" y="0"/>
                      <a:ext cx="4375911" cy="2819008"/>
                    </a:xfrm>
                    <a:prstGeom prst="rect">
                      <a:avLst/>
                    </a:prstGeom>
                    <a:noFill/>
                    <a:ln w="9525">
                      <a:noFill/>
                      <a:miter lim="800000"/>
                      <a:headEnd/>
                      <a:tailEnd/>
                    </a:ln>
                  </pic:spPr>
                </pic:pic>
              </a:graphicData>
            </a:graphic>
          </wp:inline>
        </w:drawing>
      </w:r>
    </w:p>
    <w:p w:rsidR="00AC5E9A" w:rsidRPr="00B6647E" w:rsidRDefault="00A712A8" w:rsidP="00FD4B20">
      <w:pPr>
        <w:pStyle w:val="Paragraphedeliste"/>
        <w:spacing w:after="120" w:line="240" w:lineRule="auto"/>
        <w:ind w:left="0"/>
        <w:contextualSpacing w:val="0"/>
        <w:rPr>
          <w:rFonts w:ascii="Arial" w:hAnsi="Arial" w:cs="Arial"/>
          <w:b/>
          <w:sz w:val="20"/>
          <w:szCs w:val="20"/>
        </w:rPr>
      </w:pPr>
      <w:r w:rsidRPr="00B6647E">
        <w:rPr>
          <w:rFonts w:ascii="Arial" w:hAnsi="Arial" w:cs="Arial"/>
          <w:b/>
          <w:sz w:val="20"/>
          <w:szCs w:val="20"/>
        </w:rPr>
        <w:t xml:space="preserve">b) </w:t>
      </w:r>
      <w:r w:rsidR="006C1355" w:rsidRPr="00B6647E">
        <w:rPr>
          <w:rFonts w:ascii="Arial" w:hAnsi="Arial" w:cs="Arial"/>
          <w:b/>
          <w:sz w:val="20"/>
          <w:szCs w:val="20"/>
        </w:rPr>
        <w:t>Superficies des céréales dans les p</w:t>
      </w:r>
      <w:r w:rsidR="00D106DF" w:rsidRPr="00B6647E">
        <w:rPr>
          <w:rFonts w:ascii="Arial" w:hAnsi="Arial" w:cs="Arial"/>
          <w:b/>
          <w:sz w:val="20"/>
          <w:szCs w:val="20"/>
        </w:rPr>
        <w:t>rovinces</w:t>
      </w:r>
    </w:p>
    <w:p w:rsidR="00560375" w:rsidRPr="00B6647E" w:rsidRDefault="00560375" w:rsidP="00FD4B20">
      <w:pPr>
        <w:pStyle w:val="Lgende"/>
        <w:keepNext/>
        <w:jc w:val="both"/>
        <w:rPr>
          <w:rFonts w:ascii="Arial" w:hAnsi="Arial" w:cs="Arial"/>
        </w:rPr>
      </w:pPr>
      <w:r w:rsidRPr="00B6647E">
        <w:rPr>
          <w:rFonts w:ascii="Arial" w:hAnsi="Arial" w:cs="Arial"/>
        </w:rPr>
        <w:t xml:space="preserve">Tableau </w:t>
      </w:r>
      <w:r w:rsidR="0048718F">
        <w:rPr>
          <w:rFonts w:ascii="Arial" w:hAnsi="Arial" w:cs="Arial"/>
        </w:rPr>
        <w:t>57</w:t>
      </w:r>
      <w:r w:rsidR="00A62BC2" w:rsidRPr="00B6647E">
        <w:rPr>
          <w:rFonts w:ascii="Arial" w:hAnsi="Arial" w:cs="Arial"/>
        </w:rPr>
        <w:t>: Superficie totale cultivée des</w:t>
      </w:r>
      <w:r w:rsidRPr="00B6647E">
        <w:rPr>
          <w:rFonts w:ascii="Arial" w:hAnsi="Arial" w:cs="Arial"/>
        </w:rPr>
        <w:t xml:space="preserve"> céréales</w:t>
      </w:r>
      <w:r w:rsidRPr="00B6647E">
        <w:rPr>
          <w:rStyle w:val="Appelnotedebasdep"/>
          <w:rFonts w:ascii="Arial" w:hAnsi="Arial" w:cs="Arial"/>
        </w:rPr>
        <w:footnoteReference w:id="36"/>
      </w:r>
      <w:r w:rsidRPr="00B6647E">
        <w:rPr>
          <w:rFonts w:ascii="Arial" w:hAnsi="Arial" w:cs="Arial"/>
        </w:rPr>
        <w:t xml:space="preserve"> par </w:t>
      </w:r>
      <w:r w:rsidR="00EC0C77" w:rsidRPr="00B6647E">
        <w:rPr>
          <w:rFonts w:ascii="Arial" w:hAnsi="Arial" w:cs="Arial"/>
        </w:rPr>
        <w:t>province</w:t>
      </w:r>
      <w:r w:rsidRPr="00B6647E">
        <w:rPr>
          <w:rFonts w:ascii="Arial" w:hAnsi="Arial" w:cs="Arial"/>
        </w:rPr>
        <w:t xml:space="preserve"> pendant l</w:t>
      </w:r>
      <w:r w:rsidR="00EC0C77" w:rsidRPr="00B6647E">
        <w:rPr>
          <w:rFonts w:ascii="Arial" w:hAnsi="Arial" w:cs="Arial"/>
        </w:rPr>
        <w:t>es trois s</w:t>
      </w:r>
      <w:r w:rsidRPr="00B6647E">
        <w:rPr>
          <w:rFonts w:ascii="Arial" w:hAnsi="Arial" w:cs="Arial"/>
        </w:rPr>
        <w:t>aison</w:t>
      </w:r>
      <w:r w:rsidR="00EC0C77" w:rsidRPr="00B6647E">
        <w:rPr>
          <w:rFonts w:ascii="Arial" w:hAnsi="Arial" w:cs="Arial"/>
        </w:rPr>
        <w:t>s</w:t>
      </w:r>
    </w:p>
    <w:p w:rsidR="007D2434" w:rsidRPr="00B6647E" w:rsidRDefault="00976C9D" w:rsidP="00FD4B20">
      <w:pPr>
        <w:spacing w:after="0" w:line="240" w:lineRule="auto"/>
        <w:jc w:val="both"/>
        <w:rPr>
          <w:rFonts w:ascii="Arial" w:hAnsi="Arial" w:cs="Arial"/>
          <w:sz w:val="20"/>
          <w:szCs w:val="20"/>
        </w:rPr>
      </w:pPr>
      <w:r w:rsidRPr="00B6647E">
        <w:rPr>
          <w:noProof/>
          <w:szCs w:val="20"/>
          <w:lang w:val="fr-FR" w:eastAsia="fr-FR"/>
        </w:rPr>
        <w:drawing>
          <wp:inline distT="0" distB="0" distL="0" distR="0">
            <wp:extent cx="4375209" cy="3739653"/>
            <wp:effectExtent l="19050" t="0" r="6291" b="0"/>
            <wp:docPr id="7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cstate="print"/>
                    <a:srcRect/>
                    <a:stretch>
                      <a:fillRect/>
                    </a:stretch>
                  </pic:blipFill>
                  <pic:spPr bwMode="auto">
                    <a:xfrm>
                      <a:off x="0" y="0"/>
                      <a:ext cx="4377352" cy="3741485"/>
                    </a:xfrm>
                    <a:prstGeom prst="rect">
                      <a:avLst/>
                    </a:prstGeom>
                    <a:noFill/>
                    <a:ln w="9525">
                      <a:noFill/>
                      <a:miter lim="800000"/>
                      <a:headEnd/>
                      <a:tailEnd/>
                    </a:ln>
                  </pic:spPr>
                </pic:pic>
              </a:graphicData>
            </a:graphic>
          </wp:inline>
        </w:drawing>
      </w:r>
    </w:p>
    <w:p w:rsidR="009722A0" w:rsidRPr="00B6647E" w:rsidRDefault="009722A0" w:rsidP="00FD4B20">
      <w:pPr>
        <w:spacing w:after="120" w:line="240" w:lineRule="auto"/>
        <w:jc w:val="both"/>
        <w:rPr>
          <w:rFonts w:ascii="Arial" w:hAnsi="Arial" w:cs="Arial"/>
          <w:sz w:val="20"/>
          <w:szCs w:val="20"/>
        </w:rPr>
      </w:pPr>
      <w:r w:rsidRPr="00B6647E">
        <w:rPr>
          <w:rFonts w:ascii="Arial" w:eastAsia="Times New Roman" w:hAnsi="Arial" w:cs="Arial"/>
          <w:bCs/>
          <w:sz w:val="20"/>
          <w:szCs w:val="20"/>
          <w:lang w:val="fr-FR" w:eastAsia="fr-FR"/>
        </w:rPr>
        <w:t xml:space="preserve">Les provinces de Kirundo (26.973 ha), Karuzi 23.601 ha) et Gitega (21.246 ha) ont enregistré chacune plus de 20.000 ha de céréales sur toute la campagne agricole 2011-2012. A l’opposé, les provinces de Bujumbura rural (9.786 ha), Cibitoke (4.330 ha), Makamba (8.164 ha) et Ngozi (6.303 ha) ont cultivé moins de 10.000 ha. </w:t>
      </w:r>
      <w:r w:rsidR="00200BE5" w:rsidRPr="00B6647E">
        <w:rPr>
          <w:rFonts w:ascii="Arial" w:hAnsi="Arial" w:cs="Arial"/>
          <w:sz w:val="20"/>
          <w:szCs w:val="20"/>
        </w:rPr>
        <w:t>Les superficies les plus élevées de maïs et supérieures à 10.000 ha ont été enregistrées dans les provinces de Gitega (18.882 ha), Bururi (11.199 ha), Karuzi (11.084 ha) et Muyinga (10.933 ha).</w:t>
      </w:r>
      <w:r w:rsidRPr="00B6647E">
        <w:rPr>
          <w:rFonts w:ascii="Arial" w:hAnsi="Arial" w:cs="Arial"/>
          <w:sz w:val="20"/>
          <w:szCs w:val="20"/>
        </w:rPr>
        <w:t xml:space="preserve"> A contrario, cinq provinces ont cultivé moins de 5.000 ha de maïs. Il s’agit de : Bujumbura rural (4.302 ha), Cankuzo (4.985 ha), Cibitoke (2.593 ha), Ngozi (3.118 ha) et Rutana (4.261 ha).</w:t>
      </w:r>
    </w:p>
    <w:p w:rsidR="007D2434" w:rsidRPr="00B6647E" w:rsidRDefault="007D2434" w:rsidP="00690693">
      <w:pPr>
        <w:pStyle w:val="Lgende"/>
        <w:keepNext/>
        <w:jc w:val="both"/>
        <w:rPr>
          <w:rFonts w:ascii="Arial" w:hAnsi="Arial" w:cs="Arial"/>
        </w:rPr>
      </w:pPr>
      <w:r w:rsidRPr="00B6647E">
        <w:rPr>
          <w:rFonts w:ascii="Arial" w:hAnsi="Arial" w:cs="Arial"/>
        </w:rPr>
        <w:lastRenderedPageBreak/>
        <w:t xml:space="preserve">Tableau </w:t>
      </w:r>
      <w:r w:rsidR="0048718F">
        <w:rPr>
          <w:rFonts w:ascii="Arial" w:hAnsi="Arial" w:cs="Arial"/>
        </w:rPr>
        <w:t>58</w:t>
      </w:r>
      <w:r w:rsidRPr="00B6647E">
        <w:rPr>
          <w:rFonts w:ascii="Arial" w:hAnsi="Arial" w:cs="Arial"/>
        </w:rPr>
        <w:t>: Superficie totale cultivée de maïs par province pendant les trois saisons</w:t>
      </w:r>
    </w:p>
    <w:p w:rsidR="009722A0" w:rsidRPr="00B6647E" w:rsidRDefault="00976C9D" w:rsidP="00690693">
      <w:pPr>
        <w:spacing w:after="0" w:line="240" w:lineRule="auto"/>
        <w:jc w:val="both"/>
        <w:rPr>
          <w:rFonts w:ascii="Arial" w:hAnsi="Arial" w:cs="Arial"/>
          <w:sz w:val="4"/>
          <w:szCs w:val="4"/>
        </w:rPr>
      </w:pPr>
      <w:r w:rsidRPr="00B6647E">
        <w:rPr>
          <w:noProof/>
          <w:szCs w:val="4"/>
          <w:lang w:val="fr-FR" w:eastAsia="fr-FR"/>
        </w:rPr>
        <w:drawing>
          <wp:inline distT="0" distB="0" distL="0" distR="0">
            <wp:extent cx="4372197" cy="3737078"/>
            <wp:effectExtent l="19050" t="0" r="9303" b="0"/>
            <wp:docPr id="8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cstate="print"/>
                    <a:srcRect/>
                    <a:stretch>
                      <a:fillRect/>
                    </a:stretch>
                  </pic:blipFill>
                  <pic:spPr bwMode="auto">
                    <a:xfrm>
                      <a:off x="0" y="0"/>
                      <a:ext cx="4374339" cy="3738908"/>
                    </a:xfrm>
                    <a:prstGeom prst="rect">
                      <a:avLst/>
                    </a:prstGeom>
                    <a:noFill/>
                    <a:ln w="9525">
                      <a:noFill/>
                      <a:miter lim="800000"/>
                      <a:headEnd/>
                      <a:tailEnd/>
                    </a:ln>
                  </pic:spPr>
                </pic:pic>
              </a:graphicData>
            </a:graphic>
          </wp:inline>
        </w:drawing>
      </w:r>
    </w:p>
    <w:p w:rsidR="009722A0" w:rsidRPr="00B6647E" w:rsidRDefault="009722A0" w:rsidP="009722A0">
      <w:pPr>
        <w:spacing w:after="120" w:line="240" w:lineRule="auto"/>
        <w:jc w:val="both"/>
        <w:rPr>
          <w:rFonts w:ascii="Arial" w:hAnsi="Arial" w:cs="Arial"/>
          <w:sz w:val="20"/>
          <w:szCs w:val="20"/>
        </w:rPr>
      </w:pPr>
      <w:r w:rsidRPr="00B6647E">
        <w:rPr>
          <w:rFonts w:ascii="Arial" w:hAnsi="Arial" w:cs="Arial"/>
          <w:sz w:val="20"/>
          <w:szCs w:val="20"/>
        </w:rPr>
        <w:t>Toutes les autres provinces ont enregistré moins de 100 ha sauf Cibitoke (306 ha), Gitega (368 ha) et Muramvya (420 ha).</w:t>
      </w:r>
    </w:p>
    <w:p w:rsidR="007D2434" w:rsidRPr="00B6647E" w:rsidRDefault="007D2434" w:rsidP="00690693">
      <w:pPr>
        <w:pStyle w:val="Lgende"/>
        <w:keepNext/>
        <w:jc w:val="both"/>
        <w:rPr>
          <w:rFonts w:ascii="Arial" w:hAnsi="Arial" w:cs="Arial"/>
        </w:rPr>
      </w:pPr>
      <w:r w:rsidRPr="00B6647E">
        <w:rPr>
          <w:rFonts w:ascii="Arial" w:hAnsi="Arial" w:cs="Arial"/>
        </w:rPr>
        <w:t xml:space="preserve">Tableau </w:t>
      </w:r>
      <w:r w:rsidR="00EC498D" w:rsidRPr="00B6647E">
        <w:rPr>
          <w:rFonts w:ascii="Arial" w:hAnsi="Arial" w:cs="Arial"/>
        </w:rPr>
        <w:t>5</w:t>
      </w:r>
      <w:r w:rsidR="0048718F">
        <w:rPr>
          <w:rFonts w:ascii="Arial" w:hAnsi="Arial" w:cs="Arial"/>
        </w:rPr>
        <w:t>9</w:t>
      </w:r>
      <w:r w:rsidRPr="00B6647E">
        <w:rPr>
          <w:rFonts w:ascii="Arial" w:hAnsi="Arial" w:cs="Arial"/>
        </w:rPr>
        <w:t>: Superficie totale cultivée de sorgho par province pendant les trois saisons</w:t>
      </w:r>
    </w:p>
    <w:p w:rsidR="007D2434" w:rsidRPr="00B6647E" w:rsidRDefault="00976C9D" w:rsidP="00690693">
      <w:pPr>
        <w:keepNext/>
        <w:spacing w:after="0" w:line="240" w:lineRule="auto"/>
        <w:rPr>
          <w:rFonts w:cs="Arial"/>
          <w:szCs w:val="20"/>
        </w:rPr>
      </w:pPr>
      <w:r w:rsidRPr="00B6647E">
        <w:rPr>
          <w:noProof/>
          <w:szCs w:val="20"/>
          <w:lang w:val="fr-FR" w:eastAsia="fr-FR"/>
        </w:rPr>
        <w:drawing>
          <wp:inline distT="0" distB="0" distL="0" distR="0">
            <wp:extent cx="4329666" cy="3700725"/>
            <wp:effectExtent l="19050" t="0" r="0" b="0"/>
            <wp:docPr id="8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cstate="print"/>
                    <a:srcRect/>
                    <a:stretch>
                      <a:fillRect/>
                    </a:stretch>
                  </pic:blipFill>
                  <pic:spPr bwMode="auto">
                    <a:xfrm>
                      <a:off x="0" y="0"/>
                      <a:ext cx="4331787" cy="3702538"/>
                    </a:xfrm>
                    <a:prstGeom prst="rect">
                      <a:avLst/>
                    </a:prstGeom>
                    <a:noFill/>
                    <a:ln w="9525">
                      <a:noFill/>
                      <a:miter lim="800000"/>
                      <a:headEnd/>
                      <a:tailEnd/>
                    </a:ln>
                  </pic:spPr>
                </pic:pic>
              </a:graphicData>
            </a:graphic>
          </wp:inline>
        </w:drawing>
      </w:r>
    </w:p>
    <w:p w:rsidR="009722A0" w:rsidRPr="00B6647E" w:rsidRDefault="009722A0" w:rsidP="00690693">
      <w:pPr>
        <w:spacing w:after="120" w:line="240" w:lineRule="auto"/>
        <w:jc w:val="both"/>
        <w:rPr>
          <w:rFonts w:ascii="Arial" w:hAnsi="Arial" w:cs="Arial"/>
          <w:sz w:val="20"/>
          <w:szCs w:val="20"/>
        </w:rPr>
      </w:pPr>
      <w:r w:rsidRPr="00B6647E">
        <w:rPr>
          <w:rFonts w:ascii="Arial" w:hAnsi="Arial" w:cs="Arial"/>
          <w:sz w:val="20"/>
          <w:szCs w:val="20"/>
        </w:rPr>
        <w:t>Les plus grandes superficies de sorgho ont été estimées dans Kirundo (18.437 ha), Cankuzo (9.044 ha), Ruyigi (8.572 ha) et dans une moindre mesure Rutana (5.794 ha), Muyinga (4.935 ha), Karuzi (3.161 ha) et Ngozi (1.315 ha).</w:t>
      </w:r>
    </w:p>
    <w:p w:rsidR="00873657" w:rsidRPr="00B6647E" w:rsidRDefault="002A5DF1" w:rsidP="002E4BDB">
      <w:pPr>
        <w:spacing w:after="120" w:line="240" w:lineRule="auto"/>
        <w:jc w:val="both"/>
        <w:rPr>
          <w:rFonts w:ascii="Arial" w:hAnsi="Arial" w:cs="Arial"/>
          <w:sz w:val="20"/>
          <w:szCs w:val="20"/>
        </w:rPr>
      </w:pPr>
      <w:r w:rsidRPr="00B6647E">
        <w:rPr>
          <w:rFonts w:ascii="Arial" w:hAnsi="Arial" w:cs="Arial"/>
          <w:sz w:val="20"/>
          <w:szCs w:val="20"/>
        </w:rPr>
        <w:lastRenderedPageBreak/>
        <w:t>Les provinces de Karuzi (</w:t>
      </w:r>
      <w:r w:rsidR="00463820" w:rsidRPr="00B6647E">
        <w:rPr>
          <w:rFonts w:ascii="Arial" w:hAnsi="Arial" w:cs="Arial"/>
          <w:sz w:val="20"/>
          <w:szCs w:val="20"/>
        </w:rPr>
        <w:t xml:space="preserve">7.937 ha), Ruyigi (4.260 ha), Bujumbura rural (3.150 ha), </w:t>
      </w:r>
      <w:r w:rsidRPr="00B6647E">
        <w:rPr>
          <w:rFonts w:ascii="Arial" w:hAnsi="Arial" w:cs="Arial"/>
          <w:sz w:val="20"/>
          <w:szCs w:val="20"/>
        </w:rPr>
        <w:t>Bubanza (3.139 ha)</w:t>
      </w:r>
      <w:r w:rsidR="00463820" w:rsidRPr="00B6647E">
        <w:rPr>
          <w:rFonts w:ascii="Arial" w:hAnsi="Arial" w:cs="Arial"/>
          <w:sz w:val="20"/>
          <w:szCs w:val="20"/>
        </w:rPr>
        <w:t xml:space="preserve"> ont cultivé </w:t>
      </w:r>
      <w:r w:rsidR="00B14CFB" w:rsidRPr="00B6647E">
        <w:rPr>
          <w:rFonts w:ascii="Arial" w:hAnsi="Arial" w:cs="Arial"/>
          <w:sz w:val="20"/>
          <w:szCs w:val="20"/>
        </w:rPr>
        <w:t>les superficies</w:t>
      </w:r>
      <w:r w:rsidR="00463820" w:rsidRPr="00B6647E">
        <w:rPr>
          <w:rFonts w:ascii="Arial" w:hAnsi="Arial" w:cs="Arial"/>
          <w:sz w:val="20"/>
          <w:szCs w:val="20"/>
        </w:rPr>
        <w:t xml:space="preserve"> de riz les plus élevées sur toute la campagne agricole 2011-2012 tandis que Muramvya a enregistré un</w:t>
      </w:r>
      <w:r w:rsidR="00B14CFB" w:rsidRPr="00B6647E">
        <w:rPr>
          <w:rFonts w:ascii="Arial" w:hAnsi="Arial" w:cs="Arial"/>
          <w:sz w:val="20"/>
          <w:szCs w:val="20"/>
        </w:rPr>
        <w:t>e</w:t>
      </w:r>
      <w:r w:rsidR="00463820" w:rsidRPr="00B6647E">
        <w:rPr>
          <w:rFonts w:ascii="Arial" w:hAnsi="Arial" w:cs="Arial"/>
          <w:sz w:val="20"/>
          <w:szCs w:val="20"/>
        </w:rPr>
        <w:t xml:space="preserve"> superficie pratiquement nulle et celle de Mwaro (37 ha) une superficie de riz très faible.</w:t>
      </w:r>
      <w:r w:rsidR="00B14CFB" w:rsidRPr="00B6647E">
        <w:rPr>
          <w:rFonts w:ascii="Arial" w:hAnsi="Arial" w:cs="Arial"/>
          <w:sz w:val="20"/>
          <w:szCs w:val="20"/>
        </w:rPr>
        <w:t xml:space="preserve"> Bururi</w:t>
      </w:r>
      <w:r w:rsidR="00984BEF" w:rsidRPr="00B6647E">
        <w:rPr>
          <w:rFonts w:ascii="Arial" w:hAnsi="Arial" w:cs="Arial"/>
          <w:sz w:val="20"/>
          <w:szCs w:val="20"/>
        </w:rPr>
        <w:t xml:space="preserve"> (686 ha)</w:t>
      </w:r>
      <w:r w:rsidR="00B14CFB" w:rsidRPr="00B6647E">
        <w:rPr>
          <w:rFonts w:ascii="Arial" w:hAnsi="Arial" w:cs="Arial"/>
          <w:sz w:val="20"/>
          <w:szCs w:val="20"/>
        </w:rPr>
        <w:t xml:space="preserve">, Kayanza </w:t>
      </w:r>
      <w:r w:rsidR="00984BEF" w:rsidRPr="00B6647E">
        <w:rPr>
          <w:rFonts w:ascii="Arial" w:hAnsi="Arial" w:cs="Arial"/>
          <w:sz w:val="20"/>
          <w:szCs w:val="20"/>
        </w:rPr>
        <w:t xml:space="preserve">(563 ha) </w:t>
      </w:r>
      <w:r w:rsidR="00B14CFB" w:rsidRPr="00B6647E">
        <w:rPr>
          <w:rFonts w:ascii="Arial" w:hAnsi="Arial" w:cs="Arial"/>
          <w:sz w:val="20"/>
          <w:szCs w:val="20"/>
        </w:rPr>
        <w:t xml:space="preserve">et Rutana </w:t>
      </w:r>
      <w:r w:rsidR="00984BEF" w:rsidRPr="00B6647E">
        <w:rPr>
          <w:rFonts w:ascii="Arial" w:hAnsi="Arial" w:cs="Arial"/>
          <w:sz w:val="20"/>
          <w:szCs w:val="20"/>
        </w:rPr>
        <w:t xml:space="preserve">(524 ha) </w:t>
      </w:r>
      <w:r w:rsidR="00B14CFB" w:rsidRPr="00B6647E">
        <w:rPr>
          <w:rFonts w:ascii="Arial" w:hAnsi="Arial" w:cs="Arial"/>
          <w:sz w:val="20"/>
          <w:szCs w:val="20"/>
        </w:rPr>
        <w:t>ont cultivé moins de 700 ha pendant toute la campagne 2011-2012.</w:t>
      </w:r>
    </w:p>
    <w:p w:rsidR="007D2434" w:rsidRPr="00B6647E" w:rsidRDefault="00EC498D" w:rsidP="00712987">
      <w:pPr>
        <w:pStyle w:val="Lgende"/>
        <w:keepNext/>
        <w:jc w:val="both"/>
        <w:rPr>
          <w:rFonts w:ascii="Arial" w:hAnsi="Arial" w:cs="Arial"/>
        </w:rPr>
      </w:pPr>
      <w:r w:rsidRPr="00B6647E">
        <w:rPr>
          <w:rFonts w:ascii="Arial" w:hAnsi="Arial" w:cs="Arial"/>
        </w:rPr>
        <w:t xml:space="preserve">Tableau </w:t>
      </w:r>
      <w:r w:rsidR="0048718F">
        <w:rPr>
          <w:rFonts w:ascii="Arial" w:hAnsi="Arial" w:cs="Arial"/>
        </w:rPr>
        <w:t>60</w:t>
      </w:r>
      <w:r w:rsidR="002E6A15" w:rsidRPr="00B6647E">
        <w:rPr>
          <w:rFonts w:ascii="Arial" w:hAnsi="Arial" w:cs="Arial"/>
        </w:rPr>
        <w:t xml:space="preserve"> : </w:t>
      </w:r>
      <w:r w:rsidR="007D2434" w:rsidRPr="00B6647E">
        <w:rPr>
          <w:rFonts w:ascii="Arial" w:hAnsi="Arial" w:cs="Arial"/>
        </w:rPr>
        <w:t>Superficie totale cultivée de riz par province pendant les trois saisons</w:t>
      </w:r>
    </w:p>
    <w:p w:rsidR="007D2434" w:rsidRPr="00B6647E" w:rsidRDefault="00976C9D" w:rsidP="00712987">
      <w:pPr>
        <w:spacing w:after="0" w:line="240" w:lineRule="auto"/>
        <w:rPr>
          <w:rFonts w:cs="Arial"/>
          <w:szCs w:val="20"/>
        </w:rPr>
      </w:pPr>
      <w:r w:rsidRPr="00B6647E">
        <w:rPr>
          <w:noProof/>
          <w:szCs w:val="20"/>
          <w:lang w:val="fr-FR" w:eastAsia="fr-FR"/>
        </w:rPr>
        <w:drawing>
          <wp:inline distT="0" distB="0" distL="0" distR="0">
            <wp:extent cx="4524375" cy="3867150"/>
            <wp:effectExtent l="19050" t="0" r="9525" b="0"/>
            <wp:docPr id="8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cstate="print"/>
                    <a:srcRect/>
                    <a:stretch>
                      <a:fillRect/>
                    </a:stretch>
                  </pic:blipFill>
                  <pic:spPr bwMode="auto">
                    <a:xfrm>
                      <a:off x="0" y="0"/>
                      <a:ext cx="4524375" cy="3867150"/>
                    </a:xfrm>
                    <a:prstGeom prst="rect">
                      <a:avLst/>
                    </a:prstGeom>
                    <a:noFill/>
                    <a:ln w="9525">
                      <a:noFill/>
                      <a:miter lim="800000"/>
                      <a:headEnd/>
                      <a:tailEnd/>
                    </a:ln>
                  </pic:spPr>
                </pic:pic>
              </a:graphicData>
            </a:graphic>
          </wp:inline>
        </w:drawing>
      </w:r>
    </w:p>
    <w:p w:rsidR="007D2434" w:rsidRPr="00B6647E" w:rsidRDefault="007D2434" w:rsidP="002E4BDB">
      <w:pPr>
        <w:pStyle w:val="Lgende"/>
        <w:keepNext/>
        <w:jc w:val="both"/>
        <w:rPr>
          <w:rFonts w:ascii="Arial" w:hAnsi="Arial" w:cs="Arial"/>
        </w:rPr>
      </w:pPr>
      <w:r w:rsidRPr="00B6647E">
        <w:rPr>
          <w:rFonts w:ascii="Arial" w:hAnsi="Arial" w:cs="Arial"/>
        </w:rPr>
        <w:t xml:space="preserve">Tableau </w:t>
      </w:r>
      <w:r w:rsidR="0048718F">
        <w:rPr>
          <w:rFonts w:ascii="Arial" w:hAnsi="Arial" w:cs="Arial"/>
        </w:rPr>
        <w:t>61</w:t>
      </w:r>
      <w:r w:rsidR="002E6A15" w:rsidRPr="00B6647E">
        <w:rPr>
          <w:rFonts w:ascii="Arial" w:hAnsi="Arial" w:cs="Arial"/>
        </w:rPr>
        <w:t> :</w:t>
      </w:r>
      <w:r w:rsidRPr="00B6647E">
        <w:rPr>
          <w:rFonts w:ascii="Arial" w:hAnsi="Arial" w:cs="Arial"/>
        </w:rPr>
        <w:t xml:space="preserve"> Superficie totale cultivée d’éleusine par province pendant les trois saisons</w:t>
      </w:r>
    </w:p>
    <w:p w:rsidR="007D2434" w:rsidRPr="00B6647E" w:rsidRDefault="00976C9D" w:rsidP="00384BE7">
      <w:pPr>
        <w:spacing w:after="120" w:line="240" w:lineRule="auto"/>
        <w:rPr>
          <w:rFonts w:cs="Arial"/>
          <w:szCs w:val="20"/>
        </w:rPr>
      </w:pPr>
      <w:r w:rsidRPr="00B6647E">
        <w:rPr>
          <w:noProof/>
          <w:szCs w:val="20"/>
          <w:lang w:val="fr-FR" w:eastAsia="fr-FR"/>
        </w:rPr>
        <w:drawing>
          <wp:inline distT="0" distB="0" distL="0" distR="0">
            <wp:extent cx="4524375" cy="3867150"/>
            <wp:effectExtent l="19050" t="0" r="9525" b="0"/>
            <wp:docPr id="10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cstate="print"/>
                    <a:srcRect/>
                    <a:stretch>
                      <a:fillRect/>
                    </a:stretch>
                  </pic:blipFill>
                  <pic:spPr bwMode="auto">
                    <a:xfrm>
                      <a:off x="0" y="0"/>
                      <a:ext cx="4524375" cy="3867150"/>
                    </a:xfrm>
                    <a:prstGeom prst="rect">
                      <a:avLst/>
                    </a:prstGeom>
                    <a:noFill/>
                    <a:ln w="9525">
                      <a:noFill/>
                      <a:miter lim="800000"/>
                      <a:headEnd/>
                      <a:tailEnd/>
                    </a:ln>
                  </pic:spPr>
                </pic:pic>
              </a:graphicData>
            </a:graphic>
          </wp:inline>
        </w:drawing>
      </w:r>
    </w:p>
    <w:p w:rsidR="002E4BDB" w:rsidRPr="00B6647E" w:rsidRDefault="002E4BDB" w:rsidP="002E4BDB">
      <w:pPr>
        <w:spacing w:line="240" w:lineRule="auto"/>
        <w:jc w:val="both"/>
        <w:rPr>
          <w:rFonts w:ascii="Arial" w:hAnsi="Arial" w:cs="Arial"/>
          <w:sz w:val="20"/>
          <w:szCs w:val="20"/>
        </w:rPr>
      </w:pPr>
      <w:r w:rsidRPr="00B6647E">
        <w:rPr>
          <w:rFonts w:ascii="Arial" w:hAnsi="Arial" w:cs="Arial"/>
          <w:sz w:val="20"/>
          <w:szCs w:val="20"/>
        </w:rPr>
        <w:lastRenderedPageBreak/>
        <w:t>Au cours de toute la campagne agricole, les provinces de Ruyigi (1.751 ha), Muyinga (1.665 ha), Karuzi (1.389 ha) et Cankuzo (1.135 ha) ont cultivé plus de 1.000 ha chacune d’éleusine tandis que les provinces de Bubanza, Bujumbura rural et Bururi n’ont pratiquement pas cultivé d’éleusine en culture pure ou principale.</w:t>
      </w:r>
    </w:p>
    <w:p w:rsidR="007D2434" w:rsidRPr="00B6647E" w:rsidRDefault="007D2434" w:rsidP="00384BE7">
      <w:pPr>
        <w:pStyle w:val="Lgende"/>
        <w:keepNext/>
        <w:spacing w:after="120"/>
        <w:jc w:val="both"/>
        <w:rPr>
          <w:rFonts w:ascii="Arial" w:hAnsi="Arial" w:cs="Arial"/>
        </w:rPr>
      </w:pPr>
      <w:r w:rsidRPr="00B6647E">
        <w:rPr>
          <w:rFonts w:ascii="Arial" w:hAnsi="Arial" w:cs="Arial"/>
        </w:rPr>
        <w:t xml:space="preserve">Tableau </w:t>
      </w:r>
      <w:r w:rsidR="0048718F">
        <w:rPr>
          <w:rFonts w:ascii="Arial" w:hAnsi="Arial" w:cs="Arial"/>
        </w:rPr>
        <w:t>62</w:t>
      </w:r>
      <w:r w:rsidR="002E6A15" w:rsidRPr="00B6647E">
        <w:rPr>
          <w:rFonts w:ascii="Arial" w:hAnsi="Arial" w:cs="Arial"/>
        </w:rPr>
        <w:t> :</w:t>
      </w:r>
      <w:r w:rsidRPr="00B6647E">
        <w:rPr>
          <w:rFonts w:ascii="Arial" w:hAnsi="Arial" w:cs="Arial"/>
        </w:rPr>
        <w:t xml:space="preserve"> Superficie totale cultivée de blé par province pendant les trois saisons</w:t>
      </w:r>
    </w:p>
    <w:p w:rsidR="007D2434" w:rsidRPr="00B6647E" w:rsidRDefault="00976C9D" w:rsidP="00384BE7">
      <w:pPr>
        <w:spacing w:after="120" w:line="240" w:lineRule="auto"/>
        <w:rPr>
          <w:rFonts w:cs="Arial"/>
          <w:szCs w:val="20"/>
        </w:rPr>
      </w:pPr>
      <w:r w:rsidRPr="00B6647E">
        <w:rPr>
          <w:noProof/>
          <w:szCs w:val="20"/>
          <w:lang w:val="fr-FR" w:eastAsia="fr-FR"/>
        </w:rPr>
        <w:drawing>
          <wp:inline distT="0" distB="0" distL="0" distR="0">
            <wp:extent cx="4524375" cy="3886200"/>
            <wp:effectExtent l="19050" t="0" r="9525" b="0"/>
            <wp:docPr id="1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cstate="print"/>
                    <a:srcRect/>
                    <a:stretch>
                      <a:fillRect/>
                    </a:stretch>
                  </pic:blipFill>
                  <pic:spPr bwMode="auto">
                    <a:xfrm>
                      <a:off x="0" y="0"/>
                      <a:ext cx="4524375" cy="3886200"/>
                    </a:xfrm>
                    <a:prstGeom prst="rect">
                      <a:avLst/>
                    </a:prstGeom>
                    <a:noFill/>
                    <a:ln w="9525">
                      <a:noFill/>
                      <a:miter lim="800000"/>
                      <a:headEnd/>
                      <a:tailEnd/>
                    </a:ln>
                  </pic:spPr>
                </pic:pic>
              </a:graphicData>
            </a:graphic>
          </wp:inline>
        </w:drawing>
      </w:r>
    </w:p>
    <w:p w:rsidR="002E4BDB" w:rsidRPr="00B6647E" w:rsidRDefault="002E4BDB" w:rsidP="002E4BDB">
      <w:pPr>
        <w:spacing w:after="120" w:line="240" w:lineRule="auto"/>
        <w:jc w:val="both"/>
        <w:rPr>
          <w:rFonts w:ascii="Arial" w:hAnsi="Arial" w:cs="Arial"/>
          <w:sz w:val="20"/>
          <w:szCs w:val="20"/>
        </w:rPr>
      </w:pPr>
      <w:r w:rsidRPr="00B6647E">
        <w:rPr>
          <w:rFonts w:ascii="Arial" w:hAnsi="Arial" w:cs="Arial"/>
          <w:sz w:val="20"/>
          <w:szCs w:val="20"/>
        </w:rPr>
        <w:t>Les quatre  provinces de Kayanza (3.076 ha), de Bujumbura rural (2.275 ha), de Muramvya (2.227 ha) et Bururi (1.059 ha) ont cultivé 91,6% de la superficie totale de blé cumulée sur les trois saisons  Cinq provinces (Bubanza, Cankuzo, Cibitoke, Ngozi et Ruyigi) n’ont pas cultivé de blé au cours des trois saisons.</w:t>
      </w:r>
    </w:p>
    <w:p w:rsidR="002E4BDB" w:rsidRPr="00B6647E" w:rsidRDefault="002E4BDB" w:rsidP="00384BE7">
      <w:pPr>
        <w:pStyle w:val="Paragraphedeliste"/>
        <w:spacing w:after="120" w:line="240" w:lineRule="auto"/>
        <w:ind w:left="0"/>
        <w:contextualSpacing w:val="0"/>
        <w:jc w:val="both"/>
        <w:rPr>
          <w:rFonts w:ascii="Arial" w:hAnsi="Arial" w:cs="Arial"/>
          <w:b/>
          <w:sz w:val="20"/>
          <w:szCs w:val="20"/>
        </w:rPr>
      </w:pPr>
    </w:p>
    <w:p w:rsidR="002E4BDB" w:rsidRPr="00B6647E" w:rsidRDefault="002E4BDB">
      <w:pPr>
        <w:rPr>
          <w:rFonts w:ascii="Arial" w:hAnsi="Arial" w:cs="Arial"/>
          <w:b/>
          <w:sz w:val="20"/>
          <w:szCs w:val="20"/>
        </w:rPr>
      </w:pPr>
      <w:r w:rsidRPr="00B6647E">
        <w:rPr>
          <w:rFonts w:ascii="Arial" w:hAnsi="Arial" w:cs="Arial"/>
          <w:b/>
          <w:sz w:val="20"/>
          <w:szCs w:val="20"/>
        </w:rPr>
        <w:br w:type="page"/>
      </w:r>
    </w:p>
    <w:p w:rsidR="00600B16" w:rsidRPr="00B6647E" w:rsidRDefault="00600B16" w:rsidP="00384BE7">
      <w:pPr>
        <w:pStyle w:val="Paragraphedeliste"/>
        <w:spacing w:after="120" w:line="240" w:lineRule="auto"/>
        <w:ind w:left="0"/>
        <w:contextualSpacing w:val="0"/>
        <w:jc w:val="both"/>
        <w:rPr>
          <w:rFonts w:ascii="Arial" w:hAnsi="Arial" w:cs="Arial"/>
          <w:b/>
          <w:sz w:val="20"/>
          <w:szCs w:val="20"/>
        </w:rPr>
      </w:pPr>
      <w:r w:rsidRPr="00B6647E">
        <w:rPr>
          <w:rFonts w:ascii="Arial" w:hAnsi="Arial" w:cs="Arial"/>
          <w:b/>
          <w:sz w:val="20"/>
          <w:szCs w:val="20"/>
        </w:rPr>
        <w:lastRenderedPageBreak/>
        <w:t xml:space="preserve">Carte </w:t>
      </w:r>
      <w:r w:rsidR="00613D0F" w:rsidRPr="00B6647E">
        <w:rPr>
          <w:rFonts w:ascii="Arial" w:hAnsi="Arial" w:cs="Arial"/>
          <w:b/>
          <w:sz w:val="20"/>
          <w:szCs w:val="20"/>
        </w:rPr>
        <w:t>07</w:t>
      </w:r>
      <w:r w:rsidRPr="00B6647E">
        <w:rPr>
          <w:rFonts w:ascii="Arial" w:hAnsi="Arial" w:cs="Arial"/>
          <w:b/>
          <w:sz w:val="20"/>
          <w:szCs w:val="20"/>
        </w:rPr>
        <w:t> : Superficie (en ha) de céréales (en pure et principale) cultivée pendant la campagne agricole 2011-12 par province</w:t>
      </w:r>
    </w:p>
    <w:p w:rsidR="00600B16" w:rsidRPr="00B6647E" w:rsidRDefault="00600B16" w:rsidP="00384BE7">
      <w:pPr>
        <w:spacing w:after="120" w:line="240" w:lineRule="auto"/>
        <w:rPr>
          <w:rFonts w:cs="Arial"/>
          <w:szCs w:val="20"/>
        </w:rPr>
      </w:pPr>
    </w:p>
    <w:p w:rsidR="00D1487B" w:rsidRPr="00B6647E" w:rsidRDefault="000D5D78" w:rsidP="00384BE7">
      <w:pPr>
        <w:spacing w:after="120" w:line="240" w:lineRule="auto"/>
        <w:rPr>
          <w:rFonts w:cs="Arial"/>
          <w:szCs w:val="20"/>
        </w:rPr>
      </w:pPr>
      <w:r w:rsidRPr="00B6647E">
        <w:rPr>
          <w:rFonts w:cs="Arial"/>
          <w:noProof/>
          <w:szCs w:val="20"/>
          <w:lang w:val="fr-FR" w:eastAsia="fr-FR"/>
        </w:rPr>
        <w:drawing>
          <wp:inline distT="0" distB="0" distL="0" distR="0">
            <wp:extent cx="5792931" cy="4125433"/>
            <wp:effectExtent l="19050" t="0" r="0" b="0"/>
            <wp:docPr id="17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cstate="print"/>
                    <a:srcRect l="5318" t="5164" r="5772" b="5399"/>
                    <a:stretch>
                      <a:fillRect/>
                    </a:stretch>
                  </pic:blipFill>
                  <pic:spPr bwMode="auto">
                    <a:xfrm>
                      <a:off x="0" y="0"/>
                      <a:ext cx="5798238" cy="4129213"/>
                    </a:xfrm>
                    <a:prstGeom prst="rect">
                      <a:avLst/>
                    </a:prstGeom>
                    <a:noFill/>
                    <a:ln w="9525">
                      <a:noFill/>
                      <a:miter lim="800000"/>
                      <a:headEnd/>
                      <a:tailEnd/>
                    </a:ln>
                  </pic:spPr>
                </pic:pic>
              </a:graphicData>
            </a:graphic>
          </wp:inline>
        </w:drawing>
      </w:r>
    </w:p>
    <w:p w:rsidR="00712987" w:rsidRPr="00B6647E" w:rsidRDefault="00712987" w:rsidP="00384BE7">
      <w:pPr>
        <w:spacing w:after="120" w:line="240" w:lineRule="auto"/>
        <w:rPr>
          <w:rFonts w:cs="Arial"/>
          <w:szCs w:val="20"/>
        </w:rPr>
      </w:pPr>
    </w:p>
    <w:p w:rsidR="000552AE" w:rsidRPr="00B6647E" w:rsidRDefault="000552AE" w:rsidP="00AD2B33">
      <w:pPr>
        <w:pStyle w:val="Titre3"/>
        <w:keepNext w:val="0"/>
        <w:numPr>
          <w:ilvl w:val="2"/>
          <w:numId w:val="1"/>
        </w:numPr>
        <w:spacing w:before="200" w:after="120"/>
        <w:ind w:left="720"/>
        <w:rPr>
          <w:rFonts w:cs="Arial"/>
          <w:szCs w:val="20"/>
        </w:rPr>
      </w:pPr>
      <w:bookmarkStart w:id="230" w:name="_Toc354313877"/>
      <w:r w:rsidRPr="00B6647E">
        <w:rPr>
          <w:rFonts w:cs="Arial"/>
          <w:szCs w:val="20"/>
        </w:rPr>
        <w:t>Rendements</w:t>
      </w:r>
      <w:bookmarkEnd w:id="230"/>
    </w:p>
    <w:p w:rsidR="00AC5E9A" w:rsidRPr="00B6647E" w:rsidRDefault="00AC5E9A" w:rsidP="003E706B">
      <w:pPr>
        <w:pStyle w:val="Paragraphedeliste"/>
        <w:spacing w:after="0" w:line="240" w:lineRule="auto"/>
        <w:ind w:left="0"/>
        <w:rPr>
          <w:rFonts w:ascii="Arial" w:hAnsi="Arial" w:cs="Arial"/>
          <w:sz w:val="20"/>
          <w:szCs w:val="20"/>
        </w:rPr>
      </w:pPr>
    </w:p>
    <w:p w:rsidR="00E12440" w:rsidRPr="00B6647E" w:rsidRDefault="006C1355" w:rsidP="003E706B">
      <w:pPr>
        <w:spacing w:line="240" w:lineRule="auto"/>
        <w:jc w:val="both"/>
        <w:rPr>
          <w:rFonts w:ascii="Arial" w:hAnsi="Arial" w:cs="Arial"/>
          <w:sz w:val="20"/>
          <w:szCs w:val="20"/>
        </w:rPr>
      </w:pPr>
      <w:r w:rsidRPr="00B6647E">
        <w:rPr>
          <w:rFonts w:ascii="Arial" w:hAnsi="Arial" w:cs="Arial"/>
          <w:sz w:val="20"/>
          <w:szCs w:val="20"/>
        </w:rPr>
        <w:t>Les rendements analysés dans ce chapitre sont les rendements des cultures pures. Les rendements des cultures associées sont consignés dans le document des annexes.</w:t>
      </w:r>
    </w:p>
    <w:p w:rsidR="00745369" w:rsidRPr="00B6647E" w:rsidRDefault="00745369" w:rsidP="003E706B">
      <w:pPr>
        <w:spacing w:line="240" w:lineRule="auto"/>
        <w:jc w:val="both"/>
        <w:rPr>
          <w:rFonts w:ascii="Arial" w:hAnsi="Arial" w:cs="Arial"/>
        </w:rPr>
      </w:pPr>
      <w:r w:rsidRPr="00B6647E">
        <w:rPr>
          <w:rFonts w:ascii="Arial" w:hAnsi="Arial" w:cs="Arial"/>
          <w:sz w:val="20"/>
          <w:szCs w:val="20"/>
        </w:rPr>
        <w:t xml:space="preserve">Pour chaque céréale, les moyennes nationales des rendements en pur sont disparates d’une saison à une autre. Le maïs a des rendements du même de grandeur entre la saison A (745 kg/ha) et la saison B (752 kg/ha) tandis qu’il est inférieur à 500 kg/ha au cours de la saison C (491 kg/ha). On a estimé les rendements de sorgho à  744 kg/ha en saison A, </w:t>
      </w:r>
      <w:r w:rsidR="006443FF" w:rsidRPr="00B6647E">
        <w:rPr>
          <w:rFonts w:ascii="Arial" w:hAnsi="Arial" w:cs="Arial"/>
          <w:sz w:val="20"/>
          <w:szCs w:val="20"/>
        </w:rPr>
        <w:t>591 kg/ha au cours de la saison B et à 771 kg pendant la saison C.</w:t>
      </w:r>
      <w:r w:rsidR="002B3AE0" w:rsidRPr="00B6647E">
        <w:rPr>
          <w:rFonts w:ascii="Arial" w:hAnsi="Arial" w:cs="Arial"/>
          <w:sz w:val="20"/>
          <w:szCs w:val="20"/>
        </w:rPr>
        <w:t xml:space="preserve"> Au niveau du riz </w:t>
      </w:r>
      <w:r w:rsidR="002B3AE0" w:rsidRPr="00B6647E">
        <w:rPr>
          <w:rFonts w:ascii="Arial" w:hAnsi="Arial" w:cs="Arial"/>
          <w:color w:val="000000" w:themeColor="text1"/>
          <w:sz w:val="20"/>
          <w:szCs w:val="20"/>
        </w:rPr>
        <w:t xml:space="preserve">aucun carré de rendement n’a pu être posé en saison A dans les parcelles de riz qui étaient inondées. Des rendements moyens ont été estimés pour la saison B (3.443 kg/ha) et la saison C (2.540 kg/ha). </w:t>
      </w:r>
      <w:r w:rsidR="006778C2" w:rsidRPr="00B6647E">
        <w:rPr>
          <w:rFonts w:ascii="Arial" w:hAnsi="Arial" w:cs="Arial"/>
          <w:color w:val="000000" w:themeColor="text1"/>
          <w:sz w:val="20"/>
          <w:szCs w:val="20"/>
        </w:rPr>
        <w:t xml:space="preserve">On a estimé au niveau national les </w:t>
      </w:r>
      <w:r w:rsidR="002B3AE0" w:rsidRPr="00B6647E">
        <w:rPr>
          <w:rFonts w:ascii="Arial" w:hAnsi="Arial" w:cs="Arial"/>
          <w:color w:val="000000" w:themeColor="text1"/>
          <w:sz w:val="20"/>
          <w:szCs w:val="20"/>
        </w:rPr>
        <w:t>rendements de l</w:t>
      </w:r>
      <w:r w:rsidR="006778C2" w:rsidRPr="00B6647E">
        <w:rPr>
          <w:rFonts w:ascii="Arial" w:hAnsi="Arial" w:cs="Arial"/>
          <w:color w:val="000000" w:themeColor="text1"/>
          <w:sz w:val="20"/>
          <w:szCs w:val="20"/>
        </w:rPr>
        <w:t>’é</w:t>
      </w:r>
      <w:r w:rsidR="002B3AE0" w:rsidRPr="00B6647E">
        <w:rPr>
          <w:rFonts w:ascii="Arial" w:hAnsi="Arial" w:cs="Arial"/>
          <w:color w:val="000000" w:themeColor="text1"/>
          <w:sz w:val="20"/>
          <w:szCs w:val="20"/>
        </w:rPr>
        <w:t xml:space="preserve">leusine (740 kg/ha en saison A, </w:t>
      </w:r>
      <w:r w:rsidR="006778C2" w:rsidRPr="00B6647E">
        <w:rPr>
          <w:rFonts w:ascii="Arial" w:hAnsi="Arial" w:cs="Arial"/>
          <w:color w:val="000000" w:themeColor="text1"/>
          <w:sz w:val="20"/>
          <w:szCs w:val="20"/>
        </w:rPr>
        <w:t xml:space="preserve">555 </w:t>
      </w:r>
      <w:r w:rsidR="002B3AE0" w:rsidRPr="00B6647E">
        <w:rPr>
          <w:rFonts w:ascii="Arial" w:hAnsi="Arial" w:cs="Arial"/>
          <w:color w:val="000000" w:themeColor="text1"/>
          <w:sz w:val="20"/>
          <w:szCs w:val="20"/>
        </w:rPr>
        <w:t xml:space="preserve">kg/ha pendant la saison B et </w:t>
      </w:r>
      <w:r w:rsidR="006778C2" w:rsidRPr="00B6647E">
        <w:rPr>
          <w:rFonts w:ascii="Arial" w:hAnsi="Arial" w:cs="Arial"/>
          <w:color w:val="000000" w:themeColor="text1"/>
          <w:sz w:val="20"/>
          <w:szCs w:val="20"/>
        </w:rPr>
        <w:t xml:space="preserve">847 </w:t>
      </w:r>
      <w:r w:rsidR="002B3AE0" w:rsidRPr="00B6647E">
        <w:rPr>
          <w:rFonts w:ascii="Arial" w:hAnsi="Arial" w:cs="Arial"/>
          <w:color w:val="000000" w:themeColor="text1"/>
          <w:sz w:val="20"/>
          <w:szCs w:val="20"/>
        </w:rPr>
        <w:t xml:space="preserve">kg/ha en saison C) et </w:t>
      </w:r>
      <w:r w:rsidR="006778C2" w:rsidRPr="00B6647E">
        <w:rPr>
          <w:rFonts w:ascii="Arial" w:hAnsi="Arial" w:cs="Arial"/>
          <w:color w:val="000000" w:themeColor="text1"/>
          <w:sz w:val="20"/>
          <w:szCs w:val="20"/>
        </w:rPr>
        <w:t>ceux du</w:t>
      </w:r>
      <w:r w:rsidR="002B3AE0" w:rsidRPr="00B6647E">
        <w:rPr>
          <w:rFonts w:ascii="Arial" w:hAnsi="Arial" w:cs="Arial"/>
          <w:color w:val="000000" w:themeColor="text1"/>
          <w:sz w:val="20"/>
          <w:szCs w:val="20"/>
        </w:rPr>
        <w:t xml:space="preserve"> blé (</w:t>
      </w:r>
      <w:r w:rsidR="006778C2" w:rsidRPr="00B6647E">
        <w:rPr>
          <w:rFonts w:ascii="Arial" w:hAnsi="Arial" w:cs="Arial"/>
          <w:color w:val="000000" w:themeColor="text1"/>
          <w:sz w:val="20"/>
          <w:szCs w:val="20"/>
        </w:rPr>
        <w:t>600</w:t>
      </w:r>
      <w:r w:rsidR="002B3AE0" w:rsidRPr="00B6647E">
        <w:rPr>
          <w:rFonts w:ascii="Arial" w:hAnsi="Arial" w:cs="Arial"/>
          <w:color w:val="000000" w:themeColor="text1"/>
          <w:sz w:val="20"/>
          <w:szCs w:val="20"/>
        </w:rPr>
        <w:t xml:space="preserve"> kg/ha en saison A, </w:t>
      </w:r>
      <w:r w:rsidR="006778C2" w:rsidRPr="00B6647E">
        <w:rPr>
          <w:rFonts w:ascii="Arial" w:hAnsi="Arial" w:cs="Arial"/>
          <w:color w:val="000000" w:themeColor="text1"/>
          <w:sz w:val="20"/>
          <w:szCs w:val="20"/>
        </w:rPr>
        <w:t xml:space="preserve">720 </w:t>
      </w:r>
      <w:r w:rsidR="002B3AE0" w:rsidRPr="00B6647E">
        <w:rPr>
          <w:rFonts w:ascii="Arial" w:hAnsi="Arial" w:cs="Arial"/>
          <w:color w:val="000000" w:themeColor="text1"/>
          <w:sz w:val="20"/>
          <w:szCs w:val="20"/>
        </w:rPr>
        <w:t xml:space="preserve">kg/ha pendant la saison B et </w:t>
      </w:r>
      <w:r w:rsidR="006778C2" w:rsidRPr="00B6647E">
        <w:rPr>
          <w:rFonts w:ascii="Arial" w:hAnsi="Arial" w:cs="Arial"/>
          <w:color w:val="000000" w:themeColor="text1"/>
          <w:sz w:val="20"/>
          <w:szCs w:val="20"/>
        </w:rPr>
        <w:t xml:space="preserve">858 </w:t>
      </w:r>
      <w:r w:rsidR="002B3AE0" w:rsidRPr="00B6647E">
        <w:rPr>
          <w:rFonts w:ascii="Arial" w:hAnsi="Arial" w:cs="Arial"/>
          <w:color w:val="000000" w:themeColor="text1"/>
          <w:sz w:val="20"/>
          <w:szCs w:val="20"/>
        </w:rPr>
        <w:t>kg/ha en saison C)</w:t>
      </w:r>
    </w:p>
    <w:p w:rsidR="00117630" w:rsidRPr="00B6647E" w:rsidRDefault="006C1355" w:rsidP="00AD2B33">
      <w:pPr>
        <w:pStyle w:val="Paragraphedeliste"/>
        <w:spacing w:before="200" w:after="120" w:line="240" w:lineRule="auto"/>
        <w:ind w:left="0"/>
        <w:contextualSpacing w:val="0"/>
        <w:rPr>
          <w:rFonts w:ascii="Arial" w:hAnsi="Arial" w:cs="Arial"/>
          <w:b/>
          <w:sz w:val="20"/>
          <w:szCs w:val="20"/>
        </w:rPr>
      </w:pPr>
      <w:r w:rsidRPr="00B6647E">
        <w:rPr>
          <w:rFonts w:ascii="Arial" w:hAnsi="Arial" w:cs="Arial"/>
          <w:b/>
          <w:sz w:val="20"/>
          <w:szCs w:val="20"/>
        </w:rPr>
        <w:t>a) Rendements des céréales en cultures pures dans les régions naturelles</w:t>
      </w:r>
    </w:p>
    <w:p w:rsidR="00117630" w:rsidRPr="00B6647E" w:rsidRDefault="00117630" w:rsidP="003E706B">
      <w:pPr>
        <w:pStyle w:val="Paragraphedeliste"/>
        <w:spacing w:after="0" w:line="240" w:lineRule="auto"/>
        <w:ind w:left="0"/>
        <w:rPr>
          <w:rFonts w:ascii="Arial" w:hAnsi="Arial" w:cs="Arial"/>
          <w:sz w:val="20"/>
          <w:szCs w:val="20"/>
        </w:rPr>
      </w:pPr>
    </w:p>
    <w:p w:rsidR="00745369" w:rsidRPr="00B6647E" w:rsidRDefault="00F96E9C" w:rsidP="003E706B">
      <w:pPr>
        <w:spacing w:line="240" w:lineRule="auto"/>
        <w:jc w:val="both"/>
        <w:rPr>
          <w:rFonts w:ascii="Arial" w:hAnsi="Arial" w:cs="Arial"/>
          <w:sz w:val="20"/>
          <w:szCs w:val="20"/>
        </w:rPr>
      </w:pPr>
      <w:r w:rsidRPr="00B6647E">
        <w:rPr>
          <w:rFonts w:ascii="Arial" w:hAnsi="Arial" w:cs="Arial"/>
          <w:sz w:val="20"/>
          <w:szCs w:val="20"/>
        </w:rPr>
        <w:t>Pendant la saison A, toutes l</w:t>
      </w:r>
      <w:r w:rsidR="00745369" w:rsidRPr="00B6647E">
        <w:rPr>
          <w:rFonts w:ascii="Arial" w:hAnsi="Arial" w:cs="Arial"/>
          <w:sz w:val="20"/>
          <w:szCs w:val="20"/>
        </w:rPr>
        <w:t>es régions naturelles</w:t>
      </w:r>
      <w:r w:rsidRPr="00B6647E">
        <w:rPr>
          <w:rFonts w:ascii="Arial" w:hAnsi="Arial" w:cs="Arial"/>
          <w:sz w:val="20"/>
          <w:szCs w:val="20"/>
        </w:rPr>
        <w:t xml:space="preserve"> ont enregistré du maïs en culture pure avec des rendements compris entre 700 kg/ha et 800 kg/ha sauf à Bututsi (946 kg/ha) et </w:t>
      </w:r>
      <w:r w:rsidR="0023440D" w:rsidRPr="00B6647E">
        <w:rPr>
          <w:rFonts w:ascii="Arial" w:hAnsi="Arial" w:cs="Arial"/>
          <w:sz w:val="20"/>
          <w:szCs w:val="20"/>
        </w:rPr>
        <w:t>à</w:t>
      </w:r>
      <w:r w:rsidRPr="00B6647E">
        <w:rPr>
          <w:rFonts w:ascii="Arial" w:hAnsi="Arial" w:cs="Arial"/>
          <w:sz w:val="20"/>
          <w:szCs w:val="20"/>
        </w:rPr>
        <w:t xml:space="preserve"> Bugesera (400 kg/ha). </w:t>
      </w:r>
      <w:r w:rsidR="0023440D" w:rsidRPr="00B6647E">
        <w:rPr>
          <w:rFonts w:ascii="Arial" w:hAnsi="Arial" w:cs="Arial"/>
          <w:sz w:val="20"/>
          <w:szCs w:val="20"/>
        </w:rPr>
        <w:t>Au cours de la saison B, on note que quatre régions (Bugesera, Buragane, Buyenzi et Kirimiro) n’ont pas cultivé du maïs en pur. Les autres régions ont des rendements moyens inférieurs à 500 kg/ha sauf dans Bututsi (837kg/ha), Mugamba (856 kg/ha) et Imbo (567 kg/ha). Pendant la saison C, il y a quatre régions qui ont cultivé du maïs en pur. Trois d’entre elles (Buragane, Kirimiro et Moso) ont toutefois un rendement estimé à 1.000 kg/ha.</w:t>
      </w:r>
      <w:r w:rsidR="00745369" w:rsidRPr="00B6647E">
        <w:rPr>
          <w:rFonts w:ascii="Arial" w:hAnsi="Arial" w:cs="Arial"/>
          <w:sz w:val="20"/>
          <w:szCs w:val="20"/>
        </w:rPr>
        <w:t xml:space="preserve"> </w:t>
      </w:r>
    </w:p>
    <w:p w:rsidR="00117630" w:rsidRPr="00B6647E" w:rsidRDefault="00117630" w:rsidP="003E706B">
      <w:pPr>
        <w:pStyle w:val="Lgende"/>
        <w:keepNext/>
        <w:jc w:val="both"/>
        <w:rPr>
          <w:rFonts w:ascii="Arial" w:hAnsi="Arial" w:cs="Arial"/>
        </w:rPr>
      </w:pPr>
      <w:r w:rsidRPr="00B6647E">
        <w:rPr>
          <w:rFonts w:ascii="Arial" w:hAnsi="Arial" w:cs="Arial"/>
        </w:rPr>
        <w:lastRenderedPageBreak/>
        <w:t xml:space="preserve">Tableau </w:t>
      </w:r>
      <w:r w:rsidR="00C53AAF">
        <w:rPr>
          <w:rFonts w:ascii="Arial" w:hAnsi="Arial" w:cs="Arial"/>
        </w:rPr>
        <w:t>63</w:t>
      </w:r>
      <w:r w:rsidR="002E6A15" w:rsidRPr="00B6647E">
        <w:rPr>
          <w:rFonts w:ascii="Arial" w:hAnsi="Arial" w:cs="Arial"/>
        </w:rPr>
        <w:t> :</w:t>
      </w:r>
      <w:r w:rsidRPr="00B6647E">
        <w:rPr>
          <w:rFonts w:ascii="Arial" w:hAnsi="Arial" w:cs="Arial"/>
        </w:rPr>
        <w:t xml:space="preserve"> </w:t>
      </w:r>
      <w:r w:rsidR="005400C7" w:rsidRPr="00B6647E">
        <w:rPr>
          <w:rFonts w:ascii="Arial" w:hAnsi="Arial" w:cs="Arial"/>
        </w:rPr>
        <w:t>Rendement du maïs en culture pure</w:t>
      </w:r>
      <w:r w:rsidRPr="00B6647E">
        <w:rPr>
          <w:rFonts w:ascii="Arial" w:hAnsi="Arial" w:cs="Arial"/>
        </w:rPr>
        <w:t xml:space="preserve"> par région pendant les trois saisons</w:t>
      </w:r>
    </w:p>
    <w:p w:rsidR="00117630" w:rsidRPr="00B6647E" w:rsidRDefault="00392FFE" w:rsidP="003E706B">
      <w:pPr>
        <w:spacing w:line="240" w:lineRule="auto"/>
        <w:rPr>
          <w:lang w:eastAsia="fr-FR"/>
        </w:rPr>
      </w:pPr>
      <w:r w:rsidRPr="00B6647E">
        <w:rPr>
          <w:noProof/>
          <w:lang w:val="fr-FR" w:eastAsia="fr-FR"/>
        </w:rPr>
        <w:drawing>
          <wp:inline distT="0" distB="0" distL="0" distR="0">
            <wp:extent cx="3305175" cy="2914650"/>
            <wp:effectExtent l="19050" t="0" r="9525" b="0"/>
            <wp:docPr id="11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cstate="print"/>
                    <a:srcRect/>
                    <a:stretch>
                      <a:fillRect/>
                    </a:stretch>
                  </pic:blipFill>
                  <pic:spPr bwMode="auto">
                    <a:xfrm>
                      <a:off x="0" y="0"/>
                      <a:ext cx="3305175" cy="2914650"/>
                    </a:xfrm>
                    <a:prstGeom prst="rect">
                      <a:avLst/>
                    </a:prstGeom>
                    <a:noFill/>
                    <a:ln w="9525">
                      <a:noFill/>
                      <a:miter lim="800000"/>
                      <a:headEnd/>
                      <a:tailEnd/>
                    </a:ln>
                  </pic:spPr>
                </pic:pic>
              </a:graphicData>
            </a:graphic>
          </wp:inline>
        </w:drawing>
      </w:r>
    </w:p>
    <w:p w:rsidR="00117630" w:rsidRPr="00B6647E" w:rsidRDefault="00755482" w:rsidP="003E706B">
      <w:pPr>
        <w:spacing w:line="240" w:lineRule="auto"/>
        <w:jc w:val="both"/>
        <w:rPr>
          <w:rFonts w:ascii="Arial" w:hAnsi="Arial" w:cs="Arial"/>
          <w:sz w:val="20"/>
          <w:szCs w:val="20"/>
          <w:lang w:eastAsia="fr-FR"/>
        </w:rPr>
      </w:pPr>
      <w:r w:rsidRPr="00B6647E">
        <w:rPr>
          <w:rFonts w:ascii="Arial" w:hAnsi="Arial" w:cs="Arial"/>
          <w:sz w:val="20"/>
          <w:szCs w:val="20"/>
          <w:lang w:eastAsia="fr-FR"/>
        </w:rPr>
        <w:t xml:space="preserve">On observe que le sorgho en culture pur a été cultivé dans sept régions naturelles pendant la saison C avec des rendements variant de 562 kg/ha (Buyogoma)  à 1.000 kg/ha (Imbo et Kirimiro). Au cours de la saison B, cinq régions ont cultivé du sorgho en pur avec des rendements variant entre 375 kg/ha (Bugesera) à 806 </w:t>
      </w:r>
      <w:r w:rsidR="00285D99" w:rsidRPr="00B6647E">
        <w:rPr>
          <w:rFonts w:ascii="Arial" w:hAnsi="Arial" w:cs="Arial"/>
          <w:sz w:val="20"/>
          <w:szCs w:val="20"/>
          <w:lang w:eastAsia="fr-FR"/>
        </w:rPr>
        <w:t>kg/ha</w:t>
      </w:r>
      <w:r w:rsidRPr="00B6647E">
        <w:rPr>
          <w:rFonts w:ascii="Arial" w:hAnsi="Arial" w:cs="Arial"/>
          <w:sz w:val="20"/>
          <w:szCs w:val="20"/>
          <w:lang w:eastAsia="fr-FR"/>
        </w:rPr>
        <w:t>(Buyogoma)</w:t>
      </w:r>
      <w:r w:rsidR="00285D99" w:rsidRPr="00B6647E">
        <w:rPr>
          <w:rFonts w:ascii="Arial" w:hAnsi="Arial" w:cs="Arial"/>
          <w:sz w:val="20"/>
          <w:szCs w:val="20"/>
          <w:lang w:eastAsia="fr-FR"/>
        </w:rPr>
        <w:t>,</w:t>
      </w:r>
      <w:r w:rsidRPr="00B6647E">
        <w:rPr>
          <w:rFonts w:ascii="Arial" w:hAnsi="Arial" w:cs="Arial"/>
          <w:sz w:val="20"/>
          <w:szCs w:val="20"/>
          <w:lang w:eastAsia="fr-FR"/>
        </w:rPr>
        <w:t xml:space="preserve"> en saison A il y a </w:t>
      </w:r>
      <w:r w:rsidR="00285D99" w:rsidRPr="00B6647E">
        <w:rPr>
          <w:rFonts w:ascii="Arial" w:hAnsi="Arial" w:cs="Arial"/>
          <w:sz w:val="20"/>
          <w:szCs w:val="20"/>
          <w:lang w:eastAsia="fr-FR"/>
        </w:rPr>
        <w:t>quatre</w:t>
      </w:r>
      <w:r w:rsidRPr="00B6647E">
        <w:rPr>
          <w:rFonts w:ascii="Arial" w:hAnsi="Arial" w:cs="Arial"/>
          <w:sz w:val="20"/>
          <w:szCs w:val="20"/>
          <w:lang w:eastAsia="fr-FR"/>
        </w:rPr>
        <w:t xml:space="preserve"> régions avec des rendements </w:t>
      </w:r>
      <w:r w:rsidR="00285D99" w:rsidRPr="00B6647E">
        <w:rPr>
          <w:rFonts w:ascii="Arial" w:hAnsi="Arial" w:cs="Arial"/>
          <w:sz w:val="20"/>
          <w:szCs w:val="20"/>
          <w:lang w:eastAsia="fr-FR"/>
        </w:rPr>
        <w:t>allant de 200 kg/ha (Buyenzi) à 1.000 kg/ha (Buragane).</w:t>
      </w:r>
    </w:p>
    <w:p w:rsidR="00117630" w:rsidRPr="00B6647E" w:rsidRDefault="00117630" w:rsidP="003E706B">
      <w:pPr>
        <w:pStyle w:val="Lgende"/>
        <w:keepNext/>
        <w:jc w:val="both"/>
        <w:rPr>
          <w:rFonts w:ascii="Arial" w:hAnsi="Arial" w:cs="Arial"/>
        </w:rPr>
      </w:pPr>
      <w:r w:rsidRPr="00B6647E">
        <w:rPr>
          <w:rFonts w:ascii="Arial" w:hAnsi="Arial" w:cs="Arial"/>
        </w:rPr>
        <w:t xml:space="preserve">Tableau </w:t>
      </w:r>
      <w:r w:rsidR="00C53AAF">
        <w:rPr>
          <w:rFonts w:ascii="Arial" w:hAnsi="Arial" w:cs="Arial"/>
        </w:rPr>
        <w:t>64</w:t>
      </w:r>
      <w:r w:rsidR="002E6A15" w:rsidRPr="00B6647E">
        <w:rPr>
          <w:rFonts w:ascii="Arial" w:hAnsi="Arial" w:cs="Arial"/>
        </w:rPr>
        <w:t> :</w:t>
      </w:r>
      <w:r w:rsidRPr="00B6647E">
        <w:rPr>
          <w:rFonts w:ascii="Arial" w:hAnsi="Arial" w:cs="Arial"/>
        </w:rPr>
        <w:t xml:space="preserve"> </w:t>
      </w:r>
      <w:r w:rsidR="005400C7" w:rsidRPr="00B6647E">
        <w:rPr>
          <w:rFonts w:ascii="Arial" w:hAnsi="Arial" w:cs="Arial"/>
        </w:rPr>
        <w:t>Rendement du sorgho en culture pure</w:t>
      </w:r>
      <w:r w:rsidRPr="00B6647E">
        <w:rPr>
          <w:rFonts w:ascii="Arial" w:hAnsi="Arial" w:cs="Arial"/>
        </w:rPr>
        <w:t xml:space="preserve"> par région pendant les trois saisons</w:t>
      </w:r>
    </w:p>
    <w:p w:rsidR="00117630" w:rsidRPr="00B6647E" w:rsidRDefault="00392FFE" w:rsidP="003E706B">
      <w:pPr>
        <w:spacing w:line="240" w:lineRule="auto"/>
        <w:rPr>
          <w:lang w:eastAsia="fr-FR"/>
        </w:rPr>
      </w:pPr>
      <w:r w:rsidRPr="00B6647E">
        <w:rPr>
          <w:noProof/>
          <w:lang w:val="fr-FR" w:eastAsia="fr-FR"/>
        </w:rPr>
        <w:drawing>
          <wp:inline distT="0" distB="0" distL="0" distR="0">
            <wp:extent cx="3305175" cy="2914650"/>
            <wp:effectExtent l="19050" t="0" r="9525" b="0"/>
            <wp:docPr id="13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cstate="print"/>
                    <a:srcRect/>
                    <a:stretch>
                      <a:fillRect/>
                    </a:stretch>
                  </pic:blipFill>
                  <pic:spPr bwMode="auto">
                    <a:xfrm>
                      <a:off x="0" y="0"/>
                      <a:ext cx="3305175" cy="2914650"/>
                    </a:xfrm>
                    <a:prstGeom prst="rect">
                      <a:avLst/>
                    </a:prstGeom>
                    <a:noFill/>
                    <a:ln w="9525">
                      <a:noFill/>
                      <a:miter lim="800000"/>
                      <a:headEnd/>
                      <a:tailEnd/>
                    </a:ln>
                  </pic:spPr>
                </pic:pic>
              </a:graphicData>
            </a:graphic>
          </wp:inline>
        </w:drawing>
      </w:r>
    </w:p>
    <w:p w:rsidR="00AA27A1" w:rsidRPr="00B6647E" w:rsidRDefault="00AA27A1" w:rsidP="003E706B">
      <w:pPr>
        <w:spacing w:line="240" w:lineRule="auto"/>
        <w:jc w:val="both"/>
        <w:rPr>
          <w:rFonts w:ascii="Arial" w:hAnsi="Arial" w:cs="Arial"/>
          <w:sz w:val="20"/>
          <w:szCs w:val="20"/>
        </w:rPr>
      </w:pPr>
      <w:r w:rsidRPr="00B6647E">
        <w:rPr>
          <w:rFonts w:ascii="Arial" w:hAnsi="Arial" w:cs="Arial"/>
          <w:sz w:val="20"/>
          <w:szCs w:val="20"/>
        </w:rPr>
        <w:t xml:space="preserve">Au cours de la saison B, les plus grands rendements de riz ont été estimés </w:t>
      </w:r>
      <w:r w:rsidR="00204369">
        <w:rPr>
          <w:rFonts w:ascii="Arial" w:hAnsi="Arial" w:cs="Arial"/>
          <w:sz w:val="20"/>
          <w:szCs w:val="20"/>
        </w:rPr>
        <w:t xml:space="preserve">dans </w:t>
      </w:r>
      <w:r w:rsidRPr="00B6647E">
        <w:rPr>
          <w:rFonts w:ascii="Arial" w:hAnsi="Arial" w:cs="Arial"/>
          <w:sz w:val="20"/>
          <w:szCs w:val="20"/>
        </w:rPr>
        <w:t xml:space="preserve">l’Imbo (5.850 kg/ha) et dans Buyogoma (5.261 kg/ha) et pendant la saison C, à Mumirwa (5.000 kg/ha). Deux régions </w:t>
      </w:r>
      <w:r w:rsidR="007D2BAE" w:rsidRPr="00B6647E">
        <w:rPr>
          <w:rFonts w:ascii="Arial" w:hAnsi="Arial" w:cs="Arial"/>
          <w:sz w:val="20"/>
          <w:szCs w:val="20"/>
        </w:rPr>
        <w:t xml:space="preserve">naturelles </w:t>
      </w:r>
      <w:r w:rsidRPr="00B6647E">
        <w:rPr>
          <w:rFonts w:ascii="Arial" w:hAnsi="Arial" w:cs="Arial"/>
          <w:sz w:val="20"/>
          <w:szCs w:val="20"/>
        </w:rPr>
        <w:t>(Bututsi, Mugamba) n’ont pas cultivé du riz en culture pure au cours de la saison B auxquelles s’ajou</w:t>
      </w:r>
      <w:r w:rsidR="007D2BAE" w:rsidRPr="00B6647E">
        <w:rPr>
          <w:rFonts w:ascii="Arial" w:hAnsi="Arial" w:cs="Arial"/>
          <w:sz w:val="20"/>
          <w:szCs w:val="20"/>
        </w:rPr>
        <w:t>t</w:t>
      </w:r>
      <w:r w:rsidRPr="00B6647E">
        <w:rPr>
          <w:rFonts w:ascii="Arial" w:hAnsi="Arial" w:cs="Arial"/>
          <w:sz w:val="20"/>
          <w:szCs w:val="20"/>
        </w:rPr>
        <w:t>en</w:t>
      </w:r>
      <w:r w:rsidR="007D2BAE" w:rsidRPr="00B6647E">
        <w:rPr>
          <w:rFonts w:ascii="Arial" w:hAnsi="Arial" w:cs="Arial"/>
          <w:sz w:val="20"/>
          <w:szCs w:val="20"/>
        </w:rPr>
        <w:t>t</w:t>
      </w:r>
      <w:r w:rsidRPr="00B6647E">
        <w:rPr>
          <w:rFonts w:ascii="Arial" w:hAnsi="Arial" w:cs="Arial"/>
          <w:sz w:val="20"/>
          <w:szCs w:val="20"/>
        </w:rPr>
        <w:t xml:space="preserve"> deux autres </w:t>
      </w:r>
      <w:r w:rsidR="007D2BAE" w:rsidRPr="00B6647E">
        <w:rPr>
          <w:rFonts w:ascii="Arial" w:hAnsi="Arial" w:cs="Arial"/>
          <w:sz w:val="20"/>
          <w:szCs w:val="20"/>
        </w:rPr>
        <w:t xml:space="preserve">(Buragane, Bweru) </w:t>
      </w:r>
      <w:r w:rsidRPr="00B6647E">
        <w:rPr>
          <w:rFonts w:ascii="Arial" w:hAnsi="Arial" w:cs="Arial"/>
          <w:sz w:val="20"/>
          <w:szCs w:val="20"/>
        </w:rPr>
        <w:t>pendant la saison C.</w:t>
      </w:r>
    </w:p>
    <w:p w:rsidR="00117630" w:rsidRPr="00B6647E" w:rsidRDefault="00117630" w:rsidP="003E706B">
      <w:pPr>
        <w:pStyle w:val="Lgende"/>
        <w:keepNext/>
        <w:jc w:val="both"/>
        <w:rPr>
          <w:rFonts w:ascii="Arial" w:hAnsi="Arial" w:cs="Arial"/>
        </w:rPr>
      </w:pPr>
      <w:r w:rsidRPr="00B6647E">
        <w:rPr>
          <w:rFonts w:ascii="Arial" w:hAnsi="Arial" w:cs="Arial"/>
        </w:rPr>
        <w:lastRenderedPageBreak/>
        <w:t xml:space="preserve">Tableau </w:t>
      </w:r>
      <w:r w:rsidR="00C53AAF">
        <w:rPr>
          <w:rFonts w:ascii="Arial" w:hAnsi="Arial" w:cs="Arial"/>
        </w:rPr>
        <w:t>65</w:t>
      </w:r>
      <w:r w:rsidR="002E6A15" w:rsidRPr="00B6647E">
        <w:rPr>
          <w:rFonts w:ascii="Arial" w:hAnsi="Arial" w:cs="Arial"/>
        </w:rPr>
        <w:t> :</w:t>
      </w:r>
      <w:r w:rsidRPr="00B6647E">
        <w:rPr>
          <w:rFonts w:ascii="Arial" w:hAnsi="Arial" w:cs="Arial"/>
        </w:rPr>
        <w:t xml:space="preserve"> </w:t>
      </w:r>
      <w:r w:rsidR="005400C7" w:rsidRPr="00B6647E">
        <w:rPr>
          <w:rFonts w:ascii="Arial" w:hAnsi="Arial" w:cs="Arial"/>
        </w:rPr>
        <w:t>Rendement du riz en culture pure</w:t>
      </w:r>
      <w:r w:rsidRPr="00B6647E">
        <w:rPr>
          <w:rFonts w:ascii="Arial" w:hAnsi="Arial" w:cs="Arial"/>
        </w:rPr>
        <w:t xml:space="preserve"> par région pendant les trois saisons</w:t>
      </w:r>
    </w:p>
    <w:p w:rsidR="00117630" w:rsidRPr="00B6647E" w:rsidRDefault="00392FFE" w:rsidP="003E706B">
      <w:pPr>
        <w:spacing w:line="240" w:lineRule="auto"/>
        <w:rPr>
          <w:lang w:eastAsia="fr-FR"/>
        </w:rPr>
      </w:pPr>
      <w:r w:rsidRPr="00B6647E">
        <w:rPr>
          <w:noProof/>
          <w:lang w:val="fr-FR" w:eastAsia="fr-FR"/>
        </w:rPr>
        <w:drawing>
          <wp:inline distT="0" distB="0" distL="0" distR="0">
            <wp:extent cx="3305175" cy="2914650"/>
            <wp:effectExtent l="19050" t="0" r="9525" b="0"/>
            <wp:docPr id="26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 cstate="print"/>
                    <a:srcRect/>
                    <a:stretch>
                      <a:fillRect/>
                    </a:stretch>
                  </pic:blipFill>
                  <pic:spPr bwMode="auto">
                    <a:xfrm>
                      <a:off x="0" y="0"/>
                      <a:ext cx="3305175" cy="2914650"/>
                    </a:xfrm>
                    <a:prstGeom prst="rect">
                      <a:avLst/>
                    </a:prstGeom>
                    <a:noFill/>
                    <a:ln w="9525">
                      <a:noFill/>
                      <a:miter lim="800000"/>
                      <a:headEnd/>
                      <a:tailEnd/>
                    </a:ln>
                  </pic:spPr>
                </pic:pic>
              </a:graphicData>
            </a:graphic>
          </wp:inline>
        </w:drawing>
      </w:r>
    </w:p>
    <w:p w:rsidR="00117630" w:rsidRPr="00B6647E" w:rsidRDefault="007D2BAE" w:rsidP="003E706B">
      <w:pPr>
        <w:spacing w:line="240" w:lineRule="auto"/>
        <w:jc w:val="both"/>
        <w:rPr>
          <w:rFonts w:ascii="Arial" w:hAnsi="Arial" w:cs="Arial"/>
          <w:sz w:val="20"/>
          <w:szCs w:val="20"/>
          <w:lang w:eastAsia="fr-FR"/>
        </w:rPr>
      </w:pPr>
      <w:r w:rsidRPr="00B6647E">
        <w:rPr>
          <w:rFonts w:ascii="Arial" w:hAnsi="Arial" w:cs="Arial"/>
          <w:sz w:val="20"/>
          <w:szCs w:val="20"/>
          <w:lang w:eastAsia="fr-FR"/>
        </w:rPr>
        <w:t xml:space="preserve">On note qu’il y a trois régions qui ont cultivé de l’éleusine en culture pure au cours de la saison A: Buyenzi (1.000 kg/ha), Bweru (1.000 kg/ha) et Kirimiro (600 kg/ha. </w:t>
      </w:r>
      <w:r w:rsidR="00204369">
        <w:rPr>
          <w:rFonts w:ascii="Arial" w:hAnsi="Arial" w:cs="Arial"/>
          <w:sz w:val="20"/>
          <w:szCs w:val="20"/>
          <w:lang w:eastAsia="fr-FR"/>
        </w:rPr>
        <w:t>Il</w:t>
      </w:r>
      <w:r w:rsidRPr="00B6647E">
        <w:rPr>
          <w:rFonts w:ascii="Arial" w:hAnsi="Arial" w:cs="Arial"/>
          <w:sz w:val="20"/>
          <w:szCs w:val="20"/>
          <w:lang w:eastAsia="fr-FR"/>
        </w:rPr>
        <w:t xml:space="preserve"> y en a cinq pendant la saison B avec des rendements variant de 186 kg/ha (Buyenzi) à 766 kg/ha (Buyogoma) et trois en saison C (693 kg/ha pour Bweru et 1.000 kg/ha à Buyenzi et Buyogoma).</w:t>
      </w:r>
    </w:p>
    <w:p w:rsidR="00117630" w:rsidRPr="00B6647E" w:rsidRDefault="00117630" w:rsidP="003E706B">
      <w:pPr>
        <w:pStyle w:val="Lgende"/>
        <w:keepNext/>
        <w:jc w:val="both"/>
        <w:rPr>
          <w:rFonts w:ascii="Arial" w:hAnsi="Arial" w:cs="Arial"/>
        </w:rPr>
      </w:pPr>
      <w:r w:rsidRPr="00B6647E">
        <w:rPr>
          <w:rFonts w:ascii="Arial" w:hAnsi="Arial" w:cs="Arial"/>
        </w:rPr>
        <w:t xml:space="preserve">Tableau </w:t>
      </w:r>
      <w:r w:rsidR="00C53AAF">
        <w:rPr>
          <w:rFonts w:ascii="Arial" w:hAnsi="Arial" w:cs="Arial"/>
        </w:rPr>
        <w:t>66</w:t>
      </w:r>
      <w:r w:rsidR="002E6A15" w:rsidRPr="00B6647E">
        <w:rPr>
          <w:rFonts w:ascii="Arial" w:hAnsi="Arial" w:cs="Arial"/>
        </w:rPr>
        <w:t> :</w:t>
      </w:r>
      <w:r w:rsidRPr="00B6647E">
        <w:rPr>
          <w:rFonts w:ascii="Arial" w:hAnsi="Arial" w:cs="Arial"/>
        </w:rPr>
        <w:t xml:space="preserve"> </w:t>
      </w:r>
      <w:r w:rsidR="005400C7" w:rsidRPr="00B6647E">
        <w:rPr>
          <w:rFonts w:ascii="Arial" w:hAnsi="Arial" w:cs="Arial"/>
        </w:rPr>
        <w:t>Rendement d’éleusine en culture pure</w:t>
      </w:r>
      <w:r w:rsidRPr="00B6647E">
        <w:rPr>
          <w:rFonts w:ascii="Arial" w:hAnsi="Arial" w:cs="Arial"/>
        </w:rPr>
        <w:t xml:space="preserve"> par région pendant les trois saisons</w:t>
      </w:r>
    </w:p>
    <w:p w:rsidR="00117630" w:rsidRPr="00B6647E" w:rsidRDefault="00392FFE" w:rsidP="003E706B">
      <w:pPr>
        <w:spacing w:line="240" w:lineRule="auto"/>
        <w:rPr>
          <w:lang w:eastAsia="fr-FR"/>
        </w:rPr>
      </w:pPr>
      <w:r w:rsidRPr="00B6647E">
        <w:rPr>
          <w:noProof/>
          <w:lang w:val="fr-FR" w:eastAsia="fr-FR"/>
        </w:rPr>
        <w:drawing>
          <wp:inline distT="0" distB="0" distL="0" distR="0">
            <wp:extent cx="3305175" cy="2914650"/>
            <wp:effectExtent l="19050" t="0" r="9525" b="0"/>
            <wp:docPr id="37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cstate="print"/>
                    <a:srcRect/>
                    <a:stretch>
                      <a:fillRect/>
                    </a:stretch>
                  </pic:blipFill>
                  <pic:spPr bwMode="auto">
                    <a:xfrm>
                      <a:off x="0" y="0"/>
                      <a:ext cx="3305175" cy="2914650"/>
                    </a:xfrm>
                    <a:prstGeom prst="rect">
                      <a:avLst/>
                    </a:prstGeom>
                    <a:noFill/>
                    <a:ln w="9525">
                      <a:noFill/>
                      <a:miter lim="800000"/>
                      <a:headEnd/>
                      <a:tailEnd/>
                    </a:ln>
                  </pic:spPr>
                </pic:pic>
              </a:graphicData>
            </a:graphic>
          </wp:inline>
        </w:drawing>
      </w:r>
    </w:p>
    <w:p w:rsidR="00117630" w:rsidRPr="00B6647E" w:rsidRDefault="00B019AD" w:rsidP="003E706B">
      <w:pPr>
        <w:spacing w:line="240" w:lineRule="auto"/>
        <w:jc w:val="both"/>
        <w:rPr>
          <w:rFonts w:ascii="Arial" w:hAnsi="Arial" w:cs="Arial"/>
          <w:sz w:val="20"/>
          <w:szCs w:val="20"/>
          <w:lang w:eastAsia="fr-FR"/>
        </w:rPr>
      </w:pPr>
      <w:r w:rsidRPr="00B6647E">
        <w:rPr>
          <w:rFonts w:ascii="Arial" w:hAnsi="Arial" w:cs="Arial"/>
          <w:sz w:val="20"/>
          <w:szCs w:val="20"/>
          <w:lang w:eastAsia="fr-FR"/>
        </w:rPr>
        <w:t>Le</w:t>
      </w:r>
      <w:r w:rsidR="007E5018" w:rsidRPr="00B6647E">
        <w:rPr>
          <w:rFonts w:ascii="Arial" w:hAnsi="Arial" w:cs="Arial"/>
          <w:sz w:val="20"/>
          <w:szCs w:val="20"/>
          <w:lang w:eastAsia="fr-FR"/>
        </w:rPr>
        <w:t xml:space="preserve"> blé en culture pure </w:t>
      </w:r>
      <w:r w:rsidRPr="00B6647E">
        <w:rPr>
          <w:rFonts w:ascii="Arial" w:hAnsi="Arial" w:cs="Arial"/>
          <w:sz w:val="20"/>
          <w:szCs w:val="20"/>
          <w:lang w:eastAsia="fr-FR"/>
        </w:rPr>
        <w:t>a été</w:t>
      </w:r>
      <w:r w:rsidR="007E5018" w:rsidRPr="00B6647E">
        <w:rPr>
          <w:rFonts w:ascii="Arial" w:hAnsi="Arial" w:cs="Arial"/>
          <w:sz w:val="20"/>
          <w:szCs w:val="20"/>
          <w:lang w:eastAsia="fr-FR"/>
        </w:rPr>
        <w:t xml:space="preserve"> observé dans trois </w:t>
      </w:r>
      <w:r w:rsidRPr="00B6647E">
        <w:rPr>
          <w:rFonts w:ascii="Arial" w:hAnsi="Arial" w:cs="Arial"/>
          <w:sz w:val="20"/>
          <w:szCs w:val="20"/>
          <w:lang w:eastAsia="fr-FR"/>
        </w:rPr>
        <w:t>régions</w:t>
      </w:r>
      <w:r w:rsidR="007E5018" w:rsidRPr="00B6647E">
        <w:rPr>
          <w:rFonts w:ascii="Arial" w:hAnsi="Arial" w:cs="Arial"/>
          <w:sz w:val="20"/>
          <w:szCs w:val="20"/>
          <w:lang w:eastAsia="fr-FR"/>
        </w:rPr>
        <w:t xml:space="preserve"> en saison A</w:t>
      </w:r>
      <w:r w:rsidRPr="00B6647E">
        <w:rPr>
          <w:rFonts w:ascii="Arial" w:hAnsi="Arial" w:cs="Arial"/>
          <w:sz w:val="20"/>
          <w:szCs w:val="20"/>
          <w:lang w:eastAsia="fr-FR"/>
        </w:rPr>
        <w:t> : Mugamba (527 kg/ha), Bututsi et Kirimiro avec 1.000 kg/ha chacune). Les deux régions de Buyenzi (1.000 kg/ha) et Mugamba (673 kg/ha) sont concernés</w:t>
      </w:r>
      <w:r w:rsidR="007E5018" w:rsidRPr="00B6647E">
        <w:rPr>
          <w:rFonts w:ascii="Arial" w:hAnsi="Arial" w:cs="Arial"/>
          <w:sz w:val="20"/>
          <w:szCs w:val="20"/>
          <w:lang w:eastAsia="fr-FR"/>
        </w:rPr>
        <w:t xml:space="preserve"> </w:t>
      </w:r>
      <w:r w:rsidRPr="00B6647E">
        <w:rPr>
          <w:rFonts w:ascii="Arial" w:hAnsi="Arial" w:cs="Arial"/>
          <w:sz w:val="20"/>
          <w:szCs w:val="20"/>
          <w:lang w:eastAsia="fr-FR"/>
        </w:rPr>
        <w:t xml:space="preserve">par la culture en pur du blé au cours de la </w:t>
      </w:r>
      <w:r w:rsidR="007E5018" w:rsidRPr="00B6647E">
        <w:rPr>
          <w:rFonts w:ascii="Arial" w:hAnsi="Arial" w:cs="Arial"/>
          <w:sz w:val="20"/>
          <w:szCs w:val="20"/>
          <w:lang w:eastAsia="fr-FR"/>
        </w:rPr>
        <w:t>saison B</w:t>
      </w:r>
      <w:r w:rsidRPr="00B6647E">
        <w:rPr>
          <w:rFonts w:ascii="Arial" w:hAnsi="Arial" w:cs="Arial"/>
          <w:sz w:val="20"/>
          <w:szCs w:val="20"/>
          <w:lang w:eastAsia="fr-FR"/>
        </w:rPr>
        <w:t>. Il y en cinq pendant la saison C avec des rendements variant entre 817 kg/ha (Kirimiro) et 1.000 kg/ha (Buyenzi et Buyogoma).</w:t>
      </w:r>
    </w:p>
    <w:p w:rsidR="00117630" w:rsidRPr="00B6647E" w:rsidRDefault="00117630" w:rsidP="003E706B">
      <w:pPr>
        <w:pStyle w:val="Lgende"/>
        <w:keepNext/>
        <w:jc w:val="both"/>
        <w:rPr>
          <w:rFonts w:ascii="Arial" w:hAnsi="Arial" w:cs="Arial"/>
        </w:rPr>
      </w:pPr>
      <w:r w:rsidRPr="00B6647E">
        <w:rPr>
          <w:rFonts w:ascii="Arial" w:hAnsi="Arial" w:cs="Arial"/>
        </w:rPr>
        <w:lastRenderedPageBreak/>
        <w:t xml:space="preserve">Tableau </w:t>
      </w:r>
      <w:r w:rsidR="00C53AAF">
        <w:rPr>
          <w:rFonts w:ascii="Arial" w:hAnsi="Arial" w:cs="Arial"/>
        </w:rPr>
        <w:t>67</w:t>
      </w:r>
      <w:r w:rsidR="002E6A15" w:rsidRPr="00B6647E">
        <w:rPr>
          <w:rFonts w:ascii="Arial" w:hAnsi="Arial" w:cs="Arial"/>
        </w:rPr>
        <w:t> :</w:t>
      </w:r>
      <w:r w:rsidRPr="00B6647E">
        <w:rPr>
          <w:rFonts w:ascii="Arial" w:hAnsi="Arial" w:cs="Arial"/>
        </w:rPr>
        <w:t xml:space="preserve"> </w:t>
      </w:r>
      <w:r w:rsidR="005400C7" w:rsidRPr="00B6647E">
        <w:rPr>
          <w:rFonts w:ascii="Arial" w:hAnsi="Arial" w:cs="Arial"/>
        </w:rPr>
        <w:t>Rendement du blé en culture pure</w:t>
      </w:r>
      <w:r w:rsidRPr="00B6647E">
        <w:rPr>
          <w:rFonts w:ascii="Arial" w:hAnsi="Arial" w:cs="Arial"/>
        </w:rPr>
        <w:t xml:space="preserve"> par région pendant les trois saisons</w:t>
      </w:r>
    </w:p>
    <w:p w:rsidR="00117630" w:rsidRPr="00B6647E" w:rsidRDefault="00392FFE" w:rsidP="003E706B">
      <w:pPr>
        <w:pStyle w:val="Paragraphedeliste"/>
        <w:spacing w:after="0" w:line="240" w:lineRule="auto"/>
        <w:ind w:left="0"/>
        <w:rPr>
          <w:rFonts w:ascii="Arial" w:hAnsi="Arial" w:cs="Arial"/>
          <w:sz w:val="20"/>
          <w:szCs w:val="20"/>
        </w:rPr>
      </w:pPr>
      <w:r w:rsidRPr="00B6647E">
        <w:rPr>
          <w:noProof/>
          <w:szCs w:val="20"/>
          <w:lang w:val="fr-FR" w:eastAsia="fr-FR"/>
        </w:rPr>
        <w:drawing>
          <wp:inline distT="0" distB="0" distL="0" distR="0">
            <wp:extent cx="3305175" cy="2914650"/>
            <wp:effectExtent l="19050" t="0" r="9525" b="0"/>
            <wp:docPr id="37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5" cstate="print"/>
                    <a:srcRect/>
                    <a:stretch>
                      <a:fillRect/>
                    </a:stretch>
                  </pic:blipFill>
                  <pic:spPr bwMode="auto">
                    <a:xfrm>
                      <a:off x="0" y="0"/>
                      <a:ext cx="3305175" cy="2914650"/>
                    </a:xfrm>
                    <a:prstGeom prst="rect">
                      <a:avLst/>
                    </a:prstGeom>
                    <a:noFill/>
                    <a:ln w="9525">
                      <a:noFill/>
                      <a:miter lim="800000"/>
                      <a:headEnd/>
                      <a:tailEnd/>
                    </a:ln>
                  </pic:spPr>
                </pic:pic>
              </a:graphicData>
            </a:graphic>
          </wp:inline>
        </w:drawing>
      </w:r>
    </w:p>
    <w:p w:rsidR="00B019AD" w:rsidRPr="00B6647E" w:rsidRDefault="00B019AD" w:rsidP="00AD2B33">
      <w:pPr>
        <w:pStyle w:val="Paragraphedeliste"/>
        <w:spacing w:before="200" w:after="120" w:line="240" w:lineRule="auto"/>
        <w:ind w:left="0"/>
        <w:contextualSpacing w:val="0"/>
        <w:rPr>
          <w:rFonts w:ascii="Arial" w:hAnsi="Arial" w:cs="Arial"/>
          <w:b/>
          <w:sz w:val="20"/>
          <w:szCs w:val="20"/>
        </w:rPr>
      </w:pPr>
      <w:r w:rsidRPr="00B6647E">
        <w:rPr>
          <w:rFonts w:ascii="Arial" w:hAnsi="Arial" w:cs="Arial"/>
          <w:b/>
          <w:sz w:val="20"/>
          <w:szCs w:val="20"/>
        </w:rPr>
        <w:t>b) Rendements des céréales en cultures pures dans les provinces</w:t>
      </w:r>
    </w:p>
    <w:p w:rsidR="007E22EE" w:rsidRPr="00B6647E" w:rsidRDefault="007E22EE" w:rsidP="002E6A15">
      <w:pPr>
        <w:pStyle w:val="Paragraphedeliste"/>
        <w:spacing w:line="240" w:lineRule="auto"/>
        <w:ind w:left="0"/>
        <w:jc w:val="both"/>
        <w:rPr>
          <w:rFonts w:ascii="Arial" w:hAnsi="Arial" w:cs="Arial"/>
          <w:sz w:val="20"/>
          <w:szCs w:val="20"/>
        </w:rPr>
      </w:pPr>
      <w:r w:rsidRPr="00B6647E">
        <w:rPr>
          <w:rFonts w:ascii="Arial" w:hAnsi="Arial" w:cs="Arial"/>
          <w:sz w:val="20"/>
          <w:szCs w:val="20"/>
        </w:rPr>
        <w:t>Toutes les provinces ont cultivé du maïs en culture pure pendant la saison A avec des rendements variant entre 400 kg/ha à Kirundo à 957 kg/ha à Bururi. En saison B, il y en a neuf avec des rendements allant de 288 kg/ha (Muyinga et Ruyigi) à 1.000 kg/ha (Bujumbura rural) et au cours de la saison C, on note quatre provinces : Kirundo (357 kg/ha) et Cankuzo, Muramvya et Rutana avec 1.000 kg/ha chacune.</w:t>
      </w:r>
    </w:p>
    <w:p w:rsidR="00117630" w:rsidRPr="00B6647E" w:rsidRDefault="00117630" w:rsidP="003E706B">
      <w:pPr>
        <w:pStyle w:val="Lgende"/>
        <w:keepNext/>
        <w:jc w:val="both"/>
        <w:rPr>
          <w:rFonts w:ascii="Arial" w:hAnsi="Arial" w:cs="Arial"/>
        </w:rPr>
      </w:pPr>
      <w:r w:rsidRPr="00B6647E">
        <w:rPr>
          <w:rFonts w:ascii="Arial" w:hAnsi="Arial" w:cs="Arial"/>
        </w:rPr>
        <w:t xml:space="preserve">Tableau </w:t>
      </w:r>
      <w:r w:rsidR="00C53AAF">
        <w:rPr>
          <w:rFonts w:ascii="Arial" w:hAnsi="Arial" w:cs="Arial"/>
        </w:rPr>
        <w:t>68</w:t>
      </w:r>
      <w:r w:rsidR="002E6A15" w:rsidRPr="00B6647E">
        <w:rPr>
          <w:rFonts w:ascii="Arial" w:hAnsi="Arial" w:cs="Arial"/>
        </w:rPr>
        <w:t> :</w:t>
      </w:r>
      <w:r w:rsidRPr="00B6647E">
        <w:rPr>
          <w:rFonts w:ascii="Arial" w:hAnsi="Arial" w:cs="Arial"/>
        </w:rPr>
        <w:t xml:space="preserve"> </w:t>
      </w:r>
      <w:r w:rsidR="005400C7" w:rsidRPr="00B6647E">
        <w:rPr>
          <w:rFonts w:ascii="Arial" w:hAnsi="Arial" w:cs="Arial"/>
        </w:rPr>
        <w:t>Rendement du</w:t>
      </w:r>
      <w:r w:rsidRPr="00B6647E">
        <w:rPr>
          <w:rFonts w:ascii="Arial" w:hAnsi="Arial" w:cs="Arial"/>
        </w:rPr>
        <w:t xml:space="preserve"> maïs </w:t>
      </w:r>
      <w:r w:rsidR="005400C7" w:rsidRPr="00B6647E">
        <w:rPr>
          <w:rFonts w:ascii="Arial" w:hAnsi="Arial" w:cs="Arial"/>
        </w:rPr>
        <w:t xml:space="preserve">en culture pure </w:t>
      </w:r>
      <w:r w:rsidRPr="00B6647E">
        <w:rPr>
          <w:rFonts w:ascii="Arial" w:hAnsi="Arial" w:cs="Arial"/>
        </w:rPr>
        <w:t>par province pendant les trois saisons</w:t>
      </w:r>
    </w:p>
    <w:p w:rsidR="00AB2E31" w:rsidRPr="00B6647E" w:rsidRDefault="00392FFE" w:rsidP="002E4BDB">
      <w:pPr>
        <w:spacing w:after="0" w:line="240" w:lineRule="auto"/>
        <w:rPr>
          <w:lang w:eastAsia="fr-FR"/>
        </w:rPr>
      </w:pPr>
      <w:r w:rsidRPr="00B6647E">
        <w:rPr>
          <w:noProof/>
          <w:lang w:val="fr-FR" w:eastAsia="fr-FR"/>
        </w:rPr>
        <w:drawing>
          <wp:inline distT="0" distB="0" distL="0" distR="0">
            <wp:extent cx="3305175" cy="3867150"/>
            <wp:effectExtent l="19050" t="0" r="9525" b="0"/>
            <wp:docPr id="375"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cstate="print"/>
                    <a:srcRect/>
                    <a:stretch>
                      <a:fillRect/>
                    </a:stretch>
                  </pic:blipFill>
                  <pic:spPr bwMode="auto">
                    <a:xfrm>
                      <a:off x="0" y="0"/>
                      <a:ext cx="3305175" cy="3867150"/>
                    </a:xfrm>
                    <a:prstGeom prst="rect">
                      <a:avLst/>
                    </a:prstGeom>
                    <a:noFill/>
                    <a:ln w="9525">
                      <a:noFill/>
                      <a:miter lim="800000"/>
                      <a:headEnd/>
                      <a:tailEnd/>
                    </a:ln>
                  </pic:spPr>
                </pic:pic>
              </a:graphicData>
            </a:graphic>
          </wp:inline>
        </w:drawing>
      </w:r>
    </w:p>
    <w:p w:rsidR="004651DC" w:rsidRPr="00B6647E" w:rsidRDefault="00053232" w:rsidP="003E706B">
      <w:pPr>
        <w:spacing w:line="240" w:lineRule="auto"/>
        <w:jc w:val="both"/>
        <w:rPr>
          <w:rFonts w:ascii="Arial" w:hAnsi="Arial" w:cs="Arial"/>
          <w:sz w:val="20"/>
          <w:szCs w:val="20"/>
        </w:rPr>
      </w:pPr>
      <w:r w:rsidRPr="00B6647E">
        <w:rPr>
          <w:rFonts w:ascii="Arial" w:hAnsi="Arial" w:cs="Arial"/>
          <w:sz w:val="20"/>
          <w:szCs w:val="20"/>
          <w:lang w:eastAsia="fr-FR"/>
        </w:rPr>
        <w:t>Le sorgho en culture pure a été estimé dans dix provinces sur</w:t>
      </w:r>
      <w:r w:rsidR="004651DC" w:rsidRPr="00B6647E">
        <w:rPr>
          <w:rFonts w:ascii="Arial" w:hAnsi="Arial" w:cs="Arial"/>
          <w:sz w:val="20"/>
          <w:szCs w:val="20"/>
          <w:lang w:eastAsia="fr-FR"/>
        </w:rPr>
        <w:t xml:space="preserve"> seize au cours de la saison C avec des rendement</w:t>
      </w:r>
      <w:r w:rsidR="00204369">
        <w:rPr>
          <w:rFonts w:ascii="Arial" w:hAnsi="Arial" w:cs="Arial"/>
          <w:sz w:val="20"/>
          <w:szCs w:val="20"/>
          <w:lang w:eastAsia="fr-FR"/>
        </w:rPr>
        <w:t>s</w:t>
      </w:r>
      <w:r w:rsidR="004651DC" w:rsidRPr="00B6647E">
        <w:rPr>
          <w:rFonts w:ascii="Arial" w:hAnsi="Arial" w:cs="Arial"/>
          <w:sz w:val="20"/>
          <w:szCs w:val="20"/>
          <w:lang w:eastAsia="fr-FR"/>
        </w:rPr>
        <w:t xml:space="preserve"> allant de 636 kg/ha (Ruyigi) à 1.000 kg/ha (Cibitoke, Karuzi, Muramvya, Ngozi et Rutana) </w:t>
      </w:r>
      <w:r w:rsidR="004651DC" w:rsidRPr="00B6647E">
        <w:rPr>
          <w:rFonts w:ascii="Arial" w:hAnsi="Arial" w:cs="Arial"/>
          <w:sz w:val="20"/>
          <w:szCs w:val="20"/>
          <w:lang w:eastAsia="fr-FR"/>
        </w:rPr>
        <w:lastRenderedPageBreak/>
        <w:t xml:space="preserve">et </w:t>
      </w:r>
      <w:r w:rsidRPr="00B6647E">
        <w:rPr>
          <w:rFonts w:ascii="Arial" w:hAnsi="Arial" w:cs="Arial"/>
          <w:sz w:val="20"/>
          <w:szCs w:val="20"/>
          <w:lang w:eastAsia="fr-FR"/>
        </w:rPr>
        <w:t xml:space="preserve">dans </w:t>
      </w:r>
      <w:r w:rsidR="001F6A01" w:rsidRPr="00B6647E">
        <w:rPr>
          <w:rFonts w:ascii="Arial" w:hAnsi="Arial" w:cs="Arial"/>
          <w:sz w:val="20"/>
          <w:szCs w:val="20"/>
          <w:lang w:eastAsia="fr-FR"/>
        </w:rPr>
        <w:t>quatre</w:t>
      </w:r>
      <w:r w:rsidRPr="00B6647E">
        <w:rPr>
          <w:rStyle w:val="Appelnotedebasdep"/>
          <w:rFonts w:ascii="Arial" w:hAnsi="Arial" w:cs="Arial"/>
          <w:sz w:val="20"/>
          <w:szCs w:val="20"/>
          <w:lang w:eastAsia="fr-FR"/>
        </w:rPr>
        <w:footnoteReference w:id="37"/>
      </w:r>
      <w:r w:rsidRPr="00B6647E">
        <w:rPr>
          <w:rFonts w:ascii="Arial" w:hAnsi="Arial" w:cs="Arial"/>
          <w:sz w:val="20"/>
          <w:szCs w:val="20"/>
          <w:lang w:eastAsia="fr-FR"/>
        </w:rPr>
        <w:t xml:space="preserve"> des provinces en saison A</w:t>
      </w:r>
      <w:r w:rsidR="004651DC" w:rsidRPr="00B6647E">
        <w:rPr>
          <w:rFonts w:ascii="Arial" w:hAnsi="Arial" w:cs="Arial"/>
          <w:sz w:val="20"/>
          <w:szCs w:val="20"/>
          <w:lang w:eastAsia="fr-FR"/>
        </w:rPr>
        <w:t xml:space="preserve"> (200 kg/ha à Karuzi et 1</w:t>
      </w:r>
      <w:r w:rsidR="001F6A01" w:rsidRPr="00B6647E">
        <w:rPr>
          <w:rFonts w:ascii="Arial" w:hAnsi="Arial" w:cs="Arial"/>
          <w:sz w:val="20"/>
          <w:szCs w:val="20"/>
          <w:lang w:eastAsia="fr-FR"/>
        </w:rPr>
        <w:t>.</w:t>
      </w:r>
      <w:r w:rsidR="004651DC" w:rsidRPr="00B6647E">
        <w:rPr>
          <w:rFonts w:ascii="Arial" w:hAnsi="Arial" w:cs="Arial"/>
          <w:sz w:val="20"/>
          <w:szCs w:val="20"/>
          <w:lang w:eastAsia="fr-FR"/>
        </w:rPr>
        <w:t>000 kg/ha à Makamba).</w:t>
      </w:r>
      <w:r w:rsidR="002E4BDB" w:rsidRPr="00B6647E">
        <w:rPr>
          <w:rFonts w:ascii="Arial" w:hAnsi="Arial" w:cs="Arial"/>
          <w:sz w:val="20"/>
          <w:szCs w:val="20"/>
          <w:lang w:eastAsia="fr-FR"/>
        </w:rPr>
        <w:t xml:space="preserve"> </w:t>
      </w:r>
      <w:r w:rsidR="004651DC" w:rsidRPr="00B6647E">
        <w:rPr>
          <w:rFonts w:ascii="Arial" w:hAnsi="Arial" w:cs="Arial"/>
          <w:sz w:val="20"/>
          <w:szCs w:val="20"/>
        </w:rPr>
        <w:t xml:space="preserve">Pendant la saison B La moitié des provinces qui enregistrent du sorgho en culture pure ont </w:t>
      </w:r>
      <w:r w:rsidR="00204369">
        <w:rPr>
          <w:rFonts w:ascii="Arial" w:hAnsi="Arial" w:cs="Arial"/>
          <w:sz w:val="20"/>
          <w:szCs w:val="20"/>
        </w:rPr>
        <w:t xml:space="preserve">moins </w:t>
      </w:r>
      <w:r w:rsidR="004651DC" w:rsidRPr="00B6647E">
        <w:rPr>
          <w:rFonts w:ascii="Arial" w:hAnsi="Arial" w:cs="Arial"/>
          <w:sz w:val="20"/>
          <w:szCs w:val="20"/>
        </w:rPr>
        <w:t>d’une tonne à l’hectare sauf Mwaro qui a une tonne à l’hectare. La province de Gitega a enregistré un rendement faible de 80kg/ha confirmant le caractère marginal de cette culture dans la province accentué probablement par le déficit hydrique constaté au cours de cette saison dans les communes de Makebuko et d’Itaba.</w:t>
      </w:r>
    </w:p>
    <w:p w:rsidR="00117630" w:rsidRPr="00B6647E" w:rsidRDefault="00117630" w:rsidP="003E706B">
      <w:pPr>
        <w:pStyle w:val="Lgende"/>
        <w:keepNext/>
        <w:jc w:val="both"/>
        <w:rPr>
          <w:rFonts w:ascii="Arial" w:hAnsi="Arial" w:cs="Arial"/>
        </w:rPr>
      </w:pPr>
      <w:r w:rsidRPr="00B6647E">
        <w:rPr>
          <w:rFonts w:ascii="Arial" w:hAnsi="Arial" w:cs="Arial"/>
        </w:rPr>
        <w:t xml:space="preserve">Tableau </w:t>
      </w:r>
      <w:r w:rsidR="002E6A15" w:rsidRPr="00B6647E">
        <w:rPr>
          <w:rFonts w:ascii="Arial" w:hAnsi="Arial" w:cs="Arial"/>
        </w:rPr>
        <w:t>6</w:t>
      </w:r>
      <w:r w:rsidR="00C53AAF">
        <w:rPr>
          <w:rFonts w:ascii="Arial" w:hAnsi="Arial" w:cs="Arial"/>
        </w:rPr>
        <w:t>9</w:t>
      </w:r>
      <w:r w:rsidR="002E6A15" w:rsidRPr="00B6647E">
        <w:rPr>
          <w:rFonts w:ascii="Arial" w:hAnsi="Arial" w:cs="Arial"/>
        </w:rPr>
        <w:t> :</w:t>
      </w:r>
      <w:r w:rsidRPr="00B6647E">
        <w:rPr>
          <w:rFonts w:ascii="Arial" w:hAnsi="Arial" w:cs="Arial"/>
        </w:rPr>
        <w:t xml:space="preserve"> </w:t>
      </w:r>
      <w:r w:rsidR="005400C7" w:rsidRPr="00B6647E">
        <w:rPr>
          <w:rFonts w:ascii="Arial" w:hAnsi="Arial" w:cs="Arial"/>
        </w:rPr>
        <w:t>Rendement du sorgho en culture pure</w:t>
      </w:r>
      <w:r w:rsidRPr="00B6647E">
        <w:rPr>
          <w:rFonts w:ascii="Arial" w:hAnsi="Arial" w:cs="Arial"/>
        </w:rPr>
        <w:t xml:space="preserve"> par province pendant les trois saisons</w:t>
      </w:r>
    </w:p>
    <w:p w:rsidR="00AB2E31" w:rsidRPr="00B6647E" w:rsidRDefault="00392FFE" w:rsidP="003E706B">
      <w:pPr>
        <w:spacing w:line="240" w:lineRule="auto"/>
        <w:rPr>
          <w:lang w:eastAsia="fr-FR"/>
        </w:rPr>
      </w:pPr>
      <w:r w:rsidRPr="00B6647E">
        <w:rPr>
          <w:noProof/>
          <w:lang w:val="fr-FR" w:eastAsia="fr-FR"/>
        </w:rPr>
        <w:drawing>
          <wp:inline distT="0" distB="0" distL="0" distR="0">
            <wp:extent cx="3305175" cy="3867150"/>
            <wp:effectExtent l="19050" t="0" r="9525" b="0"/>
            <wp:docPr id="37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7" cstate="print"/>
                    <a:srcRect/>
                    <a:stretch>
                      <a:fillRect/>
                    </a:stretch>
                  </pic:blipFill>
                  <pic:spPr bwMode="auto">
                    <a:xfrm>
                      <a:off x="0" y="0"/>
                      <a:ext cx="3305175" cy="3867150"/>
                    </a:xfrm>
                    <a:prstGeom prst="rect">
                      <a:avLst/>
                    </a:prstGeom>
                    <a:noFill/>
                    <a:ln w="9525">
                      <a:noFill/>
                      <a:miter lim="800000"/>
                      <a:headEnd/>
                      <a:tailEnd/>
                    </a:ln>
                  </pic:spPr>
                </pic:pic>
              </a:graphicData>
            </a:graphic>
          </wp:inline>
        </w:drawing>
      </w:r>
    </w:p>
    <w:p w:rsidR="001F6A01" w:rsidRPr="00B6647E" w:rsidRDefault="0023778A" w:rsidP="00125A22">
      <w:pPr>
        <w:pStyle w:val="Lgende"/>
        <w:spacing w:after="120"/>
        <w:jc w:val="both"/>
        <w:rPr>
          <w:rFonts w:ascii="Arial" w:hAnsi="Arial" w:cs="Arial"/>
          <w:b w:val="0"/>
        </w:rPr>
      </w:pPr>
      <w:r w:rsidRPr="00B6647E">
        <w:rPr>
          <w:rFonts w:ascii="Arial" w:hAnsi="Arial" w:cs="Arial"/>
          <w:b w:val="0"/>
        </w:rPr>
        <w:t>A</w:t>
      </w:r>
      <w:r w:rsidR="001F6A01" w:rsidRPr="00B6647E">
        <w:rPr>
          <w:rFonts w:ascii="Arial" w:hAnsi="Arial" w:cs="Arial"/>
          <w:b w:val="0"/>
          <w:color w:val="000000" w:themeColor="text1"/>
        </w:rPr>
        <w:t>ucun carré de rendement n’a pu être posé en saison A</w:t>
      </w:r>
      <w:r w:rsidRPr="00B6647E">
        <w:rPr>
          <w:rFonts w:ascii="Arial" w:hAnsi="Arial" w:cs="Arial"/>
          <w:b w:val="0"/>
          <w:color w:val="000000" w:themeColor="text1"/>
        </w:rPr>
        <w:t xml:space="preserve"> dans les parcelles de riz qui étaient pratiquement toutes inondées.</w:t>
      </w:r>
    </w:p>
    <w:p w:rsidR="001F6A01" w:rsidRPr="00B6647E" w:rsidRDefault="001F6A01" w:rsidP="00125A22">
      <w:pPr>
        <w:pStyle w:val="Lgende"/>
        <w:spacing w:after="120"/>
        <w:jc w:val="both"/>
        <w:rPr>
          <w:rFonts w:ascii="Arial" w:hAnsi="Arial" w:cs="Arial"/>
          <w:b w:val="0"/>
        </w:rPr>
      </w:pPr>
      <w:r w:rsidRPr="00B6647E">
        <w:rPr>
          <w:rFonts w:ascii="Arial" w:hAnsi="Arial" w:cs="Arial"/>
          <w:b w:val="0"/>
        </w:rPr>
        <w:t xml:space="preserve">Au cours de la saison B, le riz enregistre des rendements supérieurs à 5 tonnes à l’hectare à Bujumbura rural, Makamba et Rutana tandis que Cibitoke et Ngozi ont moins de 2 tonnes à l’hectare et trois provinces (Bururi, Muramvya et Mwaro) n’ont pratiquement pas cultivé du riz en culture pur. </w:t>
      </w:r>
    </w:p>
    <w:p w:rsidR="001F6A01" w:rsidRPr="00B6647E" w:rsidRDefault="001F6A01" w:rsidP="00125A22">
      <w:pPr>
        <w:spacing w:after="120" w:line="240" w:lineRule="auto"/>
        <w:jc w:val="both"/>
        <w:rPr>
          <w:rFonts w:ascii="Arial" w:hAnsi="Arial" w:cs="Arial"/>
          <w:sz w:val="20"/>
          <w:szCs w:val="20"/>
        </w:rPr>
      </w:pPr>
      <w:r w:rsidRPr="00B6647E">
        <w:rPr>
          <w:rFonts w:ascii="Arial" w:hAnsi="Arial" w:cs="Arial"/>
          <w:sz w:val="20"/>
          <w:szCs w:val="20"/>
        </w:rPr>
        <w:t>En saison C, le rendement de riz le plus élevé (5.000 kg/ha) a été estimé dans les provinces de Cibitoke et Ngozi. Il est inférieur à une tonne par hectare à Ruyigi (673 kg/ha) et sept provinces (Bururi, Kayanza, Makamba, Muramvya, Muyinga, Mwaro et Rutana) n’ont pas cultivé du riz.</w:t>
      </w:r>
    </w:p>
    <w:p w:rsidR="00117630" w:rsidRPr="00B6647E" w:rsidRDefault="002E6A15" w:rsidP="00712987">
      <w:pPr>
        <w:pStyle w:val="Lgende"/>
        <w:keepNext/>
        <w:jc w:val="both"/>
        <w:rPr>
          <w:rFonts w:ascii="Arial" w:hAnsi="Arial" w:cs="Arial"/>
        </w:rPr>
      </w:pPr>
      <w:r w:rsidRPr="00B6647E">
        <w:rPr>
          <w:rFonts w:ascii="Arial" w:hAnsi="Arial" w:cs="Arial"/>
        </w:rPr>
        <w:lastRenderedPageBreak/>
        <w:t xml:space="preserve">Tableau </w:t>
      </w:r>
      <w:r w:rsidR="00C53AAF">
        <w:rPr>
          <w:rFonts w:ascii="Arial" w:hAnsi="Arial" w:cs="Arial"/>
        </w:rPr>
        <w:t>70</w:t>
      </w:r>
      <w:r w:rsidRPr="00B6647E">
        <w:rPr>
          <w:rFonts w:ascii="Arial" w:hAnsi="Arial" w:cs="Arial"/>
        </w:rPr>
        <w:t> :</w:t>
      </w:r>
      <w:r w:rsidR="00117630" w:rsidRPr="00B6647E">
        <w:rPr>
          <w:rFonts w:ascii="Arial" w:hAnsi="Arial" w:cs="Arial"/>
        </w:rPr>
        <w:t xml:space="preserve"> </w:t>
      </w:r>
      <w:r w:rsidR="005400C7" w:rsidRPr="00B6647E">
        <w:rPr>
          <w:rFonts w:ascii="Arial" w:hAnsi="Arial" w:cs="Arial"/>
        </w:rPr>
        <w:t xml:space="preserve">Rendement </w:t>
      </w:r>
      <w:r w:rsidR="00117630" w:rsidRPr="00B6647E">
        <w:rPr>
          <w:rFonts w:ascii="Arial" w:hAnsi="Arial" w:cs="Arial"/>
        </w:rPr>
        <w:t>d</w:t>
      </w:r>
      <w:r w:rsidR="005400C7" w:rsidRPr="00B6647E">
        <w:rPr>
          <w:rFonts w:ascii="Arial" w:hAnsi="Arial" w:cs="Arial"/>
        </w:rPr>
        <w:t>u</w:t>
      </w:r>
      <w:r w:rsidR="00117630" w:rsidRPr="00B6647E">
        <w:rPr>
          <w:rFonts w:ascii="Arial" w:hAnsi="Arial" w:cs="Arial"/>
        </w:rPr>
        <w:t xml:space="preserve"> riz </w:t>
      </w:r>
      <w:r w:rsidR="005400C7" w:rsidRPr="00B6647E">
        <w:rPr>
          <w:rFonts w:ascii="Arial" w:hAnsi="Arial" w:cs="Arial"/>
        </w:rPr>
        <w:t xml:space="preserve">en culture pure </w:t>
      </w:r>
      <w:r w:rsidR="00117630" w:rsidRPr="00B6647E">
        <w:rPr>
          <w:rFonts w:ascii="Arial" w:hAnsi="Arial" w:cs="Arial"/>
        </w:rPr>
        <w:t>par province pendant les trois saisons</w:t>
      </w:r>
    </w:p>
    <w:p w:rsidR="00AB2E31" w:rsidRPr="00B6647E" w:rsidRDefault="00392FFE" w:rsidP="00712987">
      <w:pPr>
        <w:spacing w:after="0" w:line="240" w:lineRule="auto"/>
        <w:rPr>
          <w:lang w:eastAsia="fr-FR"/>
        </w:rPr>
      </w:pPr>
      <w:r w:rsidRPr="00B6647E">
        <w:rPr>
          <w:noProof/>
          <w:lang w:val="fr-FR" w:eastAsia="fr-FR"/>
        </w:rPr>
        <w:drawing>
          <wp:inline distT="0" distB="0" distL="0" distR="0">
            <wp:extent cx="3305175" cy="3867150"/>
            <wp:effectExtent l="19050" t="0" r="9525" b="0"/>
            <wp:docPr id="37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8" cstate="print"/>
                    <a:srcRect/>
                    <a:stretch>
                      <a:fillRect/>
                    </a:stretch>
                  </pic:blipFill>
                  <pic:spPr bwMode="auto">
                    <a:xfrm>
                      <a:off x="0" y="0"/>
                      <a:ext cx="3305175" cy="3867150"/>
                    </a:xfrm>
                    <a:prstGeom prst="rect">
                      <a:avLst/>
                    </a:prstGeom>
                    <a:noFill/>
                    <a:ln w="9525">
                      <a:noFill/>
                      <a:miter lim="800000"/>
                      <a:headEnd/>
                      <a:tailEnd/>
                    </a:ln>
                  </pic:spPr>
                </pic:pic>
              </a:graphicData>
            </a:graphic>
          </wp:inline>
        </w:drawing>
      </w:r>
    </w:p>
    <w:p w:rsidR="007D76AE" w:rsidRPr="00B6647E" w:rsidRDefault="007D76AE" w:rsidP="00CA3139">
      <w:pPr>
        <w:spacing w:before="60" w:after="60" w:line="240" w:lineRule="auto"/>
        <w:jc w:val="both"/>
        <w:rPr>
          <w:rFonts w:ascii="Arial" w:hAnsi="Arial" w:cs="Arial"/>
          <w:sz w:val="20"/>
          <w:szCs w:val="20"/>
        </w:rPr>
      </w:pPr>
      <w:r w:rsidRPr="00B6647E">
        <w:rPr>
          <w:rFonts w:ascii="Arial" w:hAnsi="Arial" w:cs="Arial"/>
          <w:sz w:val="20"/>
          <w:szCs w:val="20"/>
        </w:rPr>
        <w:t>La province de Mwaro a un rendement moyen d’</w:t>
      </w:r>
      <w:r w:rsidR="003B42B8" w:rsidRPr="00B6647E">
        <w:rPr>
          <w:rFonts w:ascii="Arial" w:hAnsi="Arial" w:cs="Arial"/>
          <w:sz w:val="20"/>
          <w:szCs w:val="20"/>
        </w:rPr>
        <w:t>éleusine (600 kg/ha) infé</w:t>
      </w:r>
      <w:r w:rsidRPr="00B6647E">
        <w:rPr>
          <w:rFonts w:ascii="Arial" w:hAnsi="Arial" w:cs="Arial"/>
          <w:sz w:val="20"/>
          <w:szCs w:val="20"/>
        </w:rPr>
        <w:t>r</w:t>
      </w:r>
      <w:r w:rsidR="003B42B8" w:rsidRPr="00B6647E">
        <w:rPr>
          <w:rFonts w:ascii="Arial" w:hAnsi="Arial" w:cs="Arial"/>
          <w:sz w:val="20"/>
          <w:szCs w:val="20"/>
        </w:rPr>
        <w:t>ie</w:t>
      </w:r>
      <w:r w:rsidRPr="00B6647E">
        <w:rPr>
          <w:rFonts w:ascii="Arial" w:hAnsi="Arial" w:cs="Arial"/>
          <w:sz w:val="20"/>
          <w:szCs w:val="20"/>
        </w:rPr>
        <w:t>u</w:t>
      </w:r>
      <w:r w:rsidR="003B42B8" w:rsidRPr="00B6647E">
        <w:rPr>
          <w:rFonts w:ascii="Arial" w:hAnsi="Arial" w:cs="Arial"/>
          <w:sz w:val="20"/>
          <w:szCs w:val="20"/>
        </w:rPr>
        <w:t>r</w:t>
      </w:r>
      <w:r w:rsidRPr="00B6647E">
        <w:rPr>
          <w:rFonts w:ascii="Arial" w:hAnsi="Arial" w:cs="Arial"/>
          <w:sz w:val="20"/>
          <w:szCs w:val="20"/>
        </w:rPr>
        <w:t xml:space="preserve"> à la moyenne national de la saison A (740 kg/ha)</w:t>
      </w:r>
      <w:r w:rsidR="003B42B8" w:rsidRPr="00B6647E">
        <w:rPr>
          <w:rFonts w:ascii="Arial" w:hAnsi="Arial" w:cs="Arial"/>
          <w:sz w:val="20"/>
          <w:szCs w:val="20"/>
        </w:rPr>
        <w:t xml:space="preserve">. Parmi les provinces ayant cultivé de l’éleusine en pur au cours de la saison B, </w:t>
      </w:r>
      <w:r w:rsidR="00450D5D" w:rsidRPr="00B6647E">
        <w:rPr>
          <w:rFonts w:ascii="Arial" w:hAnsi="Arial" w:cs="Arial"/>
          <w:sz w:val="20"/>
          <w:szCs w:val="20"/>
        </w:rPr>
        <w:t>les provinces</w:t>
      </w:r>
      <w:r w:rsidR="003B42B8" w:rsidRPr="00B6647E">
        <w:rPr>
          <w:rFonts w:ascii="Arial" w:hAnsi="Arial" w:cs="Arial"/>
          <w:sz w:val="20"/>
          <w:szCs w:val="20"/>
        </w:rPr>
        <w:t xml:space="preserve"> </w:t>
      </w:r>
      <w:r w:rsidR="00450D5D" w:rsidRPr="00B6647E">
        <w:rPr>
          <w:rFonts w:ascii="Arial" w:hAnsi="Arial" w:cs="Arial"/>
          <w:sz w:val="20"/>
          <w:szCs w:val="20"/>
        </w:rPr>
        <w:t xml:space="preserve">de </w:t>
      </w:r>
      <w:r w:rsidR="003B42B8" w:rsidRPr="00B6647E">
        <w:rPr>
          <w:rFonts w:ascii="Arial" w:hAnsi="Arial" w:cs="Arial"/>
          <w:sz w:val="20"/>
          <w:szCs w:val="20"/>
        </w:rPr>
        <w:t xml:space="preserve">Karuzi (150 kg/ha) et Kayanza (400 kg/ha) ont </w:t>
      </w:r>
      <w:r w:rsidRPr="00B6647E">
        <w:rPr>
          <w:rFonts w:ascii="Arial" w:hAnsi="Arial" w:cs="Arial"/>
          <w:sz w:val="20"/>
          <w:szCs w:val="20"/>
        </w:rPr>
        <w:t>rendement</w:t>
      </w:r>
      <w:r w:rsidR="003B42B8" w:rsidRPr="00B6647E">
        <w:rPr>
          <w:rFonts w:ascii="Arial" w:hAnsi="Arial" w:cs="Arial"/>
          <w:sz w:val="20"/>
          <w:szCs w:val="20"/>
        </w:rPr>
        <w:t>s</w:t>
      </w:r>
      <w:r w:rsidRPr="00B6647E">
        <w:rPr>
          <w:rFonts w:ascii="Arial" w:hAnsi="Arial" w:cs="Arial"/>
          <w:sz w:val="20"/>
          <w:szCs w:val="20"/>
        </w:rPr>
        <w:t xml:space="preserve"> estimé</w:t>
      </w:r>
      <w:r w:rsidR="003B42B8" w:rsidRPr="00B6647E">
        <w:rPr>
          <w:rFonts w:ascii="Arial" w:hAnsi="Arial" w:cs="Arial"/>
          <w:sz w:val="20"/>
          <w:szCs w:val="20"/>
        </w:rPr>
        <w:t>s inférieurs à la moyenne nationale (555 kg/ha). En saison C, il y a quatre provinces qui ont cultivé de l’éleusine avec une tonne à l’hectare pour Cankuzo, Kayanza et Rutana et 693 kg/ha pour Muyinga</w:t>
      </w:r>
      <w:r w:rsidRPr="00B6647E">
        <w:rPr>
          <w:rFonts w:ascii="Arial" w:hAnsi="Arial" w:cs="Arial"/>
          <w:sz w:val="20"/>
          <w:szCs w:val="20"/>
        </w:rPr>
        <w:t xml:space="preserve">. </w:t>
      </w:r>
    </w:p>
    <w:p w:rsidR="00117630" w:rsidRPr="00B6647E" w:rsidRDefault="002E6A15" w:rsidP="00CA3139">
      <w:pPr>
        <w:pStyle w:val="Lgende"/>
        <w:keepNext/>
        <w:jc w:val="both"/>
        <w:rPr>
          <w:rFonts w:ascii="Arial" w:hAnsi="Arial" w:cs="Arial"/>
        </w:rPr>
      </w:pPr>
      <w:r w:rsidRPr="00B6647E">
        <w:rPr>
          <w:rFonts w:ascii="Arial" w:hAnsi="Arial" w:cs="Arial"/>
        </w:rPr>
        <w:t xml:space="preserve">Tableau </w:t>
      </w:r>
      <w:r w:rsidR="00C53AAF">
        <w:rPr>
          <w:rFonts w:ascii="Arial" w:hAnsi="Arial" w:cs="Arial"/>
        </w:rPr>
        <w:t>71</w:t>
      </w:r>
      <w:r w:rsidRPr="00B6647E">
        <w:rPr>
          <w:rFonts w:ascii="Arial" w:hAnsi="Arial" w:cs="Arial"/>
        </w:rPr>
        <w:t> :</w:t>
      </w:r>
      <w:r w:rsidR="00117630" w:rsidRPr="00B6647E">
        <w:rPr>
          <w:rFonts w:ascii="Arial" w:hAnsi="Arial" w:cs="Arial"/>
        </w:rPr>
        <w:t xml:space="preserve"> </w:t>
      </w:r>
      <w:r w:rsidR="005400C7" w:rsidRPr="00B6647E">
        <w:rPr>
          <w:rFonts w:ascii="Arial" w:hAnsi="Arial" w:cs="Arial"/>
        </w:rPr>
        <w:t xml:space="preserve">Rendement </w:t>
      </w:r>
      <w:r w:rsidR="00117630" w:rsidRPr="00B6647E">
        <w:rPr>
          <w:rFonts w:ascii="Arial" w:hAnsi="Arial" w:cs="Arial"/>
        </w:rPr>
        <w:t>d</w:t>
      </w:r>
      <w:r w:rsidR="005400C7" w:rsidRPr="00B6647E">
        <w:rPr>
          <w:rFonts w:ascii="Arial" w:hAnsi="Arial" w:cs="Arial"/>
        </w:rPr>
        <w:t>e l</w:t>
      </w:r>
      <w:r w:rsidR="00117630" w:rsidRPr="00B6647E">
        <w:rPr>
          <w:rFonts w:ascii="Arial" w:hAnsi="Arial" w:cs="Arial"/>
        </w:rPr>
        <w:t xml:space="preserve">’éleusine </w:t>
      </w:r>
      <w:r w:rsidR="005400C7" w:rsidRPr="00B6647E">
        <w:rPr>
          <w:rFonts w:ascii="Arial" w:hAnsi="Arial" w:cs="Arial"/>
        </w:rPr>
        <w:t xml:space="preserve">en culture pure </w:t>
      </w:r>
      <w:r w:rsidR="00117630" w:rsidRPr="00B6647E">
        <w:rPr>
          <w:rFonts w:ascii="Arial" w:hAnsi="Arial" w:cs="Arial"/>
        </w:rPr>
        <w:t>par province pendant les trois saisons</w:t>
      </w:r>
    </w:p>
    <w:p w:rsidR="00AB2E31" w:rsidRPr="00B6647E" w:rsidRDefault="00392FFE" w:rsidP="00CA3139">
      <w:pPr>
        <w:spacing w:after="0" w:line="240" w:lineRule="auto"/>
        <w:rPr>
          <w:lang w:eastAsia="fr-FR"/>
        </w:rPr>
      </w:pPr>
      <w:r w:rsidRPr="00B6647E">
        <w:rPr>
          <w:noProof/>
          <w:lang w:val="fr-FR" w:eastAsia="fr-FR"/>
        </w:rPr>
        <w:drawing>
          <wp:inline distT="0" distB="0" distL="0" distR="0">
            <wp:extent cx="3305175" cy="3867150"/>
            <wp:effectExtent l="19050" t="0" r="9525" b="0"/>
            <wp:docPr id="378"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9" cstate="print"/>
                    <a:srcRect/>
                    <a:stretch>
                      <a:fillRect/>
                    </a:stretch>
                  </pic:blipFill>
                  <pic:spPr bwMode="auto">
                    <a:xfrm>
                      <a:off x="0" y="0"/>
                      <a:ext cx="3305175" cy="3867150"/>
                    </a:xfrm>
                    <a:prstGeom prst="rect">
                      <a:avLst/>
                    </a:prstGeom>
                    <a:noFill/>
                    <a:ln w="9525">
                      <a:noFill/>
                      <a:miter lim="800000"/>
                      <a:headEnd/>
                      <a:tailEnd/>
                    </a:ln>
                  </pic:spPr>
                </pic:pic>
              </a:graphicData>
            </a:graphic>
          </wp:inline>
        </w:drawing>
      </w:r>
    </w:p>
    <w:p w:rsidR="00AB2E31" w:rsidRPr="00B6647E" w:rsidRDefault="003E706B" w:rsidP="003E706B">
      <w:pPr>
        <w:spacing w:line="240" w:lineRule="auto"/>
        <w:jc w:val="both"/>
        <w:rPr>
          <w:rFonts w:ascii="Arial" w:hAnsi="Arial" w:cs="Arial"/>
          <w:sz w:val="20"/>
          <w:szCs w:val="20"/>
          <w:lang w:eastAsia="fr-FR"/>
        </w:rPr>
      </w:pPr>
      <w:r w:rsidRPr="00B6647E">
        <w:rPr>
          <w:rFonts w:ascii="Arial" w:hAnsi="Arial" w:cs="Arial"/>
          <w:sz w:val="20"/>
          <w:szCs w:val="20"/>
          <w:lang w:eastAsia="fr-FR"/>
        </w:rPr>
        <w:lastRenderedPageBreak/>
        <w:t>On note qu’il y a quatre provinces qui ont cultivé du blé en pur pendant la saison A, trois provinces au cours de la saison B et sept provinces pendant la saison C avec des rendement variant de 707 kg/ha (Kayanza) à une tonne à l’hectare dans les provinces de Bujumbura rural et Rutana.</w:t>
      </w:r>
    </w:p>
    <w:p w:rsidR="00117630" w:rsidRPr="00B6647E" w:rsidRDefault="00117630" w:rsidP="003E706B">
      <w:pPr>
        <w:pStyle w:val="Lgende"/>
        <w:keepNext/>
        <w:jc w:val="both"/>
        <w:rPr>
          <w:rFonts w:ascii="Arial" w:hAnsi="Arial" w:cs="Arial"/>
        </w:rPr>
      </w:pPr>
      <w:r w:rsidRPr="00B6647E">
        <w:rPr>
          <w:rFonts w:ascii="Arial" w:hAnsi="Arial" w:cs="Arial"/>
        </w:rPr>
        <w:t xml:space="preserve">Tableau </w:t>
      </w:r>
      <w:r w:rsidR="00C53AAF">
        <w:rPr>
          <w:rFonts w:ascii="Arial" w:hAnsi="Arial" w:cs="Arial"/>
        </w:rPr>
        <w:t>72</w:t>
      </w:r>
      <w:r w:rsidR="002E6A15" w:rsidRPr="00B6647E">
        <w:rPr>
          <w:rFonts w:ascii="Arial" w:hAnsi="Arial" w:cs="Arial"/>
        </w:rPr>
        <w:t> :</w:t>
      </w:r>
      <w:r w:rsidRPr="00B6647E">
        <w:rPr>
          <w:rFonts w:ascii="Arial" w:hAnsi="Arial" w:cs="Arial"/>
        </w:rPr>
        <w:t xml:space="preserve"> </w:t>
      </w:r>
      <w:r w:rsidR="005400C7" w:rsidRPr="00B6647E">
        <w:rPr>
          <w:rFonts w:ascii="Arial" w:hAnsi="Arial" w:cs="Arial"/>
        </w:rPr>
        <w:t xml:space="preserve">Rendement du </w:t>
      </w:r>
      <w:r w:rsidRPr="00B6647E">
        <w:rPr>
          <w:rFonts w:ascii="Arial" w:hAnsi="Arial" w:cs="Arial"/>
        </w:rPr>
        <w:t xml:space="preserve">blé </w:t>
      </w:r>
      <w:r w:rsidR="005400C7" w:rsidRPr="00B6647E">
        <w:rPr>
          <w:rFonts w:ascii="Arial" w:hAnsi="Arial" w:cs="Arial"/>
        </w:rPr>
        <w:t xml:space="preserve">en culture pure </w:t>
      </w:r>
      <w:r w:rsidRPr="00B6647E">
        <w:rPr>
          <w:rFonts w:ascii="Arial" w:hAnsi="Arial" w:cs="Arial"/>
        </w:rPr>
        <w:t>par province pendant les trois saisons</w:t>
      </w:r>
    </w:p>
    <w:p w:rsidR="00117630" w:rsidRPr="00B6647E" w:rsidRDefault="00392FFE" w:rsidP="003E706B">
      <w:pPr>
        <w:pStyle w:val="Paragraphedeliste"/>
        <w:spacing w:after="0" w:line="240" w:lineRule="auto"/>
        <w:ind w:left="0"/>
        <w:contextualSpacing w:val="0"/>
        <w:rPr>
          <w:rFonts w:ascii="Arial" w:hAnsi="Arial" w:cs="Arial"/>
          <w:sz w:val="20"/>
          <w:szCs w:val="20"/>
        </w:rPr>
      </w:pPr>
      <w:r w:rsidRPr="00B6647E">
        <w:rPr>
          <w:noProof/>
          <w:szCs w:val="20"/>
          <w:lang w:val="fr-FR" w:eastAsia="fr-FR"/>
        </w:rPr>
        <w:drawing>
          <wp:inline distT="0" distB="0" distL="0" distR="0">
            <wp:extent cx="3305175" cy="3867150"/>
            <wp:effectExtent l="19050" t="0" r="9525" b="0"/>
            <wp:docPr id="37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0" cstate="print"/>
                    <a:srcRect/>
                    <a:stretch>
                      <a:fillRect/>
                    </a:stretch>
                  </pic:blipFill>
                  <pic:spPr bwMode="auto">
                    <a:xfrm>
                      <a:off x="0" y="0"/>
                      <a:ext cx="3305175" cy="3867150"/>
                    </a:xfrm>
                    <a:prstGeom prst="rect">
                      <a:avLst/>
                    </a:prstGeom>
                    <a:noFill/>
                    <a:ln w="9525">
                      <a:noFill/>
                      <a:miter lim="800000"/>
                      <a:headEnd/>
                      <a:tailEnd/>
                    </a:ln>
                  </pic:spPr>
                </pic:pic>
              </a:graphicData>
            </a:graphic>
          </wp:inline>
        </w:drawing>
      </w:r>
    </w:p>
    <w:p w:rsidR="000552AE" w:rsidRPr="00B6647E" w:rsidRDefault="000552AE" w:rsidP="00AD2B33">
      <w:pPr>
        <w:pStyle w:val="Titre3"/>
        <w:keepNext w:val="0"/>
        <w:numPr>
          <w:ilvl w:val="2"/>
          <w:numId w:val="1"/>
        </w:numPr>
        <w:spacing w:before="200" w:after="120"/>
        <w:ind w:left="720"/>
        <w:rPr>
          <w:rFonts w:cs="Arial"/>
          <w:szCs w:val="20"/>
        </w:rPr>
      </w:pPr>
      <w:bookmarkStart w:id="231" w:name="_Toc354313878"/>
      <w:r w:rsidRPr="00B6647E">
        <w:rPr>
          <w:rFonts w:cs="Arial"/>
          <w:szCs w:val="20"/>
        </w:rPr>
        <w:t>Productions</w:t>
      </w:r>
      <w:r w:rsidR="00A559F2" w:rsidRPr="00B6647E">
        <w:rPr>
          <w:rFonts w:cs="Arial"/>
          <w:szCs w:val="20"/>
        </w:rPr>
        <w:t xml:space="preserve"> des céréales</w:t>
      </w:r>
      <w:bookmarkEnd w:id="231"/>
    </w:p>
    <w:p w:rsidR="00A559F2" w:rsidRPr="00B6647E" w:rsidRDefault="00A559F2" w:rsidP="00AD2B33">
      <w:pPr>
        <w:pStyle w:val="Paragraphedeliste"/>
        <w:spacing w:before="200" w:after="120" w:line="240" w:lineRule="auto"/>
        <w:ind w:left="0"/>
        <w:contextualSpacing w:val="0"/>
        <w:rPr>
          <w:rFonts w:ascii="Arial" w:hAnsi="Arial" w:cs="Arial"/>
          <w:b/>
          <w:sz w:val="20"/>
          <w:szCs w:val="20"/>
        </w:rPr>
      </w:pPr>
      <w:r w:rsidRPr="00B6647E">
        <w:rPr>
          <w:rFonts w:ascii="Arial" w:hAnsi="Arial" w:cs="Arial"/>
          <w:b/>
          <w:sz w:val="20"/>
          <w:szCs w:val="20"/>
        </w:rPr>
        <w:t>a) Productions des céréales dans les régions naturelles</w:t>
      </w:r>
    </w:p>
    <w:p w:rsidR="00485722" w:rsidRPr="00B6647E" w:rsidRDefault="00485722" w:rsidP="00554EE0">
      <w:pPr>
        <w:keepNext/>
        <w:spacing w:after="120" w:line="240" w:lineRule="auto"/>
        <w:jc w:val="both"/>
        <w:rPr>
          <w:rFonts w:ascii="Arial" w:hAnsi="Arial" w:cs="Arial"/>
          <w:b/>
          <w:sz w:val="20"/>
          <w:szCs w:val="20"/>
        </w:rPr>
      </w:pPr>
      <w:r w:rsidRPr="00B6647E">
        <w:rPr>
          <w:rFonts w:ascii="Arial" w:hAnsi="Arial" w:cs="Arial"/>
          <w:b/>
          <w:sz w:val="20"/>
          <w:szCs w:val="20"/>
        </w:rPr>
        <w:t xml:space="preserve">Graphique </w:t>
      </w:r>
      <w:r w:rsidR="006F5A28" w:rsidRPr="00B6647E">
        <w:rPr>
          <w:rFonts w:ascii="Arial" w:hAnsi="Arial" w:cs="Arial"/>
          <w:b/>
          <w:sz w:val="20"/>
          <w:szCs w:val="20"/>
        </w:rPr>
        <w:t>1</w:t>
      </w:r>
      <w:r w:rsidR="007F30DD">
        <w:rPr>
          <w:rFonts w:ascii="Arial" w:hAnsi="Arial" w:cs="Arial"/>
          <w:b/>
          <w:sz w:val="20"/>
          <w:szCs w:val="20"/>
        </w:rPr>
        <w:t>4</w:t>
      </w:r>
      <w:r w:rsidRPr="00B6647E">
        <w:rPr>
          <w:rFonts w:ascii="Arial" w:hAnsi="Arial" w:cs="Arial"/>
          <w:b/>
          <w:sz w:val="20"/>
          <w:szCs w:val="20"/>
        </w:rPr>
        <w:t> </w:t>
      </w:r>
      <w:r w:rsidR="00341EEC" w:rsidRPr="00B6647E">
        <w:rPr>
          <w:rFonts w:ascii="Arial" w:hAnsi="Arial" w:cs="Arial"/>
          <w:b/>
          <w:sz w:val="20"/>
          <w:szCs w:val="20"/>
        </w:rPr>
        <w:t>: Production</w:t>
      </w:r>
      <w:r w:rsidRPr="00B6647E">
        <w:rPr>
          <w:rFonts w:ascii="Arial" w:hAnsi="Arial" w:cs="Arial"/>
          <w:b/>
          <w:sz w:val="20"/>
          <w:szCs w:val="20"/>
        </w:rPr>
        <w:t xml:space="preserve"> totale de céréales </w:t>
      </w:r>
      <w:r w:rsidR="00341EEC" w:rsidRPr="00B6647E">
        <w:rPr>
          <w:rFonts w:ascii="Arial" w:hAnsi="Arial" w:cs="Arial"/>
          <w:b/>
          <w:sz w:val="20"/>
          <w:szCs w:val="20"/>
        </w:rPr>
        <w:t>de la campagne agricole et par saison (tonnes)</w:t>
      </w:r>
    </w:p>
    <w:p w:rsidR="00485722" w:rsidRPr="00B6647E" w:rsidRDefault="00341EEC" w:rsidP="00554EE0">
      <w:pPr>
        <w:pStyle w:val="Paragraphedeliste"/>
        <w:keepNext/>
        <w:spacing w:after="0" w:line="240" w:lineRule="auto"/>
        <w:ind w:left="0"/>
        <w:jc w:val="both"/>
        <w:rPr>
          <w:rFonts w:ascii="Arial" w:hAnsi="Arial" w:cs="Arial"/>
          <w:sz w:val="20"/>
          <w:szCs w:val="20"/>
        </w:rPr>
      </w:pPr>
      <w:r w:rsidRPr="00B6647E">
        <w:rPr>
          <w:noProof/>
          <w:szCs w:val="20"/>
          <w:lang w:val="fr-FR" w:eastAsia="fr-FR"/>
        </w:rPr>
        <w:drawing>
          <wp:inline distT="0" distB="0" distL="0" distR="0">
            <wp:extent cx="4563583" cy="2746478"/>
            <wp:effectExtent l="19050" t="0" r="8417" b="0"/>
            <wp:docPr id="5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print"/>
                    <a:srcRect/>
                    <a:stretch>
                      <a:fillRect/>
                    </a:stretch>
                  </pic:blipFill>
                  <pic:spPr bwMode="auto">
                    <a:xfrm>
                      <a:off x="0" y="0"/>
                      <a:ext cx="4572288" cy="2751717"/>
                    </a:xfrm>
                    <a:prstGeom prst="rect">
                      <a:avLst/>
                    </a:prstGeom>
                    <a:noFill/>
                    <a:ln w="9525">
                      <a:noFill/>
                      <a:miter lim="800000"/>
                      <a:headEnd/>
                      <a:tailEnd/>
                    </a:ln>
                  </pic:spPr>
                </pic:pic>
              </a:graphicData>
            </a:graphic>
          </wp:inline>
        </w:drawing>
      </w:r>
    </w:p>
    <w:p w:rsidR="00CA3139" w:rsidRPr="00B6647E" w:rsidRDefault="00CA3139" w:rsidP="002E4BDB">
      <w:pPr>
        <w:spacing w:after="120" w:line="240" w:lineRule="auto"/>
        <w:jc w:val="both"/>
        <w:rPr>
          <w:rFonts w:ascii="Arial" w:hAnsi="Arial" w:cs="Arial"/>
          <w:sz w:val="20"/>
          <w:szCs w:val="20"/>
        </w:rPr>
      </w:pPr>
    </w:p>
    <w:p w:rsidR="002E4BDB" w:rsidRPr="00B6647E" w:rsidRDefault="002E4BDB" w:rsidP="002E4BDB">
      <w:pPr>
        <w:spacing w:after="120" w:line="240" w:lineRule="auto"/>
        <w:jc w:val="both"/>
        <w:rPr>
          <w:rFonts w:ascii="Arial" w:hAnsi="Arial" w:cs="Arial"/>
          <w:sz w:val="20"/>
          <w:szCs w:val="20"/>
        </w:rPr>
      </w:pPr>
      <w:r w:rsidRPr="00B6647E">
        <w:rPr>
          <w:rFonts w:ascii="Arial" w:hAnsi="Arial" w:cs="Arial"/>
          <w:sz w:val="20"/>
          <w:szCs w:val="20"/>
        </w:rPr>
        <w:t xml:space="preserve">La production totale des céréales de la campagne agricole 2011-2012 a été estimée à 246.348 tonnes. Cette production est composée de 140.536 tonnes de maïs (57,1%), 64.620 tonnes de riz </w:t>
      </w:r>
      <w:r w:rsidRPr="00B6647E">
        <w:rPr>
          <w:rFonts w:ascii="Arial" w:hAnsi="Arial" w:cs="Arial"/>
          <w:sz w:val="20"/>
          <w:szCs w:val="20"/>
        </w:rPr>
        <w:lastRenderedPageBreak/>
        <w:t>(26,2%), 31.527 tonnes de sorgho (12,8%), 5.469 tonnes d’éleusine (2,2%) et de 4.196 tonnes de blé (1,7%).</w:t>
      </w:r>
    </w:p>
    <w:p w:rsidR="002E4BDB" w:rsidRPr="00B6647E" w:rsidRDefault="002E4BDB" w:rsidP="002E4BDB">
      <w:pPr>
        <w:spacing w:after="120" w:line="240" w:lineRule="auto"/>
        <w:jc w:val="both"/>
        <w:rPr>
          <w:rFonts w:ascii="Arial" w:hAnsi="Arial" w:cs="Arial"/>
          <w:sz w:val="20"/>
          <w:szCs w:val="20"/>
        </w:rPr>
      </w:pPr>
      <w:r w:rsidRPr="00B6647E">
        <w:rPr>
          <w:rFonts w:ascii="Arial" w:hAnsi="Arial" w:cs="Arial"/>
          <w:sz w:val="20"/>
          <w:szCs w:val="20"/>
        </w:rPr>
        <w:t xml:space="preserve">Cette production est composée de 131.105 tonnes (53,2% de la production de la campagne agricole) produites au cours de la saison A, de 88.806 tonnes (36,1%) pendant la saison B et de 26.437 tonnes (10,7%) en saison C. </w:t>
      </w:r>
    </w:p>
    <w:p w:rsidR="00D91F94" w:rsidRPr="00B6647E" w:rsidRDefault="00D91F94" w:rsidP="00D91F94">
      <w:pPr>
        <w:pStyle w:val="Paragraphedeliste"/>
        <w:spacing w:after="0" w:line="240" w:lineRule="auto"/>
        <w:ind w:left="0"/>
        <w:jc w:val="both"/>
        <w:rPr>
          <w:rFonts w:ascii="Arial" w:hAnsi="Arial" w:cs="Arial"/>
          <w:sz w:val="20"/>
          <w:szCs w:val="20"/>
        </w:rPr>
      </w:pPr>
      <w:r w:rsidRPr="00B6647E">
        <w:rPr>
          <w:rFonts w:ascii="Arial" w:hAnsi="Arial" w:cs="Arial"/>
          <w:sz w:val="20"/>
          <w:szCs w:val="20"/>
        </w:rPr>
        <w:t>La supériorité de la production des céréales en saison A par rapport aux deux autres saisons est imputable principalement au maïs. En effet, la production de maïs de la saison A est 116.059 tonnes soit 47,1% de la production totale de céréales de toute la campagne agricole. Par rapport à la production totale de maïs, celle de la saison A en représente 82,6%, pendant la saison B cette production est 20.322 tonnes (1’,5%) et en saison C elle est 4.155 tonnes (2,9%).</w:t>
      </w:r>
    </w:p>
    <w:p w:rsidR="00341EEC" w:rsidRPr="00B6647E" w:rsidRDefault="00341EEC" w:rsidP="00933A9A">
      <w:pPr>
        <w:pStyle w:val="Paragraphedeliste"/>
        <w:spacing w:after="0" w:line="240" w:lineRule="auto"/>
        <w:ind w:left="0"/>
        <w:rPr>
          <w:rFonts w:ascii="Arial" w:hAnsi="Arial" w:cs="Arial"/>
          <w:sz w:val="20"/>
          <w:szCs w:val="20"/>
        </w:rPr>
      </w:pPr>
    </w:p>
    <w:p w:rsidR="00D91F94" w:rsidRPr="00B6647E" w:rsidRDefault="00D91F94" w:rsidP="00D91F94">
      <w:pPr>
        <w:spacing w:line="240" w:lineRule="auto"/>
        <w:jc w:val="both"/>
        <w:rPr>
          <w:rFonts w:ascii="Arial" w:hAnsi="Arial" w:cs="Arial"/>
          <w:b/>
          <w:sz w:val="20"/>
          <w:szCs w:val="20"/>
        </w:rPr>
      </w:pPr>
      <w:r w:rsidRPr="00B6647E">
        <w:rPr>
          <w:rFonts w:ascii="Arial" w:hAnsi="Arial" w:cs="Arial"/>
          <w:b/>
          <w:sz w:val="20"/>
          <w:szCs w:val="20"/>
        </w:rPr>
        <w:t xml:space="preserve">Graphique </w:t>
      </w:r>
      <w:r w:rsidR="006F5A28" w:rsidRPr="00B6647E">
        <w:rPr>
          <w:rFonts w:ascii="Arial" w:hAnsi="Arial" w:cs="Arial"/>
          <w:b/>
          <w:sz w:val="20"/>
          <w:szCs w:val="20"/>
        </w:rPr>
        <w:t>1</w:t>
      </w:r>
      <w:r w:rsidR="007F30DD">
        <w:rPr>
          <w:rFonts w:ascii="Arial" w:hAnsi="Arial" w:cs="Arial"/>
          <w:b/>
          <w:sz w:val="20"/>
          <w:szCs w:val="20"/>
        </w:rPr>
        <w:t>5</w:t>
      </w:r>
      <w:r w:rsidRPr="00B6647E">
        <w:rPr>
          <w:rFonts w:ascii="Arial" w:hAnsi="Arial" w:cs="Arial"/>
          <w:b/>
          <w:sz w:val="20"/>
          <w:szCs w:val="20"/>
        </w:rPr>
        <w:t> : Production totale de céréales de la campagne agricole et par région (tonnes)</w:t>
      </w:r>
    </w:p>
    <w:p w:rsidR="00341EEC" w:rsidRPr="00B6647E" w:rsidRDefault="00D91F94" w:rsidP="00933A9A">
      <w:pPr>
        <w:pStyle w:val="Paragraphedeliste"/>
        <w:spacing w:after="0" w:line="240" w:lineRule="auto"/>
        <w:ind w:left="0"/>
        <w:rPr>
          <w:rFonts w:ascii="Arial" w:hAnsi="Arial" w:cs="Arial"/>
          <w:sz w:val="20"/>
          <w:szCs w:val="20"/>
        </w:rPr>
      </w:pPr>
      <w:r w:rsidRPr="00B6647E">
        <w:rPr>
          <w:noProof/>
          <w:szCs w:val="20"/>
          <w:lang w:val="fr-FR" w:eastAsia="fr-FR"/>
        </w:rPr>
        <w:drawing>
          <wp:inline distT="0" distB="0" distL="0" distR="0">
            <wp:extent cx="4563583" cy="2652863"/>
            <wp:effectExtent l="19050" t="0" r="8417" b="0"/>
            <wp:docPr id="6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print"/>
                    <a:srcRect/>
                    <a:stretch>
                      <a:fillRect/>
                    </a:stretch>
                  </pic:blipFill>
                  <pic:spPr bwMode="auto">
                    <a:xfrm>
                      <a:off x="0" y="0"/>
                      <a:ext cx="4563947" cy="2653075"/>
                    </a:xfrm>
                    <a:prstGeom prst="rect">
                      <a:avLst/>
                    </a:prstGeom>
                    <a:noFill/>
                    <a:ln w="9525">
                      <a:noFill/>
                      <a:miter lim="800000"/>
                      <a:headEnd/>
                      <a:tailEnd/>
                    </a:ln>
                  </pic:spPr>
                </pic:pic>
              </a:graphicData>
            </a:graphic>
          </wp:inline>
        </w:drawing>
      </w:r>
    </w:p>
    <w:p w:rsidR="002E4BDB" w:rsidRPr="00B6647E" w:rsidRDefault="002E4BDB" w:rsidP="00933A9A">
      <w:pPr>
        <w:spacing w:line="240" w:lineRule="auto"/>
        <w:rPr>
          <w:rFonts w:ascii="Arial" w:hAnsi="Arial" w:cs="Arial"/>
          <w:b/>
          <w:sz w:val="20"/>
          <w:szCs w:val="20"/>
        </w:rPr>
      </w:pPr>
    </w:p>
    <w:p w:rsidR="00F82D2E" w:rsidRPr="00B6647E" w:rsidRDefault="00F82D2E" w:rsidP="00933A9A">
      <w:pPr>
        <w:spacing w:line="240" w:lineRule="auto"/>
        <w:rPr>
          <w:rFonts w:ascii="Arial" w:hAnsi="Arial" w:cs="Arial"/>
          <w:b/>
          <w:sz w:val="20"/>
          <w:szCs w:val="20"/>
        </w:rPr>
      </w:pPr>
      <w:r w:rsidRPr="00B6647E">
        <w:rPr>
          <w:rFonts w:ascii="Arial" w:hAnsi="Arial" w:cs="Arial"/>
          <w:b/>
          <w:sz w:val="20"/>
          <w:szCs w:val="20"/>
        </w:rPr>
        <w:t xml:space="preserve">Tableau </w:t>
      </w:r>
      <w:r w:rsidR="00C53AAF">
        <w:rPr>
          <w:rFonts w:ascii="Arial" w:hAnsi="Arial" w:cs="Arial"/>
          <w:b/>
          <w:sz w:val="20"/>
          <w:szCs w:val="20"/>
        </w:rPr>
        <w:t>73</w:t>
      </w:r>
      <w:r w:rsidRPr="00B6647E">
        <w:rPr>
          <w:rFonts w:ascii="Arial" w:hAnsi="Arial" w:cs="Arial"/>
          <w:b/>
          <w:sz w:val="20"/>
          <w:szCs w:val="20"/>
        </w:rPr>
        <w:t> : Productions totales de céréales par région et par saison</w:t>
      </w:r>
    </w:p>
    <w:p w:rsidR="00F82D2E" w:rsidRPr="00B6647E" w:rsidRDefault="00AF5CFD" w:rsidP="00933A9A">
      <w:pPr>
        <w:spacing w:line="240" w:lineRule="auto"/>
        <w:rPr>
          <w:rFonts w:ascii="Arial" w:hAnsi="Arial" w:cs="Arial"/>
          <w:sz w:val="20"/>
          <w:szCs w:val="20"/>
        </w:rPr>
      </w:pPr>
      <w:r w:rsidRPr="00B6647E">
        <w:rPr>
          <w:noProof/>
          <w:szCs w:val="20"/>
          <w:lang w:val="fr-FR" w:eastAsia="fr-FR"/>
        </w:rPr>
        <w:drawing>
          <wp:inline distT="0" distB="0" distL="0" distR="0">
            <wp:extent cx="4324350" cy="2914650"/>
            <wp:effectExtent l="19050" t="0" r="0" b="0"/>
            <wp:docPr id="380"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3" cstate="print"/>
                    <a:srcRect/>
                    <a:stretch>
                      <a:fillRect/>
                    </a:stretch>
                  </pic:blipFill>
                  <pic:spPr bwMode="auto">
                    <a:xfrm>
                      <a:off x="0" y="0"/>
                      <a:ext cx="4324350" cy="2914650"/>
                    </a:xfrm>
                    <a:prstGeom prst="rect">
                      <a:avLst/>
                    </a:prstGeom>
                    <a:noFill/>
                    <a:ln w="9525">
                      <a:noFill/>
                      <a:miter lim="800000"/>
                      <a:headEnd/>
                      <a:tailEnd/>
                    </a:ln>
                  </pic:spPr>
                </pic:pic>
              </a:graphicData>
            </a:graphic>
          </wp:inline>
        </w:drawing>
      </w:r>
    </w:p>
    <w:p w:rsidR="00B413EC" w:rsidRPr="00B6647E" w:rsidRDefault="00B413EC" w:rsidP="00933A9A">
      <w:pPr>
        <w:pStyle w:val="Paragraphedeliste"/>
        <w:spacing w:after="0" w:line="240" w:lineRule="auto"/>
        <w:ind w:left="0"/>
        <w:jc w:val="both"/>
        <w:rPr>
          <w:rFonts w:ascii="Arial" w:hAnsi="Arial" w:cs="Arial"/>
          <w:sz w:val="20"/>
          <w:szCs w:val="20"/>
        </w:rPr>
      </w:pPr>
      <w:r w:rsidRPr="00B6647E">
        <w:rPr>
          <w:rFonts w:ascii="Arial" w:hAnsi="Arial" w:cs="Arial"/>
          <w:sz w:val="20"/>
          <w:szCs w:val="20"/>
        </w:rPr>
        <w:t>La région naturelle de Kirimiro vient nettement tête avec sa production totale de maïs de 34.969 tonnes (24,9 % de la production totale de maïs). Viennent ensuite dans l’ordre Moso (</w:t>
      </w:r>
      <w:r w:rsidR="00435D69" w:rsidRPr="00B6647E">
        <w:rPr>
          <w:rFonts w:ascii="Arial" w:hAnsi="Arial" w:cs="Arial"/>
          <w:sz w:val="20"/>
          <w:szCs w:val="20"/>
        </w:rPr>
        <w:t>14.757 tonnes</w:t>
      </w:r>
      <w:r w:rsidRPr="00B6647E">
        <w:rPr>
          <w:rFonts w:ascii="Arial" w:hAnsi="Arial" w:cs="Arial"/>
          <w:sz w:val="20"/>
          <w:szCs w:val="20"/>
        </w:rPr>
        <w:t>,</w:t>
      </w:r>
      <w:r w:rsidR="00435D69" w:rsidRPr="00B6647E">
        <w:rPr>
          <w:rFonts w:ascii="Arial" w:hAnsi="Arial" w:cs="Arial"/>
          <w:sz w:val="20"/>
          <w:szCs w:val="20"/>
        </w:rPr>
        <w:t xml:space="preserve"> soit  10,5%), </w:t>
      </w:r>
      <w:r w:rsidRPr="00B6647E">
        <w:rPr>
          <w:rFonts w:ascii="Arial" w:hAnsi="Arial" w:cs="Arial"/>
          <w:sz w:val="20"/>
          <w:szCs w:val="20"/>
        </w:rPr>
        <w:t xml:space="preserve"> Buyogoma</w:t>
      </w:r>
      <w:r w:rsidR="00435D69" w:rsidRPr="00B6647E">
        <w:rPr>
          <w:rFonts w:ascii="Arial" w:hAnsi="Arial" w:cs="Arial"/>
          <w:sz w:val="20"/>
          <w:szCs w:val="20"/>
        </w:rPr>
        <w:t xml:space="preserve"> (14.187 tonnes</w:t>
      </w:r>
      <w:r w:rsidRPr="00B6647E">
        <w:rPr>
          <w:rFonts w:ascii="Arial" w:hAnsi="Arial" w:cs="Arial"/>
          <w:sz w:val="20"/>
          <w:szCs w:val="20"/>
        </w:rPr>
        <w:t>,</w:t>
      </w:r>
      <w:r w:rsidR="00435D69" w:rsidRPr="00B6647E">
        <w:rPr>
          <w:rFonts w:ascii="Arial" w:hAnsi="Arial" w:cs="Arial"/>
          <w:sz w:val="20"/>
          <w:szCs w:val="20"/>
        </w:rPr>
        <w:t xml:space="preserve"> soit 10,1%), </w:t>
      </w:r>
      <w:r w:rsidRPr="00B6647E">
        <w:rPr>
          <w:rFonts w:ascii="Arial" w:hAnsi="Arial" w:cs="Arial"/>
          <w:sz w:val="20"/>
          <w:szCs w:val="20"/>
        </w:rPr>
        <w:t xml:space="preserve"> Imbo</w:t>
      </w:r>
      <w:r w:rsidR="00435D69" w:rsidRPr="00B6647E">
        <w:rPr>
          <w:rFonts w:ascii="Arial" w:hAnsi="Arial" w:cs="Arial"/>
          <w:sz w:val="20"/>
          <w:szCs w:val="20"/>
        </w:rPr>
        <w:t xml:space="preserve"> (13.851 tonnes, soit 9,9%).</w:t>
      </w:r>
      <w:r w:rsidRPr="00B6647E">
        <w:rPr>
          <w:rFonts w:ascii="Arial" w:hAnsi="Arial" w:cs="Arial"/>
          <w:sz w:val="20"/>
          <w:szCs w:val="20"/>
        </w:rPr>
        <w:t xml:space="preserve"> </w:t>
      </w:r>
    </w:p>
    <w:p w:rsidR="00125A22" w:rsidRPr="00B6647E" w:rsidRDefault="00125A22" w:rsidP="00933A9A">
      <w:pPr>
        <w:spacing w:line="240" w:lineRule="auto"/>
        <w:rPr>
          <w:rFonts w:ascii="Arial" w:hAnsi="Arial" w:cs="Arial"/>
          <w:sz w:val="20"/>
          <w:szCs w:val="20"/>
        </w:rPr>
      </w:pPr>
    </w:p>
    <w:p w:rsidR="00F82D2E" w:rsidRPr="00B6647E" w:rsidRDefault="004577BB" w:rsidP="00933A9A">
      <w:pPr>
        <w:spacing w:line="240" w:lineRule="auto"/>
        <w:rPr>
          <w:rFonts w:ascii="Arial" w:hAnsi="Arial" w:cs="Arial"/>
          <w:b/>
          <w:sz w:val="20"/>
          <w:szCs w:val="20"/>
        </w:rPr>
      </w:pPr>
      <w:r w:rsidRPr="00B6647E">
        <w:rPr>
          <w:rFonts w:ascii="Arial" w:hAnsi="Arial" w:cs="Arial"/>
          <w:b/>
          <w:sz w:val="20"/>
          <w:szCs w:val="20"/>
        </w:rPr>
        <w:lastRenderedPageBreak/>
        <w:t xml:space="preserve">Tableau </w:t>
      </w:r>
      <w:r w:rsidR="00C53AAF">
        <w:rPr>
          <w:rFonts w:ascii="Arial" w:hAnsi="Arial" w:cs="Arial"/>
          <w:b/>
          <w:sz w:val="20"/>
          <w:szCs w:val="20"/>
        </w:rPr>
        <w:t>74</w:t>
      </w:r>
      <w:r w:rsidR="00F82D2E" w:rsidRPr="00B6647E">
        <w:rPr>
          <w:rFonts w:ascii="Arial" w:hAnsi="Arial" w:cs="Arial"/>
          <w:b/>
          <w:sz w:val="20"/>
          <w:szCs w:val="20"/>
        </w:rPr>
        <w:t> : Productions totales de maïs par région et par saison</w:t>
      </w:r>
    </w:p>
    <w:p w:rsidR="00F82D2E" w:rsidRPr="00B6647E" w:rsidRDefault="00AF5CFD" w:rsidP="00933A9A">
      <w:pPr>
        <w:spacing w:line="240" w:lineRule="auto"/>
        <w:rPr>
          <w:rFonts w:ascii="Arial" w:hAnsi="Arial" w:cs="Arial"/>
          <w:sz w:val="20"/>
          <w:szCs w:val="20"/>
        </w:rPr>
      </w:pPr>
      <w:r w:rsidRPr="00B6647E">
        <w:rPr>
          <w:noProof/>
          <w:szCs w:val="20"/>
          <w:lang w:val="fr-FR" w:eastAsia="fr-FR"/>
        </w:rPr>
        <w:drawing>
          <wp:inline distT="0" distB="0" distL="0" distR="0">
            <wp:extent cx="4324350" cy="2914650"/>
            <wp:effectExtent l="19050" t="0" r="0" b="0"/>
            <wp:docPr id="381"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4" cstate="print"/>
                    <a:srcRect/>
                    <a:stretch>
                      <a:fillRect/>
                    </a:stretch>
                  </pic:blipFill>
                  <pic:spPr bwMode="auto">
                    <a:xfrm>
                      <a:off x="0" y="0"/>
                      <a:ext cx="4324350" cy="2914650"/>
                    </a:xfrm>
                    <a:prstGeom prst="rect">
                      <a:avLst/>
                    </a:prstGeom>
                    <a:noFill/>
                    <a:ln w="9525">
                      <a:noFill/>
                      <a:miter lim="800000"/>
                      <a:headEnd/>
                      <a:tailEnd/>
                    </a:ln>
                  </pic:spPr>
                </pic:pic>
              </a:graphicData>
            </a:graphic>
          </wp:inline>
        </w:drawing>
      </w:r>
    </w:p>
    <w:p w:rsidR="00776EAF" w:rsidRPr="00B6647E" w:rsidRDefault="00D44689" w:rsidP="00933A9A">
      <w:pPr>
        <w:spacing w:line="240" w:lineRule="auto"/>
        <w:jc w:val="both"/>
        <w:rPr>
          <w:rFonts w:ascii="Arial" w:hAnsi="Arial" w:cs="Arial"/>
          <w:sz w:val="20"/>
          <w:szCs w:val="20"/>
        </w:rPr>
      </w:pPr>
      <w:r w:rsidRPr="00B6647E">
        <w:rPr>
          <w:rFonts w:ascii="Arial" w:hAnsi="Arial" w:cs="Arial"/>
          <w:sz w:val="20"/>
          <w:szCs w:val="20"/>
        </w:rPr>
        <w:t>L</w:t>
      </w:r>
      <w:r w:rsidR="00D23849" w:rsidRPr="00B6647E">
        <w:rPr>
          <w:rFonts w:ascii="Arial" w:hAnsi="Arial" w:cs="Arial"/>
          <w:sz w:val="20"/>
          <w:szCs w:val="20"/>
        </w:rPr>
        <w:t xml:space="preserve">a production totale du sorgho qui représente </w:t>
      </w:r>
      <w:r w:rsidR="004853BE" w:rsidRPr="00B6647E">
        <w:rPr>
          <w:rFonts w:ascii="Arial" w:hAnsi="Arial" w:cs="Arial"/>
          <w:sz w:val="20"/>
          <w:szCs w:val="20"/>
        </w:rPr>
        <w:t>12,8%</w:t>
      </w:r>
      <w:r w:rsidR="00D23849" w:rsidRPr="00B6647E">
        <w:rPr>
          <w:rFonts w:ascii="Arial" w:hAnsi="Arial" w:cs="Arial"/>
          <w:sz w:val="20"/>
          <w:szCs w:val="20"/>
        </w:rPr>
        <w:t xml:space="preserve"> de la production totale de céréales </w:t>
      </w:r>
      <w:r w:rsidR="00776EAF" w:rsidRPr="00B6647E">
        <w:rPr>
          <w:rFonts w:ascii="Arial" w:hAnsi="Arial" w:cs="Arial"/>
          <w:sz w:val="20"/>
          <w:szCs w:val="20"/>
        </w:rPr>
        <w:t xml:space="preserve">de la campagne agricole </w:t>
      </w:r>
      <w:r w:rsidR="00D23849" w:rsidRPr="00B6647E">
        <w:rPr>
          <w:rFonts w:ascii="Arial" w:hAnsi="Arial" w:cs="Arial"/>
          <w:sz w:val="20"/>
          <w:szCs w:val="20"/>
        </w:rPr>
        <w:t>est composée de 4.214 tonnes en saison A</w:t>
      </w:r>
      <w:r w:rsidR="00776EAF" w:rsidRPr="00B6647E">
        <w:rPr>
          <w:rFonts w:ascii="Arial" w:hAnsi="Arial" w:cs="Arial"/>
          <w:sz w:val="20"/>
          <w:szCs w:val="20"/>
        </w:rPr>
        <w:t xml:space="preserve"> (13,4%)</w:t>
      </w:r>
      <w:r w:rsidR="00D23849" w:rsidRPr="00B6647E">
        <w:rPr>
          <w:rFonts w:ascii="Arial" w:hAnsi="Arial" w:cs="Arial"/>
          <w:sz w:val="20"/>
          <w:szCs w:val="20"/>
        </w:rPr>
        <w:t xml:space="preserve">, 12.923 tonnes au cours de la saison B </w:t>
      </w:r>
      <w:r w:rsidR="00776EAF" w:rsidRPr="00B6647E">
        <w:rPr>
          <w:rFonts w:ascii="Arial" w:hAnsi="Arial" w:cs="Arial"/>
          <w:sz w:val="20"/>
          <w:szCs w:val="20"/>
        </w:rPr>
        <w:t xml:space="preserve">(41%) </w:t>
      </w:r>
      <w:r w:rsidR="00D23849" w:rsidRPr="00B6647E">
        <w:rPr>
          <w:rFonts w:ascii="Arial" w:hAnsi="Arial" w:cs="Arial"/>
          <w:sz w:val="20"/>
          <w:szCs w:val="20"/>
        </w:rPr>
        <w:t>et de 14.389 tonnes pendant la saison C</w:t>
      </w:r>
      <w:r w:rsidR="00776EAF" w:rsidRPr="00B6647E">
        <w:rPr>
          <w:rFonts w:ascii="Arial" w:hAnsi="Arial" w:cs="Arial"/>
          <w:sz w:val="20"/>
          <w:szCs w:val="20"/>
        </w:rPr>
        <w:t xml:space="preserve"> (45,6%)</w:t>
      </w:r>
      <w:r w:rsidR="00D23849" w:rsidRPr="00B6647E">
        <w:rPr>
          <w:rFonts w:ascii="Arial" w:hAnsi="Arial" w:cs="Arial"/>
          <w:sz w:val="20"/>
          <w:szCs w:val="20"/>
        </w:rPr>
        <w:t>.</w:t>
      </w:r>
      <w:r w:rsidRPr="00B6647E">
        <w:rPr>
          <w:rFonts w:ascii="Arial" w:hAnsi="Arial" w:cs="Arial"/>
          <w:sz w:val="20"/>
          <w:szCs w:val="20"/>
        </w:rPr>
        <w:t xml:space="preserve"> </w:t>
      </w:r>
      <w:r w:rsidR="00776EAF" w:rsidRPr="00B6647E">
        <w:rPr>
          <w:rFonts w:ascii="Arial" w:hAnsi="Arial" w:cs="Arial"/>
          <w:sz w:val="20"/>
          <w:szCs w:val="20"/>
        </w:rPr>
        <w:t>Les plus grandes régions naturelles productrices de sorgho au cours de la campagne agricole 2011-2012 sont : Bugesera (12.678 tonnes, soit 40,2%), Moso (8.055 tonnes, soit 25,5%), Buyogoma (4.258 tonnes, soit 13,5M).</w:t>
      </w:r>
    </w:p>
    <w:p w:rsidR="00F82D2E" w:rsidRPr="00B6647E" w:rsidRDefault="00F82D2E" w:rsidP="00933A9A">
      <w:pPr>
        <w:spacing w:line="240" w:lineRule="auto"/>
        <w:rPr>
          <w:rFonts w:ascii="Arial" w:hAnsi="Arial" w:cs="Arial"/>
          <w:b/>
          <w:sz w:val="20"/>
          <w:szCs w:val="20"/>
        </w:rPr>
      </w:pPr>
      <w:r w:rsidRPr="00B6647E">
        <w:rPr>
          <w:rFonts w:ascii="Arial" w:hAnsi="Arial" w:cs="Arial"/>
          <w:b/>
          <w:sz w:val="20"/>
          <w:szCs w:val="20"/>
        </w:rPr>
        <w:t xml:space="preserve">Tableau </w:t>
      </w:r>
      <w:r w:rsidR="00C53AAF">
        <w:rPr>
          <w:rFonts w:ascii="Arial" w:hAnsi="Arial" w:cs="Arial"/>
          <w:b/>
          <w:sz w:val="20"/>
          <w:szCs w:val="20"/>
        </w:rPr>
        <w:t>75</w:t>
      </w:r>
      <w:r w:rsidRPr="00B6647E">
        <w:rPr>
          <w:rFonts w:ascii="Arial" w:hAnsi="Arial" w:cs="Arial"/>
          <w:b/>
          <w:sz w:val="20"/>
          <w:szCs w:val="20"/>
        </w:rPr>
        <w:t> : Productions totales de sorgho par région et par saison</w:t>
      </w:r>
    </w:p>
    <w:p w:rsidR="00F82D2E" w:rsidRPr="00B6647E" w:rsidRDefault="00AF5CFD" w:rsidP="00933A9A">
      <w:pPr>
        <w:spacing w:line="240" w:lineRule="auto"/>
        <w:rPr>
          <w:rFonts w:ascii="Arial" w:hAnsi="Arial" w:cs="Arial"/>
          <w:sz w:val="20"/>
          <w:szCs w:val="20"/>
        </w:rPr>
      </w:pPr>
      <w:r w:rsidRPr="00B6647E">
        <w:rPr>
          <w:noProof/>
          <w:szCs w:val="20"/>
          <w:lang w:val="fr-FR" w:eastAsia="fr-FR"/>
        </w:rPr>
        <w:drawing>
          <wp:inline distT="0" distB="0" distL="0" distR="0">
            <wp:extent cx="4324350" cy="2914650"/>
            <wp:effectExtent l="19050" t="0" r="0" b="0"/>
            <wp:docPr id="382"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5" cstate="print"/>
                    <a:srcRect/>
                    <a:stretch>
                      <a:fillRect/>
                    </a:stretch>
                  </pic:blipFill>
                  <pic:spPr bwMode="auto">
                    <a:xfrm>
                      <a:off x="0" y="0"/>
                      <a:ext cx="4324350" cy="2914650"/>
                    </a:xfrm>
                    <a:prstGeom prst="rect">
                      <a:avLst/>
                    </a:prstGeom>
                    <a:noFill/>
                    <a:ln w="9525">
                      <a:noFill/>
                      <a:miter lim="800000"/>
                      <a:headEnd/>
                      <a:tailEnd/>
                    </a:ln>
                  </pic:spPr>
                </pic:pic>
              </a:graphicData>
            </a:graphic>
          </wp:inline>
        </w:drawing>
      </w:r>
    </w:p>
    <w:p w:rsidR="00F82D2E" w:rsidRPr="00B6647E" w:rsidRDefault="009008C2" w:rsidP="00933A9A">
      <w:pPr>
        <w:spacing w:line="240" w:lineRule="auto"/>
        <w:jc w:val="both"/>
        <w:rPr>
          <w:rFonts w:ascii="Arial" w:hAnsi="Arial" w:cs="Arial"/>
          <w:sz w:val="20"/>
          <w:szCs w:val="20"/>
        </w:rPr>
      </w:pPr>
      <w:r w:rsidRPr="00B6647E">
        <w:rPr>
          <w:rFonts w:ascii="Arial" w:hAnsi="Arial" w:cs="Arial"/>
          <w:sz w:val="20"/>
          <w:szCs w:val="20"/>
        </w:rPr>
        <w:t xml:space="preserve">La production totale de riz qui est estimée à 64.620 tonnes représente </w:t>
      </w:r>
      <w:r w:rsidR="004853BE" w:rsidRPr="00B6647E">
        <w:rPr>
          <w:rFonts w:ascii="Arial" w:hAnsi="Arial" w:cs="Arial"/>
          <w:sz w:val="20"/>
          <w:szCs w:val="20"/>
        </w:rPr>
        <w:t>26,2% de la production totale de céréales de la campagne agricole concernée.</w:t>
      </w:r>
      <w:r w:rsidR="00933A9A" w:rsidRPr="00B6647E">
        <w:rPr>
          <w:rFonts w:ascii="Arial" w:hAnsi="Arial" w:cs="Arial"/>
          <w:sz w:val="20"/>
          <w:szCs w:val="20"/>
        </w:rPr>
        <w:t xml:space="preserve"> Cette production a été principalement produite au cours de la saison B (50.272 tonnes, soit 77,8%). LA saison A en produit 9.905 tonnes (15,3%) et la saison C </w:t>
      </w:r>
      <w:r w:rsidR="00106967" w:rsidRPr="00B6647E">
        <w:rPr>
          <w:rFonts w:ascii="Arial" w:hAnsi="Arial" w:cs="Arial"/>
          <w:sz w:val="20"/>
          <w:szCs w:val="20"/>
        </w:rPr>
        <w:t>a produit</w:t>
      </w:r>
      <w:r w:rsidR="00933A9A" w:rsidRPr="00B6647E">
        <w:rPr>
          <w:rFonts w:ascii="Arial" w:hAnsi="Arial" w:cs="Arial"/>
          <w:sz w:val="20"/>
          <w:szCs w:val="20"/>
        </w:rPr>
        <w:t xml:space="preserve"> 4.444 tonne</w:t>
      </w:r>
      <w:r w:rsidR="00106967" w:rsidRPr="00B6647E">
        <w:rPr>
          <w:rFonts w:ascii="Arial" w:hAnsi="Arial" w:cs="Arial"/>
          <w:sz w:val="20"/>
          <w:szCs w:val="20"/>
        </w:rPr>
        <w:t xml:space="preserve"> (6,9%). </w:t>
      </w:r>
      <w:r w:rsidR="00933A9A" w:rsidRPr="00B6647E">
        <w:rPr>
          <w:rFonts w:ascii="Arial" w:hAnsi="Arial" w:cs="Arial"/>
          <w:sz w:val="20"/>
          <w:szCs w:val="20"/>
        </w:rPr>
        <w:t xml:space="preserve">Plus du tiers de la production totale de riz a été estimée dans la région l’Imbo (25.143 tonnes). </w:t>
      </w:r>
      <w:r w:rsidR="00106967" w:rsidRPr="00B6647E">
        <w:rPr>
          <w:rFonts w:ascii="Arial" w:hAnsi="Arial" w:cs="Arial"/>
          <w:sz w:val="20"/>
          <w:szCs w:val="20"/>
        </w:rPr>
        <w:t>Les trois régions qui viennent juste après sont : Kirimiro (9.383 tonnes, soit 14,5%), Buyenzi (8.752 tonnes, soit 13,5%) et Moso (6.992 tonnes, soit 10,8%).</w:t>
      </w:r>
      <w:r w:rsidR="00FC20FA" w:rsidRPr="00B6647E">
        <w:rPr>
          <w:rFonts w:ascii="Arial" w:hAnsi="Arial" w:cs="Arial"/>
          <w:sz w:val="20"/>
          <w:szCs w:val="20"/>
        </w:rPr>
        <w:t xml:space="preserve"> Bututsi a eu </w:t>
      </w:r>
      <w:r w:rsidR="005C7824" w:rsidRPr="00B6647E">
        <w:rPr>
          <w:rFonts w:ascii="Arial" w:hAnsi="Arial" w:cs="Arial"/>
          <w:sz w:val="20"/>
          <w:szCs w:val="20"/>
        </w:rPr>
        <w:t>une production</w:t>
      </w:r>
      <w:r w:rsidR="00FC20FA" w:rsidRPr="00B6647E">
        <w:rPr>
          <w:rFonts w:ascii="Arial" w:hAnsi="Arial" w:cs="Arial"/>
          <w:sz w:val="20"/>
          <w:szCs w:val="20"/>
        </w:rPr>
        <w:t xml:space="preserve"> de riz pratiquement nulle.</w:t>
      </w:r>
    </w:p>
    <w:p w:rsidR="00945510" w:rsidRPr="00B6647E" w:rsidRDefault="00945510" w:rsidP="00F82D2E">
      <w:pPr>
        <w:rPr>
          <w:rFonts w:ascii="Arial" w:hAnsi="Arial" w:cs="Arial"/>
          <w:b/>
          <w:sz w:val="20"/>
          <w:szCs w:val="20"/>
        </w:rPr>
      </w:pPr>
    </w:p>
    <w:p w:rsidR="00F82D2E" w:rsidRPr="00B6647E" w:rsidRDefault="00F82D2E" w:rsidP="00F82D2E">
      <w:pPr>
        <w:rPr>
          <w:rFonts w:ascii="Arial" w:hAnsi="Arial" w:cs="Arial"/>
          <w:b/>
          <w:sz w:val="20"/>
          <w:szCs w:val="20"/>
        </w:rPr>
      </w:pPr>
      <w:r w:rsidRPr="00B6647E">
        <w:rPr>
          <w:rFonts w:ascii="Arial" w:hAnsi="Arial" w:cs="Arial"/>
          <w:b/>
          <w:sz w:val="20"/>
          <w:szCs w:val="20"/>
        </w:rPr>
        <w:lastRenderedPageBreak/>
        <w:t xml:space="preserve">Tableau </w:t>
      </w:r>
      <w:r w:rsidR="00C53AAF">
        <w:rPr>
          <w:rFonts w:ascii="Arial" w:hAnsi="Arial" w:cs="Arial"/>
          <w:b/>
          <w:sz w:val="20"/>
          <w:szCs w:val="20"/>
        </w:rPr>
        <w:t>76</w:t>
      </w:r>
      <w:r w:rsidRPr="00B6647E">
        <w:rPr>
          <w:rFonts w:ascii="Arial" w:hAnsi="Arial" w:cs="Arial"/>
          <w:b/>
          <w:sz w:val="20"/>
          <w:szCs w:val="20"/>
        </w:rPr>
        <w:t> : Productions totales de riz par région et par saison</w:t>
      </w:r>
    </w:p>
    <w:p w:rsidR="00125A22" w:rsidRPr="00B6647E" w:rsidRDefault="008B1734" w:rsidP="00A4731A">
      <w:pPr>
        <w:spacing w:after="0" w:line="240" w:lineRule="auto"/>
        <w:rPr>
          <w:rFonts w:ascii="Arial" w:hAnsi="Arial" w:cs="Arial"/>
          <w:sz w:val="20"/>
          <w:szCs w:val="20"/>
        </w:rPr>
      </w:pPr>
      <w:r w:rsidRPr="00B6647E">
        <w:rPr>
          <w:noProof/>
          <w:szCs w:val="20"/>
          <w:lang w:val="fr-FR" w:eastAsia="fr-FR"/>
        </w:rPr>
        <w:drawing>
          <wp:inline distT="0" distB="0" distL="0" distR="0">
            <wp:extent cx="4324350" cy="2914650"/>
            <wp:effectExtent l="19050" t="0" r="0" b="0"/>
            <wp:docPr id="383"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6" cstate="print"/>
                    <a:srcRect/>
                    <a:stretch>
                      <a:fillRect/>
                    </a:stretch>
                  </pic:blipFill>
                  <pic:spPr bwMode="auto">
                    <a:xfrm>
                      <a:off x="0" y="0"/>
                      <a:ext cx="4324350" cy="2914650"/>
                    </a:xfrm>
                    <a:prstGeom prst="rect">
                      <a:avLst/>
                    </a:prstGeom>
                    <a:noFill/>
                    <a:ln w="9525">
                      <a:noFill/>
                      <a:miter lim="800000"/>
                      <a:headEnd/>
                      <a:tailEnd/>
                    </a:ln>
                  </pic:spPr>
                </pic:pic>
              </a:graphicData>
            </a:graphic>
          </wp:inline>
        </w:drawing>
      </w:r>
    </w:p>
    <w:p w:rsidR="00F82D2E" w:rsidRPr="00B6647E" w:rsidRDefault="00FC20FA" w:rsidP="00CA3139">
      <w:pPr>
        <w:spacing w:line="240" w:lineRule="auto"/>
        <w:jc w:val="both"/>
        <w:rPr>
          <w:rFonts w:ascii="Arial" w:hAnsi="Arial" w:cs="Arial"/>
          <w:sz w:val="20"/>
          <w:szCs w:val="20"/>
        </w:rPr>
      </w:pPr>
      <w:r w:rsidRPr="00B6647E">
        <w:rPr>
          <w:rFonts w:ascii="Arial" w:hAnsi="Arial" w:cs="Arial"/>
          <w:sz w:val="20"/>
          <w:szCs w:val="20"/>
        </w:rPr>
        <w:t>La saison B a produit 4.684 tonnes d’éleusine, soit 85,6% de la production totale d’éleusine qui ne représente que 2,2% de la production totale de céréales. La région de Kirimiro en produit à elle seule 3.399 tonnes (</w:t>
      </w:r>
      <w:r w:rsidR="00CC3841" w:rsidRPr="00B6647E">
        <w:rPr>
          <w:rFonts w:ascii="Arial" w:hAnsi="Arial" w:cs="Arial"/>
          <w:sz w:val="20"/>
          <w:szCs w:val="20"/>
        </w:rPr>
        <w:t>62,2</w:t>
      </w:r>
      <w:r w:rsidRPr="00B6647E">
        <w:rPr>
          <w:rFonts w:ascii="Arial" w:hAnsi="Arial" w:cs="Arial"/>
          <w:sz w:val="20"/>
          <w:szCs w:val="20"/>
        </w:rPr>
        <w:t>%)</w:t>
      </w:r>
      <w:r w:rsidR="00CC3841" w:rsidRPr="00B6647E">
        <w:rPr>
          <w:rFonts w:ascii="Arial" w:hAnsi="Arial" w:cs="Arial"/>
          <w:sz w:val="20"/>
          <w:szCs w:val="20"/>
        </w:rPr>
        <w:t>. La production d’éleusine</w:t>
      </w:r>
      <w:r w:rsidRPr="00B6647E">
        <w:rPr>
          <w:rFonts w:ascii="Arial" w:hAnsi="Arial" w:cs="Arial"/>
          <w:sz w:val="20"/>
          <w:szCs w:val="20"/>
        </w:rPr>
        <w:t xml:space="preserve"> de Buyogoma est de 901 tonnes (</w:t>
      </w:r>
      <w:r w:rsidR="00CC3841" w:rsidRPr="00B6647E">
        <w:rPr>
          <w:rFonts w:ascii="Arial" w:hAnsi="Arial" w:cs="Arial"/>
          <w:sz w:val="20"/>
          <w:szCs w:val="20"/>
        </w:rPr>
        <w:t>16,5</w:t>
      </w:r>
      <w:r w:rsidRPr="00B6647E">
        <w:rPr>
          <w:rFonts w:ascii="Arial" w:hAnsi="Arial" w:cs="Arial"/>
          <w:sz w:val="20"/>
          <w:szCs w:val="20"/>
        </w:rPr>
        <w:t>%)</w:t>
      </w:r>
      <w:r w:rsidR="00CC3841" w:rsidRPr="00B6647E">
        <w:rPr>
          <w:rFonts w:ascii="Arial" w:hAnsi="Arial" w:cs="Arial"/>
          <w:sz w:val="20"/>
          <w:szCs w:val="20"/>
        </w:rPr>
        <w:t xml:space="preserve">, </w:t>
      </w:r>
      <w:r w:rsidR="00633A4B" w:rsidRPr="00B6647E">
        <w:rPr>
          <w:rFonts w:ascii="Arial" w:hAnsi="Arial" w:cs="Arial"/>
          <w:sz w:val="20"/>
          <w:szCs w:val="20"/>
        </w:rPr>
        <w:t xml:space="preserve">celle de </w:t>
      </w:r>
      <w:r w:rsidR="00CC3841" w:rsidRPr="00B6647E">
        <w:rPr>
          <w:rFonts w:ascii="Arial" w:hAnsi="Arial" w:cs="Arial"/>
          <w:sz w:val="20"/>
          <w:szCs w:val="20"/>
        </w:rPr>
        <w:t>Buyenzi est de 589 tonnes (10,8%).</w:t>
      </w:r>
    </w:p>
    <w:p w:rsidR="00F82D2E" w:rsidRPr="00B6647E" w:rsidRDefault="00F82D2E" w:rsidP="00F037E8">
      <w:pPr>
        <w:spacing w:line="240" w:lineRule="auto"/>
        <w:rPr>
          <w:rFonts w:ascii="Arial" w:hAnsi="Arial" w:cs="Arial"/>
          <w:b/>
          <w:sz w:val="20"/>
          <w:szCs w:val="20"/>
        </w:rPr>
      </w:pPr>
      <w:r w:rsidRPr="00B6647E">
        <w:rPr>
          <w:rFonts w:ascii="Arial" w:hAnsi="Arial" w:cs="Arial"/>
          <w:b/>
          <w:sz w:val="20"/>
          <w:szCs w:val="20"/>
        </w:rPr>
        <w:t xml:space="preserve">Tableau </w:t>
      </w:r>
      <w:r w:rsidR="00C53AAF">
        <w:rPr>
          <w:rFonts w:ascii="Arial" w:hAnsi="Arial" w:cs="Arial"/>
          <w:b/>
          <w:sz w:val="20"/>
          <w:szCs w:val="20"/>
        </w:rPr>
        <w:t>77</w:t>
      </w:r>
      <w:r w:rsidRPr="00B6647E">
        <w:rPr>
          <w:rFonts w:ascii="Arial" w:hAnsi="Arial" w:cs="Arial"/>
          <w:b/>
          <w:sz w:val="20"/>
          <w:szCs w:val="20"/>
        </w:rPr>
        <w:t> : Productions totales d’éleusine par région et par saison</w:t>
      </w:r>
    </w:p>
    <w:p w:rsidR="00F82D2E" w:rsidRPr="00B6647E" w:rsidRDefault="008B1734" w:rsidP="00CA3139">
      <w:pPr>
        <w:spacing w:after="0" w:line="240" w:lineRule="auto"/>
        <w:rPr>
          <w:rFonts w:ascii="Arial" w:hAnsi="Arial" w:cs="Arial"/>
          <w:sz w:val="20"/>
          <w:szCs w:val="20"/>
        </w:rPr>
      </w:pPr>
      <w:r w:rsidRPr="00B6647E">
        <w:rPr>
          <w:noProof/>
          <w:szCs w:val="20"/>
          <w:lang w:val="fr-FR" w:eastAsia="fr-FR"/>
        </w:rPr>
        <w:drawing>
          <wp:inline distT="0" distB="0" distL="0" distR="0">
            <wp:extent cx="4324350" cy="2914650"/>
            <wp:effectExtent l="19050" t="0" r="0" b="0"/>
            <wp:docPr id="38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7" cstate="print"/>
                    <a:srcRect/>
                    <a:stretch>
                      <a:fillRect/>
                    </a:stretch>
                  </pic:blipFill>
                  <pic:spPr bwMode="auto">
                    <a:xfrm>
                      <a:off x="0" y="0"/>
                      <a:ext cx="4324350" cy="2914650"/>
                    </a:xfrm>
                    <a:prstGeom prst="rect">
                      <a:avLst/>
                    </a:prstGeom>
                    <a:noFill/>
                    <a:ln w="9525">
                      <a:noFill/>
                      <a:miter lim="800000"/>
                      <a:headEnd/>
                      <a:tailEnd/>
                    </a:ln>
                  </pic:spPr>
                </pic:pic>
              </a:graphicData>
            </a:graphic>
          </wp:inline>
        </w:drawing>
      </w:r>
    </w:p>
    <w:p w:rsidR="00F82D2E" w:rsidRPr="00B6647E" w:rsidRDefault="004819D3" w:rsidP="00CA3139">
      <w:pPr>
        <w:spacing w:after="0" w:line="240" w:lineRule="auto"/>
        <w:jc w:val="both"/>
        <w:rPr>
          <w:rFonts w:ascii="Arial" w:hAnsi="Arial" w:cs="Arial"/>
          <w:sz w:val="20"/>
          <w:szCs w:val="20"/>
        </w:rPr>
      </w:pPr>
      <w:r w:rsidRPr="00B6647E">
        <w:rPr>
          <w:rFonts w:ascii="Arial" w:hAnsi="Arial" w:cs="Arial"/>
          <w:sz w:val="20"/>
          <w:szCs w:val="20"/>
        </w:rPr>
        <w:t xml:space="preserve">Sur une production totale de 4.196 tonnes de blé </w:t>
      </w:r>
      <w:r w:rsidR="002060E9" w:rsidRPr="00B6647E">
        <w:rPr>
          <w:rFonts w:ascii="Arial" w:hAnsi="Arial" w:cs="Arial"/>
          <w:sz w:val="20"/>
          <w:szCs w:val="20"/>
        </w:rPr>
        <w:t xml:space="preserve">pendant </w:t>
      </w:r>
      <w:r w:rsidRPr="00B6647E">
        <w:rPr>
          <w:rFonts w:ascii="Arial" w:hAnsi="Arial" w:cs="Arial"/>
          <w:sz w:val="20"/>
          <w:szCs w:val="20"/>
        </w:rPr>
        <w:t xml:space="preserve">toute la </w:t>
      </w:r>
      <w:r w:rsidR="002060E9" w:rsidRPr="00B6647E">
        <w:rPr>
          <w:rFonts w:ascii="Arial" w:hAnsi="Arial" w:cs="Arial"/>
          <w:sz w:val="20"/>
          <w:szCs w:val="20"/>
        </w:rPr>
        <w:t>campagne</w:t>
      </w:r>
      <w:r w:rsidRPr="00B6647E">
        <w:rPr>
          <w:rFonts w:ascii="Arial" w:hAnsi="Arial" w:cs="Arial"/>
          <w:sz w:val="20"/>
          <w:szCs w:val="20"/>
        </w:rPr>
        <w:t xml:space="preserve"> agricole 2011-2012</w:t>
      </w:r>
      <w:r w:rsidR="002060E9" w:rsidRPr="00B6647E">
        <w:rPr>
          <w:rFonts w:ascii="Arial" w:hAnsi="Arial" w:cs="Arial"/>
          <w:sz w:val="20"/>
          <w:szCs w:val="20"/>
        </w:rPr>
        <w:t xml:space="preserve"> (1,7</w:t>
      </w:r>
      <w:r w:rsidRPr="00B6647E">
        <w:rPr>
          <w:rFonts w:ascii="Arial" w:hAnsi="Arial" w:cs="Arial"/>
          <w:sz w:val="20"/>
          <w:szCs w:val="20"/>
        </w:rPr>
        <w:t>% de la production totale de céréales),</w:t>
      </w:r>
      <w:r w:rsidR="002060E9" w:rsidRPr="00B6647E">
        <w:rPr>
          <w:rFonts w:ascii="Arial" w:hAnsi="Arial" w:cs="Arial"/>
          <w:sz w:val="20"/>
          <w:szCs w:val="20"/>
        </w:rPr>
        <w:t xml:space="preserve"> l’enquête a estimé à </w:t>
      </w:r>
      <w:r w:rsidRPr="00B6647E">
        <w:rPr>
          <w:rFonts w:ascii="Arial" w:hAnsi="Arial" w:cs="Arial"/>
          <w:sz w:val="20"/>
          <w:szCs w:val="20"/>
        </w:rPr>
        <w:t xml:space="preserve"> 3.254 tonnes </w:t>
      </w:r>
      <w:r w:rsidR="002060E9" w:rsidRPr="00B6647E">
        <w:rPr>
          <w:rFonts w:ascii="Arial" w:hAnsi="Arial" w:cs="Arial"/>
          <w:sz w:val="20"/>
          <w:szCs w:val="20"/>
        </w:rPr>
        <w:t>la production</w:t>
      </w:r>
      <w:r w:rsidRPr="00B6647E">
        <w:rPr>
          <w:rFonts w:ascii="Arial" w:hAnsi="Arial" w:cs="Arial"/>
          <w:sz w:val="20"/>
          <w:szCs w:val="20"/>
        </w:rPr>
        <w:t xml:space="preserve"> au cours de la saison C (</w:t>
      </w:r>
      <w:r w:rsidR="002060E9" w:rsidRPr="00B6647E">
        <w:rPr>
          <w:rFonts w:ascii="Arial" w:hAnsi="Arial" w:cs="Arial"/>
          <w:sz w:val="20"/>
          <w:szCs w:val="20"/>
        </w:rPr>
        <w:t>77,5</w:t>
      </w:r>
      <w:r w:rsidRPr="00B6647E">
        <w:rPr>
          <w:rFonts w:ascii="Arial" w:hAnsi="Arial" w:cs="Arial"/>
          <w:sz w:val="20"/>
          <w:szCs w:val="20"/>
        </w:rPr>
        <w:t xml:space="preserve">%) et </w:t>
      </w:r>
      <w:r w:rsidR="002060E9" w:rsidRPr="00B6647E">
        <w:rPr>
          <w:rFonts w:ascii="Arial" w:hAnsi="Arial" w:cs="Arial"/>
          <w:sz w:val="20"/>
          <w:szCs w:val="20"/>
        </w:rPr>
        <w:t xml:space="preserve">à </w:t>
      </w:r>
      <w:r w:rsidRPr="00B6647E">
        <w:rPr>
          <w:rFonts w:ascii="Arial" w:hAnsi="Arial" w:cs="Arial"/>
          <w:sz w:val="20"/>
          <w:szCs w:val="20"/>
        </w:rPr>
        <w:t>3</w:t>
      </w:r>
      <w:r w:rsidR="002060E9" w:rsidRPr="00B6647E">
        <w:rPr>
          <w:rFonts w:ascii="Arial" w:hAnsi="Arial" w:cs="Arial"/>
          <w:sz w:val="20"/>
          <w:szCs w:val="20"/>
        </w:rPr>
        <w:t>.</w:t>
      </w:r>
      <w:r w:rsidRPr="00B6647E">
        <w:rPr>
          <w:rFonts w:ascii="Arial" w:hAnsi="Arial" w:cs="Arial"/>
          <w:sz w:val="20"/>
          <w:szCs w:val="20"/>
        </w:rPr>
        <w:t xml:space="preserve">733 tonnes </w:t>
      </w:r>
      <w:r w:rsidR="002060E9" w:rsidRPr="00B6647E">
        <w:rPr>
          <w:rFonts w:ascii="Arial" w:hAnsi="Arial" w:cs="Arial"/>
          <w:sz w:val="20"/>
          <w:szCs w:val="20"/>
        </w:rPr>
        <w:t>celle de</w:t>
      </w:r>
      <w:r w:rsidRPr="00B6647E">
        <w:rPr>
          <w:rFonts w:ascii="Arial" w:hAnsi="Arial" w:cs="Arial"/>
          <w:sz w:val="20"/>
          <w:szCs w:val="20"/>
        </w:rPr>
        <w:t xml:space="preserve"> la seule région naturelle de Mugamba</w:t>
      </w:r>
      <w:r w:rsidR="002060E9" w:rsidRPr="00B6647E">
        <w:rPr>
          <w:rFonts w:ascii="Arial" w:hAnsi="Arial" w:cs="Arial"/>
          <w:sz w:val="20"/>
          <w:szCs w:val="20"/>
        </w:rPr>
        <w:t xml:space="preserve"> (89%)</w:t>
      </w:r>
      <w:r w:rsidRPr="00B6647E">
        <w:rPr>
          <w:rFonts w:ascii="Arial" w:hAnsi="Arial" w:cs="Arial"/>
          <w:sz w:val="20"/>
          <w:szCs w:val="20"/>
        </w:rPr>
        <w:t xml:space="preserve"> </w:t>
      </w:r>
    </w:p>
    <w:p w:rsidR="00CA3139" w:rsidRPr="00B6647E" w:rsidRDefault="00CA3139" w:rsidP="00CA3139">
      <w:pPr>
        <w:spacing w:after="0" w:line="240" w:lineRule="auto"/>
        <w:rPr>
          <w:rFonts w:ascii="Arial" w:hAnsi="Arial" w:cs="Arial"/>
          <w:b/>
          <w:sz w:val="20"/>
          <w:szCs w:val="20"/>
        </w:rPr>
      </w:pPr>
    </w:p>
    <w:p w:rsidR="00CA3139" w:rsidRPr="00B6647E" w:rsidRDefault="00CA3139" w:rsidP="00CA3139">
      <w:pPr>
        <w:spacing w:after="0" w:line="240" w:lineRule="auto"/>
        <w:rPr>
          <w:rFonts w:ascii="Arial" w:hAnsi="Arial" w:cs="Arial"/>
          <w:b/>
          <w:sz w:val="20"/>
          <w:szCs w:val="20"/>
        </w:rPr>
      </w:pPr>
    </w:p>
    <w:p w:rsidR="00A4731A" w:rsidRPr="00B6647E" w:rsidRDefault="00A4731A" w:rsidP="00CA3139">
      <w:pPr>
        <w:spacing w:after="0" w:line="240" w:lineRule="auto"/>
        <w:rPr>
          <w:rFonts w:ascii="Arial" w:hAnsi="Arial" w:cs="Arial"/>
          <w:b/>
          <w:sz w:val="20"/>
          <w:szCs w:val="20"/>
        </w:rPr>
      </w:pPr>
    </w:p>
    <w:p w:rsidR="00A4731A" w:rsidRPr="00B6647E" w:rsidRDefault="00A4731A" w:rsidP="00CA3139">
      <w:pPr>
        <w:spacing w:after="0" w:line="240" w:lineRule="auto"/>
        <w:rPr>
          <w:rFonts w:ascii="Arial" w:hAnsi="Arial" w:cs="Arial"/>
          <w:b/>
          <w:sz w:val="20"/>
          <w:szCs w:val="20"/>
        </w:rPr>
      </w:pPr>
    </w:p>
    <w:p w:rsidR="00A4731A" w:rsidRPr="00B6647E" w:rsidRDefault="00A4731A" w:rsidP="00CA3139">
      <w:pPr>
        <w:spacing w:after="0" w:line="240" w:lineRule="auto"/>
        <w:rPr>
          <w:rFonts w:ascii="Arial" w:hAnsi="Arial" w:cs="Arial"/>
          <w:b/>
          <w:sz w:val="20"/>
          <w:szCs w:val="20"/>
        </w:rPr>
      </w:pPr>
    </w:p>
    <w:p w:rsidR="00945510" w:rsidRPr="00B6647E" w:rsidRDefault="00945510" w:rsidP="00CA3139">
      <w:pPr>
        <w:spacing w:after="0" w:line="240" w:lineRule="auto"/>
        <w:rPr>
          <w:rFonts w:ascii="Arial" w:hAnsi="Arial" w:cs="Arial"/>
          <w:b/>
          <w:sz w:val="20"/>
          <w:szCs w:val="20"/>
        </w:rPr>
      </w:pPr>
    </w:p>
    <w:p w:rsidR="00945510" w:rsidRPr="00B6647E" w:rsidRDefault="00945510" w:rsidP="00CA3139">
      <w:pPr>
        <w:spacing w:after="0" w:line="240" w:lineRule="auto"/>
        <w:rPr>
          <w:rFonts w:ascii="Arial" w:hAnsi="Arial" w:cs="Arial"/>
          <w:b/>
          <w:sz w:val="20"/>
          <w:szCs w:val="20"/>
        </w:rPr>
      </w:pPr>
    </w:p>
    <w:p w:rsidR="00945510" w:rsidRPr="00B6647E" w:rsidRDefault="00945510" w:rsidP="00CA3139">
      <w:pPr>
        <w:spacing w:after="0" w:line="240" w:lineRule="auto"/>
        <w:rPr>
          <w:rFonts w:ascii="Arial" w:hAnsi="Arial" w:cs="Arial"/>
          <w:b/>
          <w:sz w:val="20"/>
          <w:szCs w:val="20"/>
        </w:rPr>
      </w:pPr>
    </w:p>
    <w:p w:rsidR="00945510" w:rsidRPr="00B6647E" w:rsidRDefault="00945510" w:rsidP="00CA3139">
      <w:pPr>
        <w:spacing w:after="0" w:line="240" w:lineRule="auto"/>
        <w:rPr>
          <w:rFonts w:ascii="Arial" w:hAnsi="Arial" w:cs="Arial"/>
          <w:b/>
          <w:sz w:val="20"/>
          <w:szCs w:val="20"/>
        </w:rPr>
      </w:pPr>
    </w:p>
    <w:p w:rsidR="00F82D2E" w:rsidRPr="00B6647E" w:rsidRDefault="005C7824" w:rsidP="00CA3139">
      <w:pPr>
        <w:spacing w:after="0" w:line="240" w:lineRule="auto"/>
        <w:rPr>
          <w:rFonts w:ascii="Arial" w:hAnsi="Arial" w:cs="Arial"/>
          <w:b/>
          <w:sz w:val="20"/>
          <w:szCs w:val="20"/>
        </w:rPr>
      </w:pPr>
      <w:r w:rsidRPr="00B6647E">
        <w:rPr>
          <w:rFonts w:ascii="Arial" w:hAnsi="Arial" w:cs="Arial"/>
          <w:b/>
          <w:sz w:val="20"/>
          <w:szCs w:val="20"/>
        </w:rPr>
        <w:lastRenderedPageBreak/>
        <w:t xml:space="preserve">Tableau </w:t>
      </w:r>
      <w:r w:rsidR="00C53AAF">
        <w:rPr>
          <w:rFonts w:ascii="Arial" w:hAnsi="Arial" w:cs="Arial"/>
          <w:b/>
          <w:sz w:val="20"/>
          <w:szCs w:val="20"/>
        </w:rPr>
        <w:t>78</w:t>
      </w:r>
      <w:r w:rsidR="00F82D2E" w:rsidRPr="00B6647E">
        <w:rPr>
          <w:rFonts w:ascii="Arial" w:hAnsi="Arial" w:cs="Arial"/>
          <w:b/>
          <w:sz w:val="20"/>
          <w:szCs w:val="20"/>
        </w:rPr>
        <w:t> : Productions totales de blé par région et par saison</w:t>
      </w:r>
    </w:p>
    <w:p w:rsidR="00F82D2E" w:rsidRPr="00B6647E" w:rsidRDefault="008B1734" w:rsidP="00CA3139">
      <w:pPr>
        <w:spacing w:after="0" w:line="240" w:lineRule="auto"/>
        <w:rPr>
          <w:rFonts w:ascii="Arial" w:hAnsi="Arial" w:cs="Arial"/>
          <w:sz w:val="20"/>
          <w:szCs w:val="20"/>
        </w:rPr>
      </w:pPr>
      <w:r w:rsidRPr="00B6647E">
        <w:rPr>
          <w:noProof/>
          <w:szCs w:val="20"/>
          <w:lang w:val="fr-FR" w:eastAsia="fr-FR"/>
        </w:rPr>
        <w:drawing>
          <wp:inline distT="0" distB="0" distL="0" distR="0">
            <wp:extent cx="4324350" cy="2914650"/>
            <wp:effectExtent l="19050" t="0" r="0" b="0"/>
            <wp:docPr id="385"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8" cstate="print"/>
                    <a:srcRect/>
                    <a:stretch>
                      <a:fillRect/>
                    </a:stretch>
                  </pic:blipFill>
                  <pic:spPr bwMode="auto">
                    <a:xfrm>
                      <a:off x="0" y="0"/>
                      <a:ext cx="4324350" cy="2914650"/>
                    </a:xfrm>
                    <a:prstGeom prst="rect">
                      <a:avLst/>
                    </a:prstGeom>
                    <a:noFill/>
                    <a:ln w="9525">
                      <a:noFill/>
                      <a:miter lim="800000"/>
                      <a:headEnd/>
                      <a:tailEnd/>
                    </a:ln>
                  </pic:spPr>
                </pic:pic>
              </a:graphicData>
            </a:graphic>
          </wp:inline>
        </w:drawing>
      </w:r>
    </w:p>
    <w:p w:rsidR="00A559F2" w:rsidRPr="00B6647E" w:rsidRDefault="00A559F2" w:rsidP="00AD2B33">
      <w:pPr>
        <w:pStyle w:val="Paragraphedeliste"/>
        <w:spacing w:before="200" w:after="120" w:line="240" w:lineRule="auto"/>
        <w:ind w:left="0"/>
        <w:contextualSpacing w:val="0"/>
        <w:rPr>
          <w:rFonts w:ascii="Arial" w:hAnsi="Arial" w:cs="Arial"/>
          <w:b/>
          <w:sz w:val="20"/>
          <w:szCs w:val="20"/>
        </w:rPr>
      </w:pPr>
      <w:r w:rsidRPr="00B6647E">
        <w:rPr>
          <w:rFonts w:ascii="Arial" w:hAnsi="Arial" w:cs="Arial"/>
          <w:b/>
          <w:sz w:val="20"/>
          <w:szCs w:val="20"/>
        </w:rPr>
        <w:t>b) Productions des céréales  dans les provinces</w:t>
      </w:r>
    </w:p>
    <w:p w:rsidR="00A559F2" w:rsidRPr="00B6647E" w:rsidRDefault="00F536DD" w:rsidP="00CA3139">
      <w:pPr>
        <w:pStyle w:val="Paragraphedeliste"/>
        <w:spacing w:after="120" w:line="240" w:lineRule="auto"/>
        <w:ind w:left="0"/>
        <w:contextualSpacing w:val="0"/>
        <w:jc w:val="both"/>
        <w:rPr>
          <w:rFonts w:ascii="Arial" w:hAnsi="Arial" w:cs="Arial"/>
          <w:sz w:val="20"/>
          <w:szCs w:val="20"/>
        </w:rPr>
      </w:pPr>
      <w:r w:rsidRPr="00B6647E">
        <w:rPr>
          <w:rFonts w:ascii="Arial" w:hAnsi="Arial" w:cs="Arial"/>
          <w:sz w:val="20"/>
          <w:szCs w:val="20"/>
        </w:rPr>
        <w:t>Parmi toutes les provinces</w:t>
      </w:r>
      <w:r w:rsidR="00795B1C" w:rsidRPr="00B6647E">
        <w:rPr>
          <w:rFonts w:ascii="Arial" w:hAnsi="Arial" w:cs="Arial"/>
          <w:sz w:val="20"/>
          <w:szCs w:val="20"/>
        </w:rPr>
        <w:t xml:space="preserve">, </w:t>
      </w:r>
      <w:r w:rsidRPr="00B6647E">
        <w:rPr>
          <w:rFonts w:ascii="Arial" w:hAnsi="Arial" w:cs="Arial"/>
          <w:sz w:val="20"/>
          <w:szCs w:val="20"/>
        </w:rPr>
        <w:t xml:space="preserve">Kirundo </w:t>
      </w:r>
      <w:r w:rsidR="00A25522" w:rsidRPr="00B6647E">
        <w:rPr>
          <w:rFonts w:ascii="Arial" w:hAnsi="Arial" w:cs="Arial"/>
          <w:sz w:val="20"/>
          <w:szCs w:val="20"/>
        </w:rPr>
        <w:t xml:space="preserve">a </w:t>
      </w:r>
      <w:r w:rsidR="00795B1C" w:rsidRPr="00B6647E">
        <w:rPr>
          <w:rFonts w:ascii="Arial" w:hAnsi="Arial" w:cs="Arial"/>
          <w:sz w:val="20"/>
          <w:szCs w:val="20"/>
        </w:rPr>
        <w:t>la production</w:t>
      </w:r>
      <w:r w:rsidRPr="00B6647E">
        <w:rPr>
          <w:rFonts w:ascii="Arial" w:hAnsi="Arial" w:cs="Arial"/>
          <w:sz w:val="20"/>
          <w:szCs w:val="20"/>
        </w:rPr>
        <w:t xml:space="preserve"> </w:t>
      </w:r>
      <w:r w:rsidR="00795B1C" w:rsidRPr="00B6647E">
        <w:rPr>
          <w:rFonts w:ascii="Arial" w:hAnsi="Arial" w:cs="Arial"/>
          <w:sz w:val="20"/>
          <w:szCs w:val="20"/>
        </w:rPr>
        <w:t xml:space="preserve">de céréales </w:t>
      </w:r>
      <w:r w:rsidRPr="00B6647E">
        <w:rPr>
          <w:rFonts w:ascii="Arial" w:hAnsi="Arial" w:cs="Arial"/>
          <w:sz w:val="20"/>
          <w:szCs w:val="20"/>
        </w:rPr>
        <w:t>l</w:t>
      </w:r>
      <w:r w:rsidR="00795B1C" w:rsidRPr="00B6647E">
        <w:rPr>
          <w:rFonts w:ascii="Arial" w:hAnsi="Arial" w:cs="Arial"/>
          <w:sz w:val="20"/>
          <w:szCs w:val="20"/>
        </w:rPr>
        <w:t>a</w:t>
      </w:r>
      <w:r w:rsidRPr="00B6647E">
        <w:rPr>
          <w:rFonts w:ascii="Arial" w:hAnsi="Arial" w:cs="Arial"/>
          <w:sz w:val="20"/>
          <w:szCs w:val="20"/>
        </w:rPr>
        <w:t xml:space="preserve"> plus élevée</w:t>
      </w:r>
      <w:r w:rsidR="00795B1C" w:rsidRPr="00B6647E">
        <w:rPr>
          <w:rFonts w:ascii="Arial" w:hAnsi="Arial" w:cs="Arial"/>
          <w:sz w:val="20"/>
          <w:szCs w:val="20"/>
        </w:rPr>
        <w:t xml:space="preserve">, soit  </w:t>
      </w:r>
      <w:r w:rsidRPr="00B6647E">
        <w:rPr>
          <w:rFonts w:ascii="Arial" w:hAnsi="Arial" w:cs="Arial"/>
          <w:sz w:val="20"/>
          <w:szCs w:val="20"/>
        </w:rPr>
        <w:t xml:space="preserve">34.083 tonnes </w:t>
      </w:r>
      <w:r w:rsidR="00795B1C" w:rsidRPr="00B6647E">
        <w:rPr>
          <w:rFonts w:ascii="Arial" w:hAnsi="Arial" w:cs="Arial"/>
          <w:sz w:val="20"/>
          <w:szCs w:val="20"/>
        </w:rPr>
        <w:t xml:space="preserve">représentant </w:t>
      </w:r>
      <w:r w:rsidRPr="00B6647E">
        <w:rPr>
          <w:rFonts w:ascii="Arial" w:hAnsi="Arial" w:cs="Arial"/>
          <w:sz w:val="20"/>
          <w:szCs w:val="20"/>
        </w:rPr>
        <w:t>13,8%</w:t>
      </w:r>
      <w:r w:rsidR="00795B1C" w:rsidRPr="00B6647E">
        <w:rPr>
          <w:rFonts w:ascii="Arial" w:hAnsi="Arial" w:cs="Arial"/>
          <w:sz w:val="20"/>
          <w:szCs w:val="20"/>
        </w:rPr>
        <w:t xml:space="preserve"> de la production totale de céréales. Ensuite viennent dans l’ordre Karuzi (22.982 tonnes, soit 9,3%), Ruyigi (</w:t>
      </w:r>
      <w:r w:rsidR="00A21084" w:rsidRPr="00B6647E">
        <w:rPr>
          <w:rFonts w:ascii="Arial" w:hAnsi="Arial" w:cs="Arial"/>
          <w:sz w:val="20"/>
          <w:szCs w:val="20"/>
        </w:rPr>
        <w:t>20.412 tonnes, soit 8,3%)</w:t>
      </w:r>
      <w:r w:rsidR="00795B1C" w:rsidRPr="00B6647E">
        <w:rPr>
          <w:rFonts w:ascii="Arial" w:hAnsi="Arial" w:cs="Arial"/>
          <w:sz w:val="20"/>
          <w:szCs w:val="20"/>
        </w:rPr>
        <w:t>, Cankuzo</w:t>
      </w:r>
      <w:r w:rsidR="00A21084" w:rsidRPr="00B6647E">
        <w:rPr>
          <w:rFonts w:ascii="Arial" w:hAnsi="Arial" w:cs="Arial"/>
          <w:sz w:val="20"/>
          <w:szCs w:val="20"/>
        </w:rPr>
        <w:t xml:space="preserve"> (19.508 tonnes, soit 7,9%)</w:t>
      </w:r>
      <w:r w:rsidR="00795B1C" w:rsidRPr="00B6647E">
        <w:rPr>
          <w:rFonts w:ascii="Arial" w:hAnsi="Arial" w:cs="Arial"/>
          <w:sz w:val="20"/>
          <w:szCs w:val="20"/>
        </w:rPr>
        <w:t>, Rutana</w:t>
      </w:r>
      <w:r w:rsidR="00A21084" w:rsidRPr="00B6647E">
        <w:rPr>
          <w:rFonts w:ascii="Arial" w:hAnsi="Arial" w:cs="Arial"/>
          <w:sz w:val="20"/>
          <w:szCs w:val="20"/>
        </w:rPr>
        <w:t xml:space="preserve"> (18.253 tonnes, soit 7,4%)</w:t>
      </w:r>
      <w:r w:rsidR="00795B1C" w:rsidRPr="00B6647E">
        <w:rPr>
          <w:rFonts w:ascii="Arial" w:hAnsi="Arial" w:cs="Arial"/>
          <w:sz w:val="20"/>
          <w:szCs w:val="20"/>
        </w:rPr>
        <w:t>.</w:t>
      </w:r>
      <w:r w:rsidR="00A21084" w:rsidRPr="00B6647E">
        <w:rPr>
          <w:rFonts w:ascii="Arial" w:hAnsi="Arial" w:cs="Arial"/>
          <w:sz w:val="20"/>
          <w:szCs w:val="20"/>
        </w:rPr>
        <w:t xml:space="preserve"> A l’opposé les provinces de Cibitoke (9.703 tonnes), Kayanza (8.32 tonnes), Muramvya (5.814 tonnes), Mwaro (7.014 tonnes) et Ngozi (7.577 tonnes) ont produit chacune moins de 10.000 tonnes de céréales</w:t>
      </w:r>
    </w:p>
    <w:p w:rsidR="00F82D2E" w:rsidRPr="00B6647E" w:rsidRDefault="00F82D2E" w:rsidP="00554EE0">
      <w:pPr>
        <w:spacing w:after="0" w:line="240" w:lineRule="auto"/>
        <w:rPr>
          <w:rFonts w:ascii="Arial" w:hAnsi="Arial" w:cs="Arial"/>
          <w:b/>
          <w:sz w:val="20"/>
          <w:szCs w:val="20"/>
        </w:rPr>
      </w:pPr>
      <w:r w:rsidRPr="00B6647E">
        <w:rPr>
          <w:rFonts w:ascii="Arial" w:hAnsi="Arial" w:cs="Arial"/>
          <w:b/>
          <w:sz w:val="20"/>
          <w:szCs w:val="20"/>
        </w:rPr>
        <w:t xml:space="preserve">Tableau </w:t>
      </w:r>
      <w:r w:rsidR="005C7824" w:rsidRPr="00B6647E">
        <w:rPr>
          <w:rFonts w:ascii="Arial" w:hAnsi="Arial" w:cs="Arial"/>
          <w:b/>
          <w:sz w:val="20"/>
          <w:szCs w:val="20"/>
        </w:rPr>
        <w:t>7</w:t>
      </w:r>
      <w:r w:rsidR="00C53AAF">
        <w:rPr>
          <w:rFonts w:ascii="Arial" w:hAnsi="Arial" w:cs="Arial"/>
          <w:b/>
          <w:sz w:val="20"/>
          <w:szCs w:val="20"/>
        </w:rPr>
        <w:t>9</w:t>
      </w:r>
      <w:r w:rsidRPr="00B6647E">
        <w:rPr>
          <w:rFonts w:ascii="Arial" w:hAnsi="Arial" w:cs="Arial"/>
          <w:b/>
          <w:sz w:val="20"/>
          <w:szCs w:val="20"/>
        </w:rPr>
        <w:t> : Productions totales de céréales par province et par saison</w:t>
      </w:r>
    </w:p>
    <w:p w:rsidR="00F82D2E" w:rsidRPr="00B6647E" w:rsidRDefault="008B1734" w:rsidP="00CA3139">
      <w:pPr>
        <w:spacing w:after="0" w:line="240" w:lineRule="auto"/>
        <w:rPr>
          <w:rFonts w:ascii="Arial" w:hAnsi="Arial" w:cs="Arial"/>
          <w:sz w:val="20"/>
          <w:szCs w:val="20"/>
        </w:rPr>
      </w:pPr>
      <w:r w:rsidRPr="00B6647E">
        <w:rPr>
          <w:noProof/>
          <w:szCs w:val="20"/>
          <w:lang w:val="fr-FR" w:eastAsia="fr-FR"/>
        </w:rPr>
        <w:drawing>
          <wp:inline distT="0" distB="0" distL="0" distR="0">
            <wp:extent cx="3957527" cy="3762895"/>
            <wp:effectExtent l="19050" t="0" r="4873" b="0"/>
            <wp:docPr id="386"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9" cstate="print"/>
                    <a:srcRect/>
                    <a:stretch>
                      <a:fillRect/>
                    </a:stretch>
                  </pic:blipFill>
                  <pic:spPr bwMode="auto">
                    <a:xfrm>
                      <a:off x="0" y="0"/>
                      <a:ext cx="3959683" cy="3764945"/>
                    </a:xfrm>
                    <a:prstGeom prst="rect">
                      <a:avLst/>
                    </a:prstGeom>
                    <a:noFill/>
                    <a:ln w="9525">
                      <a:noFill/>
                      <a:miter lim="800000"/>
                      <a:headEnd/>
                      <a:tailEnd/>
                    </a:ln>
                  </pic:spPr>
                </pic:pic>
              </a:graphicData>
            </a:graphic>
          </wp:inline>
        </w:drawing>
      </w:r>
    </w:p>
    <w:p w:rsidR="00A21084" w:rsidRPr="00B6647E" w:rsidRDefault="00A21084" w:rsidP="002E4BDB">
      <w:pPr>
        <w:spacing w:after="120" w:line="240" w:lineRule="auto"/>
        <w:jc w:val="both"/>
        <w:rPr>
          <w:rFonts w:ascii="Arial" w:hAnsi="Arial" w:cs="Arial"/>
          <w:sz w:val="20"/>
          <w:szCs w:val="20"/>
        </w:rPr>
      </w:pPr>
      <w:r w:rsidRPr="00B6647E">
        <w:rPr>
          <w:rFonts w:ascii="Arial" w:hAnsi="Arial" w:cs="Arial"/>
          <w:sz w:val="20"/>
          <w:szCs w:val="20"/>
        </w:rPr>
        <w:t>Comme cela a été remarqué plus haut, le maïs a été produit principalement au cours de la saison A</w:t>
      </w:r>
      <w:r w:rsidR="00762065" w:rsidRPr="00B6647E">
        <w:rPr>
          <w:rFonts w:ascii="Arial" w:hAnsi="Arial" w:cs="Arial"/>
          <w:sz w:val="20"/>
          <w:szCs w:val="20"/>
        </w:rPr>
        <w:t xml:space="preserve"> et son volume représente 57,1% de la production totale des céréales.</w:t>
      </w:r>
      <w:r w:rsidR="00936069" w:rsidRPr="00B6647E">
        <w:rPr>
          <w:rFonts w:ascii="Arial" w:hAnsi="Arial" w:cs="Arial"/>
          <w:sz w:val="20"/>
          <w:szCs w:val="20"/>
        </w:rPr>
        <w:t xml:space="preserve"> </w:t>
      </w:r>
      <w:r w:rsidRPr="00B6647E">
        <w:rPr>
          <w:rFonts w:ascii="Arial" w:hAnsi="Arial" w:cs="Arial"/>
          <w:sz w:val="20"/>
          <w:szCs w:val="20"/>
        </w:rPr>
        <w:t xml:space="preserve">La structure de </w:t>
      </w:r>
      <w:r w:rsidR="00072631" w:rsidRPr="00B6647E">
        <w:rPr>
          <w:rFonts w:ascii="Arial" w:hAnsi="Arial" w:cs="Arial"/>
          <w:sz w:val="20"/>
          <w:szCs w:val="20"/>
        </w:rPr>
        <w:t>la</w:t>
      </w:r>
      <w:r w:rsidRPr="00B6647E">
        <w:rPr>
          <w:rFonts w:ascii="Arial" w:hAnsi="Arial" w:cs="Arial"/>
          <w:sz w:val="20"/>
          <w:szCs w:val="20"/>
        </w:rPr>
        <w:t xml:space="preserve"> production </w:t>
      </w:r>
      <w:r w:rsidR="00072631" w:rsidRPr="00B6647E">
        <w:rPr>
          <w:rFonts w:ascii="Arial" w:hAnsi="Arial" w:cs="Arial"/>
          <w:sz w:val="20"/>
          <w:szCs w:val="20"/>
        </w:rPr>
        <w:t xml:space="preserve">de maïs </w:t>
      </w:r>
      <w:r w:rsidRPr="00B6647E">
        <w:rPr>
          <w:rFonts w:ascii="Arial" w:hAnsi="Arial" w:cs="Arial"/>
          <w:sz w:val="20"/>
          <w:szCs w:val="20"/>
        </w:rPr>
        <w:t xml:space="preserve">au niveau des provinces est pratiquement la même que celle de la production totale des céréales, </w:t>
      </w:r>
      <w:r w:rsidR="00072631" w:rsidRPr="00B6647E">
        <w:rPr>
          <w:rFonts w:ascii="Arial" w:hAnsi="Arial" w:cs="Arial"/>
          <w:sz w:val="20"/>
          <w:szCs w:val="20"/>
        </w:rPr>
        <w:t xml:space="preserve">indiquant ainsi </w:t>
      </w:r>
      <w:r w:rsidRPr="00B6647E">
        <w:rPr>
          <w:rFonts w:ascii="Arial" w:hAnsi="Arial" w:cs="Arial"/>
          <w:sz w:val="20"/>
          <w:szCs w:val="20"/>
        </w:rPr>
        <w:t xml:space="preserve">que </w:t>
      </w:r>
      <w:r w:rsidR="00072631" w:rsidRPr="00B6647E">
        <w:rPr>
          <w:rFonts w:ascii="Arial" w:hAnsi="Arial" w:cs="Arial"/>
          <w:sz w:val="20"/>
          <w:szCs w:val="20"/>
        </w:rPr>
        <w:t>prépondérance du</w:t>
      </w:r>
      <w:r w:rsidRPr="00B6647E">
        <w:rPr>
          <w:rFonts w:ascii="Arial" w:hAnsi="Arial" w:cs="Arial"/>
          <w:sz w:val="20"/>
          <w:szCs w:val="20"/>
        </w:rPr>
        <w:t xml:space="preserve"> maïs </w:t>
      </w:r>
      <w:r w:rsidR="00072631" w:rsidRPr="00B6647E">
        <w:rPr>
          <w:rFonts w:ascii="Arial" w:hAnsi="Arial" w:cs="Arial"/>
          <w:sz w:val="20"/>
          <w:szCs w:val="20"/>
        </w:rPr>
        <w:t>sur les autres céréales.</w:t>
      </w:r>
      <w:r w:rsidR="00554EE0" w:rsidRPr="00B6647E">
        <w:rPr>
          <w:rFonts w:ascii="Arial" w:hAnsi="Arial" w:cs="Arial"/>
          <w:sz w:val="20"/>
          <w:szCs w:val="20"/>
        </w:rPr>
        <w:t xml:space="preserve"> </w:t>
      </w:r>
      <w:r w:rsidR="00765E4E" w:rsidRPr="00B6647E">
        <w:rPr>
          <w:rFonts w:ascii="Arial" w:hAnsi="Arial" w:cs="Arial"/>
          <w:sz w:val="20"/>
          <w:szCs w:val="20"/>
        </w:rPr>
        <w:t xml:space="preserve">Sept provinces ont </w:t>
      </w:r>
      <w:r w:rsidR="00765E4E" w:rsidRPr="00B6647E">
        <w:rPr>
          <w:rFonts w:ascii="Arial" w:hAnsi="Arial" w:cs="Arial"/>
          <w:sz w:val="20"/>
          <w:szCs w:val="20"/>
        </w:rPr>
        <w:lastRenderedPageBreak/>
        <w:t xml:space="preserve">produit (Kirundo, Gitega, Muyinga, Rutana, Ruyigi, Bururi et Karuzi) ont produit chacune plus de 10.000 tonnes </w:t>
      </w:r>
      <w:r w:rsidR="00762065" w:rsidRPr="00B6647E">
        <w:rPr>
          <w:rFonts w:ascii="Arial" w:hAnsi="Arial" w:cs="Arial"/>
          <w:sz w:val="20"/>
          <w:szCs w:val="20"/>
        </w:rPr>
        <w:t>de céréales. A contrario, Muramvya et Ngozi ont produit moins de 5.000 tonnes.</w:t>
      </w:r>
    </w:p>
    <w:p w:rsidR="00491F76" w:rsidRPr="00B6647E" w:rsidRDefault="00491F76" w:rsidP="002E4BDB">
      <w:pPr>
        <w:spacing w:after="120" w:line="240" w:lineRule="auto"/>
        <w:rPr>
          <w:rFonts w:ascii="Arial" w:hAnsi="Arial" w:cs="Arial"/>
          <w:b/>
          <w:sz w:val="20"/>
          <w:szCs w:val="20"/>
        </w:rPr>
      </w:pPr>
      <w:r w:rsidRPr="00B6647E">
        <w:rPr>
          <w:rFonts w:ascii="Arial" w:hAnsi="Arial" w:cs="Arial"/>
          <w:b/>
          <w:sz w:val="20"/>
          <w:szCs w:val="20"/>
        </w:rPr>
        <w:t xml:space="preserve">Tableau </w:t>
      </w:r>
      <w:r w:rsidR="00C53AAF">
        <w:rPr>
          <w:rFonts w:ascii="Arial" w:hAnsi="Arial" w:cs="Arial"/>
          <w:b/>
          <w:sz w:val="20"/>
          <w:szCs w:val="20"/>
        </w:rPr>
        <w:t>80</w:t>
      </w:r>
      <w:r w:rsidRPr="00B6647E">
        <w:rPr>
          <w:rFonts w:ascii="Arial" w:hAnsi="Arial" w:cs="Arial"/>
          <w:b/>
          <w:sz w:val="20"/>
          <w:szCs w:val="20"/>
        </w:rPr>
        <w:t> : Productions totales de maïs par province et par saison</w:t>
      </w:r>
    </w:p>
    <w:p w:rsidR="00491F76" w:rsidRPr="00B6647E" w:rsidRDefault="008B1734" w:rsidP="00CA3139">
      <w:pPr>
        <w:spacing w:after="0" w:line="240" w:lineRule="auto"/>
        <w:rPr>
          <w:rFonts w:ascii="Arial" w:hAnsi="Arial" w:cs="Arial"/>
          <w:sz w:val="20"/>
          <w:szCs w:val="20"/>
        </w:rPr>
      </w:pPr>
      <w:r w:rsidRPr="00B6647E">
        <w:rPr>
          <w:noProof/>
          <w:szCs w:val="20"/>
          <w:lang w:val="fr-FR" w:eastAsia="fr-FR"/>
        </w:rPr>
        <w:drawing>
          <wp:inline distT="0" distB="0" distL="0" distR="0">
            <wp:extent cx="3744876" cy="3560702"/>
            <wp:effectExtent l="19050" t="0" r="7974" b="0"/>
            <wp:docPr id="387"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0" cstate="print"/>
                    <a:srcRect/>
                    <a:stretch>
                      <a:fillRect/>
                    </a:stretch>
                  </pic:blipFill>
                  <pic:spPr bwMode="auto">
                    <a:xfrm>
                      <a:off x="0" y="0"/>
                      <a:ext cx="3746917" cy="3562642"/>
                    </a:xfrm>
                    <a:prstGeom prst="rect">
                      <a:avLst/>
                    </a:prstGeom>
                    <a:noFill/>
                    <a:ln w="9525">
                      <a:noFill/>
                      <a:miter lim="800000"/>
                      <a:headEnd/>
                      <a:tailEnd/>
                    </a:ln>
                  </pic:spPr>
                </pic:pic>
              </a:graphicData>
            </a:graphic>
          </wp:inline>
        </w:drawing>
      </w:r>
    </w:p>
    <w:p w:rsidR="00936069" w:rsidRPr="00B6647E" w:rsidRDefault="00936069" w:rsidP="002E4BDB">
      <w:pPr>
        <w:spacing w:after="120" w:line="240" w:lineRule="auto"/>
        <w:jc w:val="both"/>
        <w:rPr>
          <w:rFonts w:ascii="Arial" w:hAnsi="Arial" w:cs="Arial"/>
          <w:sz w:val="20"/>
          <w:szCs w:val="20"/>
        </w:rPr>
      </w:pPr>
    </w:p>
    <w:p w:rsidR="00491F76" w:rsidRPr="00B6647E" w:rsidRDefault="005C7824" w:rsidP="00936069">
      <w:pPr>
        <w:keepNext/>
        <w:spacing w:after="0" w:line="240" w:lineRule="auto"/>
        <w:rPr>
          <w:rFonts w:ascii="Arial" w:hAnsi="Arial" w:cs="Arial"/>
          <w:b/>
          <w:sz w:val="20"/>
          <w:szCs w:val="20"/>
        </w:rPr>
      </w:pPr>
      <w:r w:rsidRPr="00B6647E">
        <w:rPr>
          <w:rFonts w:ascii="Arial" w:hAnsi="Arial" w:cs="Arial"/>
          <w:b/>
          <w:sz w:val="20"/>
          <w:szCs w:val="20"/>
        </w:rPr>
        <w:t xml:space="preserve">Tableau </w:t>
      </w:r>
      <w:r w:rsidR="00C53AAF">
        <w:rPr>
          <w:rFonts w:ascii="Arial" w:hAnsi="Arial" w:cs="Arial"/>
          <w:b/>
          <w:sz w:val="20"/>
          <w:szCs w:val="20"/>
        </w:rPr>
        <w:t>81</w:t>
      </w:r>
      <w:r w:rsidR="00491F76" w:rsidRPr="00B6647E">
        <w:rPr>
          <w:rFonts w:ascii="Arial" w:hAnsi="Arial" w:cs="Arial"/>
          <w:b/>
          <w:sz w:val="20"/>
          <w:szCs w:val="20"/>
        </w:rPr>
        <w:t> : Productions totales de sorgho par province et par saison</w:t>
      </w:r>
    </w:p>
    <w:p w:rsidR="00491F76" w:rsidRPr="00B6647E" w:rsidRDefault="008B1734" w:rsidP="00936069">
      <w:pPr>
        <w:keepNext/>
        <w:spacing w:after="0" w:line="240" w:lineRule="auto"/>
        <w:rPr>
          <w:rFonts w:ascii="Arial" w:hAnsi="Arial" w:cs="Arial"/>
          <w:sz w:val="20"/>
          <w:szCs w:val="20"/>
        </w:rPr>
      </w:pPr>
      <w:r w:rsidRPr="00B6647E">
        <w:rPr>
          <w:noProof/>
          <w:szCs w:val="20"/>
          <w:lang w:val="fr-FR" w:eastAsia="fr-FR"/>
        </w:rPr>
        <w:drawing>
          <wp:inline distT="0" distB="0" distL="0" distR="0">
            <wp:extent cx="4067175" cy="3867150"/>
            <wp:effectExtent l="19050" t="0" r="9525" b="0"/>
            <wp:docPr id="388"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1" cstate="print"/>
                    <a:srcRect/>
                    <a:stretch>
                      <a:fillRect/>
                    </a:stretch>
                  </pic:blipFill>
                  <pic:spPr bwMode="auto">
                    <a:xfrm>
                      <a:off x="0" y="0"/>
                      <a:ext cx="4067175" cy="3867150"/>
                    </a:xfrm>
                    <a:prstGeom prst="rect">
                      <a:avLst/>
                    </a:prstGeom>
                    <a:noFill/>
                    <a:ln w="9525">
                      <a:noFill/>
                      <a:miter lim="800000"/>
                      <a:headEnd/>
                      <a:tailEnd/>
                    </a:ln>
                  </pic:spPr>
                </pic:pic>
              </a:graphicData>
            </a:graphic>
          </wp:inline>
        </w:drawing>
      </w:r>
    </w:p>
    <w:p w:rsidR="00936069" w:rsidRPr="00B6647E" w:rsidRDefault="00936069" w:rsidP="00936069">
      <w:pPr>
        <w:spacing w:after="120" w:line="240" w:lineRule="auto"/>
        <w:jc w:val="both"/>
        <w:rPr>
          <w:rFonts w:ascii="Arial" w:hAnsi="Arial" w:cs="Arial"/>
          <w:sz w:val="20"/>
          <w:szCs w:val="20"/>
        </w:rPr>
      </w:pPr>
      <w:r w:rsidRPr="00B6647E">
        <w:rPr>
          <w:rFonts w:ascii="Arial" w:hAnsi="Arial" w:cs="Arial"/>
          <w:sz w:val="20"/>
          <w:szCs w:val="20"/>
        </w:rPr>
        <w:t xml:space="preserve">La production totale de sorgho (12,8% de la production totale de céréales) est principalement produite dans les provinces de Kirundo (13.983 tonnes, soit 44,4% de la production totale de sorgho), </w:t>
      </w:r>
      <w:r w:rsidRPr="00B6647E">
        <w:rPr>
          <w:rFonts w:ascii="Arial" w:hAnsi="Arial" w:cs="Arial"/>
          <w:sz w:val="20"/>
          <w:szCs w:val="20"/>
        </w:rPr>
        <w:lastRenderedPageBreak/>
        <w:t>Cankuzo (6.371 tonnes, soit 20,2%), Ruyigi (3.663 tonnes, soit 11,6%), Rutana (2.346 tonnes, soit 7,4%), Muyinga (2.001 tonnes, soit 6,3%), Karuzi (1.025 tonnes, soit 3,3%).</w:t>
      </w:r>
    </w:p>
    <w:p w:rsidR="00554EE0" w:rsidRPr="00B6647E" w:rsidRDefault="003272BB" w:rsidP="002E4BDB">
      <w:pPr>
        <w:spacing w:after="120" w:line="240" w:lineRule="auto"/>
        <w:jc w:val="both"/>
        <w:rPr>
          <w:rFonts w:ascii="Arial" w:hAnsi="Arial" w:cs="Arial"/>
          <w:sz w:val="20"/>
          <w:szCs w:val="20"/>
        </w:rPr>
      </w:pPr>
      <w:r w:rsidRPr="00B6647E">
        <w:rPr>
          <w:rFonts w:ascii="Arial" w:hAnsi="Arial" w:cs="Arial"/>
          <w:sz w:val="20"/>
          <w:szCs w:val="20"/>
        </w:rPr>
        <w:t xml:space="preserve">La production totale de riz est estimée à 64620 tonnes (26,2% de la production totale de céréales). </w:t>
      </w:r>
    </w:p>
    <w:p w:rsidR="00491F76" w:rsidRPr="00B6647E" w:rsidRDefault="005C7824" w:rsidP="00554EE0">
      <w:pPr>
        <w:keepNext/>
        <w:spacing w:after="120" w:line="240" w:lineRule="auto"/>
        <w:rPr>
          <w:rFonts w:ascii="Arial" w:hAnsi="Arial" w:cs="Arial"/>
          <w:b/>
          <w:sz w:val="20"/>
          <w:szCs w:val="20"/>
        </w:rPr>
      </w:pPr>
      <w:r w:rsidRPr="00B6647E">
        <w:rPr>
          <w:rFonts w:ascii="Arial" w:hAnsi="Arial" w:cs="Arial"/>
          <w:b/>
          <w:sz w:val="20"/>
          <w:szCs w:val="20"/>
        </w:rPr>
        <w:t xml:space="preserve">Tableau </w:t>
      </w:r>
      <w:r w:rsidR="00C53AAF">
        <w:rPr>
          <w:rFonts w:ascii="Arial" w:hAnsi="Arial" w:cs="Arial"/>
          <w:b/>
          <w:sz w:val="20"/>
          <w:szCs w:val="20"/>
        </w:rPr>
        <w:t>82</w:t>
      </w:r>
      <w:r w:rsidR="00491F76" w:rsidRPr="00B6647E">
        <w:rPr>
          <w:rFonts w:ascii="Arial" w:hAnsi="Arial" w:cs="Arial"/>
          <w:b/>
          <w:sz w:val="20"/>
          <w:szCs w:val="20"/>
        </w:rPr>
        <w:t> : Productions totales de riz par province et par saison</w:t>
      </w:r>
    </w:p>
    <w:p w:rsidR="00491F76" w:rsidRPr="00B6647E" w:rsidRDefault="008B1734" w:rsidP="00554EE0">
      <w:pPr>
        <w:keepNext/>
        <w:spacing w:after="0" w:line="240" w:lineRule="auto"/>
        <w:rPr>
          <w:rFonts w:ascii="Arial" w:hAnsi="Arial" w:cs="Arial"/>
          <w:sz w:val="20"/>
          <w:szCs w:val="20"/>
        </w:rPr>
      </w:pPr>
      <w:r w:rsidRPr="00B6647E">
        <w:rPr>
          <w:noProof/>
          <w:szCs w:val="20"/>
          <w:lang w:val="fr-FR" w:eastAsia="fr-FR"/>
        </w:rPr>
        <w:drawing>
          <wp:inline distT="0" distB="0" distL="0" distR="0">
            <wp:extent cx="4067175" cy="3867150"/>
            <wp:effectExtent l="19050" t="0" r="9525" b="0"/>
            <wp:docPr id="389"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2" cstate="print"/>
                    <a:srcRect/>
                    <a:stretch>
                      <a:fillRect/>
                    </a:stretch>
                  </pic:blipFill>
                  <pic:spPr bwMode="auto">
                    <a:xfrm>
                      <a:off x="0" y="0"/>
                      <a:ext cx="4067175" cy="3867150"/>
                    </a:xfrm>
                    <a:prstGeom prst="rect">
                      <a:avLst/>
                    </a:prstGeom>
                    <a:noFill/>
                    <a:ln w="9525">
                      <a:noFill/>
                      <a:miter lim="800000"/>
                      <a:headEnd/>
                      <a:tailEnd/>
                    </a:ln>
                  </pic:spPr>
                </pic:pic>
              </a:graphicData>
            </a:graphic>
          </wp:inline>
        </w:drawing>
      </w:r>
    </w:p>
    <w:p w:rsidR="00293694" w:rsidRPr="00B6647E" w:rsidRDefault="002E4BDB" w:rsidP="002E4BDB">
      <w:pPr>
        <w:spacing w:after="120" w:line="240" w:lineRule="auto"/>
        <w:jc w:val="both"/>
        <w:rPr>
          <w:rFonts w:ascii="Arial" w:hAnsi="Arial" w:cs="Arial"/>
          <w:sz w:val="20"/>
          <w:szCs w:val="20"/>
        </w:rPr>
      </w:pPr>
      <w:r w:rsidRPr="00B6647E">
        <w:rPr>
          <w:rFonts w:ascii="Arial" w:hAnsi="Arial" w:cs="Arial"/>
          <w:sz w:val="20"/>
          <w:szCs w:val="20"/>
        </w:rPr>
        <w:t>Les plus grandes productions ont été enregistrées dans les provinces de Karuzi (11.089 tonnes soit 17,2% de la production totale de riz de la campagne agricole 2011-2012), Bujumbura rural (10.210 tonnes, soit 15,8%), Bubanza (8.749 tonnes, soit 13,5%), Ruyigi (5.077 tonnes, soit 7,9%), Makamba (4.998 tonnes, soit 7,7%), Kirundo (4.780 tonnes, soit 7,4%), Cankuzo (3.895 tonnes, soit 6%).</w:t>
      </w:r>
    </w:p>
    <w:p w:rsidR="002E4BDB" w:rsidRPr="00B6647E" w:rsidRDefault="002E4BDB" w:rsidP="002E4BDB">
      <w:pPr>
        <w:spacing w:after="120" w:line="240" w:lineRule="auto"/>
        <w:jc w:val="both"/>
        <w:rPr>
          <w:rFonts w:ascii="Arial" w:hAnsi="Arial" w:cs="Arial"/>
          <w:sz w:val="20"/>
          <w:szCs w:val="20"/>
        </w:rPr>
      </w:pPr>
      <w:r w:rsidRPr="00B6647E">
        <w:rPr>
          <w:rFonts w:ascii="Arial" w:hAnsi="Arial" w:cs="Arial"/>
          <w:sz w:val="20"/>
          <w:szCs w:val="20"/>
        </w:rPr>
        <w:t xml:space="preserve"> Une production de riz pratiquement nulle a été estimée dans la province de Muramvya.</w:t>
      </w:r>
    </w:p>
    <w:p w:rsidR="00293694" w:rsidRPr="00B6647E" w:rsidRDefault="00384220" w:rsidP="00554EE0">
      <w:pPr>
        <w:spacing w:after="120" w:line="240" w:lineRule="auto"/>
        <w:jc w:val="both"/>
        <w:rPr>
          <w:rFonts w:ascii="Arial" w:hAnsi="Arial" w:cs="Arial"/>
          <w:sz w:val="20"/>
          <w:szCs w:val="20"/>
        </w:rPr>
      </w:pPr>
      <w:r w:rsidRPr="00B6647E">
        <w:rPr>
          <w:rFonts w:ascii="Arial" w:hAnsi="Arial" w:cs="Arial"/>
          <w:sz w:val="20"/>
          <w:szCs w:val="20"/>
        </w:rPr>
        <w:t xml:space="preserve">La production d’éleusine </w:t>
      </w:r>
      <w:r w:rsidR="00A275F5" w:rsidRPr="00B6647E">
        <w:rPr>
          <w:rFonts w:ascii="Arial" w:hAnsi="Arial" w:cs="Arial"/>
          <w:sz w:val="20"/>
          <w:szCs w:val="20"/>
        </w:rPr>
        <w:t xml:space="preserve">est évaluée à 5.469 tonnes. Elle </w:t>
      </w:r>
      <w:r w:rsidRPr="00B6647E">
        <w:rPr>
          <w:rFonts w:ascii="Arial" w:hAnsi="Arial" w:cs="Arial"/>
          <w:sz w:val="20"/>
          <w:szCs w:val="20"/>
        </w:rPr>
        <w:t xml:space="preserve">représente 2,2% de la production totale des céréales estimée au cours de toute la campagne agricole. </w:t>
      </w:r>
    </w:p>
    <w:p w:rsidR="00491F76" w:rsidRPr="00B6647E" w:rsidRDefault="00384220" w:rsidP="00554EE0">
      <w:pPr>
        <w:spacing w:after="120" w:line="240" w:lineRule="auto"/>
        <w:jc w:val="both"/>
        <w:rPr>
          <w:rFonts w:ascii="Arial" w:hAnsi="Arial" w:cs="Arial"/>
          <w:sz w:val="20"/>
          <w:szCs w:val="20"/>
        </w:rPr>
      </w:pPr>
      <w:r w:rsidRPr="00B6647E">
        <w:rPr>
          <w:rFonts w:ascii="Arial" w:hAnsi="Arial" w:cs="Arial"/>
          <w:sz w:val="20"/>
          <w:szCs w:val="20"/>
        </w:rPr>
        <w:t xml:space="preserve">Cette production a été estimé principalement en saison B (4.684 tonnes, soit </w:t>
      </w:r>
      <w:r w:rsidR="00A275F5" w:rsidRPr="00B6647E">
        <w:rPr>
          <w:rFonts w:ascii="Arial" w:hAnsi="Arial" w:cs="Arial"/>
          <w:sz w:val="20"/>
          <w:szCs w:val="20"/>
        </w:rPr>
        <w:t>85,6%</w:t>
      </w:r>
      <w:r w:rsidRPr="00B6647E">
        <w:rPr>
          <w:rFonts w:ascii="Arial" w:hAnsi="Arial" w:cs="Arial"/>
          <w:sz w:val="20"/>
          <w:szCs w:val="20"/>
        </w:rPr>
        <w:t xml:space="preserve"> de la production totale d’éleusine) et dans la province de Rutana (2.295 tonnes, soit</w:t>
      </w:r>
      <w:r w:rsidR="00A275F5" w:rsidRPr="00B6647E">
        <w:rPr>
          <w:rFonts w:ascii="Arial" w:hAnsi="Arial" w:cs="Arial"/>
          <w:sz w:val="20"/>
          <w:szCs w:val="20"/>
        </w:rPr>
        <w:t xml:space="preserve"> 42%</w:t>
      </w:r>
      <w:r w:rsidRPr="00B6647E">
        <w:rPr>
          <w:rFonts w:ascii="Arial" w:hAnsi="Arial" w:cs="Arial"/>
          <w:sz w:val="20"/>
          <w:szCs w:val="20"/>
        </w:rPr>
        <w:t>)</w:t>
      </w:r>
      <w:r w:rsidR="00A275F5" w:rsidRPr="00B6647E">
        <w:rPr>
          <w:rFonts w:ascii="Arial" w:hAnsi="Arial" w:cs="Arial"/>
          <w:sz w:val="20"/>
          <w:szCs w:val="20"/>
        </w:rPr>
        <w:t>.</w:t>
      </w:r>
    </w:p>
    <w:p w:rsidR="00491F76" w:rsidRPr="00B6647E" w:rsidRDefault="005C7824" w:rsidP="00293694">
      <w:pPr>
        <w:keepNext/>
        <w:spacing w:after="0" w:line="240" w:lineRule="auto"/>
        <w:rPr>
          <w:rFonts w:ascii="Arial" w:hAnsi="Arial" w:cs="Arial"/>
          <w:b/>
          <w:sz w:val="20"/>
          <w:szCs w:val="20"/>
        </w:rPr>
      </w:pPr>
      <w:r w:rsidRPr="00B6647E">
        <w:rPr>
          <w:rFonts w:ascii="Arial" w:hAnsi="Arial" w:cs="Arial"/>
          <w:b/>
          <w:sz w:val="20"/>
          <w:szCs w:val="20"/>
        </w:rPr>
        <w:lastRenderedPageBreak/>
        <w:t xml:space="preserve">Tableau </w:t>
      </w:r>
      <w:r w:rsidR="00C53AAF">
        <w:rPr>
          <w:rFonts w:ascii="Arial" w:hAnsi="Arial" w:cs="Arial"/>
          <w:b/>
          <w:sz w:val="20"/>
          <w:szCs w:val="20"/>
        </w:rPr>
        <w:t>83</w:t>
      </w:r>
      <w:r w:rsidR="00491F76" w:rsidRPr="00B6647E">
        <w:rPr>
          <w:rFonts w:ascii="Arial" w:hAnsi="Arial" w:cs="Arial"/>
          <w:b/>
          <w:sz w:val="20"/>
          <w:szCs w:val="20"/>
        </w:rPr>
        <w:t> : Productions totales d’éleusine par province et par saison</w:t>
      </w:r>
    </w:p>
    <w:p w:rsidR="00491F76" w:rsidRPr="00B6647E" w:rsidRDefault="008B1734" w:rsidP="00293694">
      <w:pPr>
        <w:keepNext/>
        <w:spacing w:after="0" w:line="240" w:lineRule="auto"/>
        <w:rPr>
          <w:rFonts w:ascii="Arial" w:hAnsi="Arial" w:cs="Arial"/>
          <w:sz w:val="20"/>
          <w:szCs w:val="20"/>
        </w:rPr>
      </w:pPr>
      <w:r w:rsidRPr="00B6647E">
        <w:rPr>
          <w:noProof/>
          <w:szCs w:val="20"/>
          <w:lang w:val="fr-FR" w:eastAsia="fr-FR"/>
        </w:rPr>
        <w:drawing>
          <wp:inline distT="0" distB="0" distL="0" distR="0">
            <wp:extent cx="4067175" cy="3867150"/>
            <wp:effectExtent l="19050" t="0" r="9525" b="0"/>
            <wp:docPr id="390"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3" cstate="print"/>
                    <a:srcRect/>
                    <a:stretch>
                      <a:fillRect/>
                    </a:stretch>
                  </pic:blipFill>
                  <pic:spPr bwMode="auto">
                    <a:xfrm>
                      <a:off x="0" y="0"/>
                      <a:ext cx="4067175" cy="3867150"/>
                    </a:xfrm>
                    <a:prstGeom prst="rect">
                      <a:avLst/>
                    </a:prstGeom>
                    <a:noFill/>
                    <a:ln w="9525">
                      <a:noFill/>
                      <a:miter lim="800000"/>
                      <a:headEnd/>
                      <a:tailEnd/>
                    </a:ln>
                  </pic:spPr>
                </pic:pic>
              </a:graphicData>
            </a:graphic>
          </wp:inline>
        </w:drawing>
      </w:r>
    </w:p>
    <w:p w:rsidR="00554EE0" w:rsidRPr="00B6647E" w:rsidRDefault="00A275F5" w:rsidP="00506D4D">
      <w:pPr>
        <w:spacing w:line="240" w:lineRule="auto"/>
        <w:jc w:val="both"/>
        <w:rPr>
          <w:rFonts w:ascii="Arial" w:hAnsi="Arial" w:cs="Arial"/>
          <w:sz w:val="20"/>
          <w:szCs w:val="20"/>
        </w:rPr>
      </w:pPr>
      <w:r w:rsidRPr="00B6647E">
        <w:rPr>
          <w:rFonts w:ascii="Arial" w:hAnsi="Arial" w:cs="Arial"/>
          <w:sz w:val="20"/>
          <w:szCs w:val="20"/>
        </w:rPr>
        <w:t>La production de blé, estimée à 4.196 tonnes représente 1,7% de la production totale des céréales</w:t>
      </w:r>
      <w:r w:rsidR="00554EE0" w:rsidRPr="00B6647E">
        <w:rPr>
          <w:rFonts w:ascii="Arial" w:hAnsi="Arial" w:cs="Arial"/>
          <w:sz w:val="20"/>
          <w:szCs w:val="20"/>
        </w:rPr>
        <w:t xml:space="preserve"> de toute la campagne agricole.</w:t>
      </w:r>
    </w:p>
    <w:p w:rsidR="00491F76" w:rsidRPr="00B6647E" w:rsidRDefault="00491F76" w:rsidP="002E4BDB">
      <w:pPr>
        <w:keepNext/>
        <w:spacing w:after="120" w:line="240" w:lineRule="auto"/>
        <w:rPr>
          <w:rFonts w:ascii="Arial" w:hAnsi="Arial" w:cs="Arial"/>
          <w:b/>
          <w:sz w:val="20"/>
          <w:szCs w:val="20"/>
        </w:rPr>
      </w:pPr>
      <w:r w:rsidRPr="00B6647E">
        <w:rPr>
          <w:rFonts w:ascii="Arial" w:hAnsi="Arial" w:cs="Arial"/>
          <w:b/>
          <w:sz w:val="20"/>
          <w:szCs w:val="20"/>
        </w:rPr>
        <w:t xml:space="preserve">Tableau </w:t>
      </w:r>
      <w:r w:rsidR="00C53AAF">
        <w:rPr>
          <w:rFonts w:ascii="Arial" w:hAnsi="Arial" w:cs="Arial"/>
          <w:b/>
          <w:sz w:val="20"/>
          <w:szCs w:val="20"/>
        </w:rPr>
        <w:t>84</w:t>
      </w:r>
      <w:r w:rsidRPr="00B6647E">
        <w:rPr>
          <w:rFonts w:ascii="Arial" w:hAnsi="Arial" w:cs="Arial"/>
          <w:b/>
          <w:sz w:val="20"/>
          <w:szCs w:val="20"/>
        </w:rPr>
        <w:t> : Productions totales de blé par province et par saison</w:t>
      </w:r>
    </w:p>
    <w:p w:rsidR="00293694" w:rsidRPr="00B6647E" w:rsidRDefault="008B1734" w:rsidP="00293694">
      <w:pPr>
        <w:spacing w:line="240" w:lineRule="auto"/>
        <w:jc w:val="both"/>
        <w:rPr>
          <w:rFonts w:ascii="Arial" w:hAnsi="Arial" w:cs="Arial"/>
          <w:sz w:val="20"/>
          <w:szCs w:val="20"/>
        </w:rPr>
      </w:pPr>
      <w:r w:rsidRPr="00B6647E">
        <w:rPr>
          <w:noProof/>
          <w:szCs w:val="20"/>
          <w:lang w:val="fr-FR" w:eastAsia="fr-FR"/>
        </w:rPr>
        <w:drawing>
          <wp:inline distT="0" distB="0" distL="0" distR="0">
            <wp:extent cx="4067175" cy="3867150"/>
            <wp:effectExtent l="19050" t="0" r="9525" b="0"/>
            <wp:docPr id="391"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4" cstate="print"/>
                    <a:srcRect/>
                    <a:stretch>
                      <a:fillRect/>
                    </a:stretch>
                  </pic:blipFill>
                  <pic:spPr bwMode="auto">
                    <a:xfrm>
                      <a:off x="0" y="0"/>
                      <a:ext cx="4067175" cy="3867150"/>
                    </a:xfrm>
                    <a:prstGeom prst="rect">
                      <a:avLst/>
                    </a:prstGeom>
                    <a:noFill/>
                    <a:ln w="9525">
                      <a:noFill/>
                      <a:miter lim="800000"/>
                      <a:headEnd/>
                      <a:tailEnd/>
                    </a:ln>
                  </pic:spPr>
                </pic:pic>
              </a:graphicData>
            </a:graphic>
          </wp:inline>
        </w:drawing>
      </w:r>
    </w:p>
    <w:p w:rsidR="00293694" w:rsidRPr="00B6647E" w:rsidRDefault="00293694" w:rsidP="00293694">
      <w:pPr>
        <w:spacing w:line="240" w:lineRule="auto"/>
        <w:jc w:val="both"/>
        <w:rPr>
          <w:rFonts w:ascii="Arial" w:hAnsi="Arial" w:cs="Arial"/>
          <w:sz w:val="20"/>
          <w:szCs w:val="20"/>
        </w:rPr>
      </w:pPr>
      <w:r w:rsidRPr="00B6647E">
        <w:rPr>
          <w:rFonts w:ascii="Arial" w:hAnsi="Arial" w:cs="Arial"/>
          <w:sz w:val="20"/>
          <w:szCs w:val="20"/>
        </w:rPr>
        <w:lastRenderedPageBreak/>
        <w:t>Cette production a été estimé principalement en saison C (3.254 tonnes, soit 77,5% de la production totale d’éleusine) et dans la province de Kayanza (1.242 tonnes, soit 29,6% de la production total de blé), Bujumbura rural (1.02 tonnes, soit 26%), Bururi (750 tonnes, soit 17,9%), Muramvya (689 tonnes, soit 16,4%).</w:t>
      </w:r>
    </w:p>
    <w:p w:rsidR="00E41EC7" w:rsidRPr="00B6647E" w:rsidRDefault="00E41EC7" w:rsidP="00554EE0">
      <w:pPr>
        <w:pStyle w:val="Paragraphedeliste"/>
        <w:keepNext/>
        <w:spacing w:after="0" w:line="240" w:lineRule="auto"/>
        <w:ind w:left="0"/>
        <w:jc w:val="both"/>
        <w:rPr>
          <w:rFonts w:ascii="Arial" w:hAnsi="Arial" w:cs="Arial"/>
          <w:b/>
          <w:sz w:val="20"/>
          <w:szCs w:val="20"/>
        </w:rPr>
      </w:pPr>
      <w:r w:rsidRPr="00B6647E">
        <w:rPr>
          <w:rFonts w:ascii="Arial" w:hAnsi="Arial" w:cs="Arial"/>
          <w:b/>
          <w:sz w:val="20"/>
          <w:szCs w:val="20"/>
        </w:rPr>
        <w:t xml:space="preserve">Carte </w:t>
      </w:r>
      <w:r w:rsidR="00613D0F" w:rsidRPr="00B6647E">
        <w:rPr>
          <w:rFonts w:ascii="Arial" w:hAnsi="Arial" w:cs="Arial"/>
          <w:b/>
          <w:sz w:val="20"/>
          <w:szCs w:val="20"/>
        </w:rPr>
        <w:t>08</w:t>
      </w:r>
      <w:r w:rsidRPr="00B6647E">
        <w:rPr>
          <w:rFonts w:ascii="Arial" w:hAnsi="Arial" w:cs="Arial"/>
          <w:b/>
          <w:sz w:val="20"/>
          <w:szCs w:val="20"/>
        </w:rPr>
        <w:t> : Production de céréales  de la campagne agricole 2011-12 par province</w:t>
      </w:r>
    </w:p>
    <w:p w:rsidR="00E41EC7" w:rsidRPr="00B6647E" w:rsidRDefault="00E41EC7" w:rsidP="00554EE0">
      <w:pPr>
        <w:keepNext/>
        <w:rPr>
          <w:rFonts w:ascii="Arial" w:hAnsi="Arial" w:cs="Arial"/>
          <w:sz w:val="20"/>
          <w:szCs w:val="20"/>
        </w:rPr>
      </w:pPr>
    </w:p>
    <w:p w:rsidR="00E41EC7" w:rsidRPr="00B6647E" w:rsidRDefault="00D40517" w:rsidP="00554EE0">
      <w:pPr>
        <w:keepNext/>
        <w:rPr>
          <w:rFonts w:ascii="Arial" w:hAnsi="Arial" w:cs="Arial"/>
          <w:sz w:val="20"/>
          <w:szCs w:val="20"/>
        </w:rPr>
      </w:pPr>
      <w:r w:rsidRPr="00B6647E">
        <w:rPr>
          <w:rFonts w:ascii="Arial" w:hAnsi="Arial" w:cs="Arial"/>
          <w:noProof/>
          <w:sz w:val="20"/>
          <w:szCs w:val="20"/>
          <w:lang w:val="fr-FR" w:eastAsia="fr-FR"/>
        </w:rPr>
        <w:drawing>
          <wp:inline distT="0" distB="0" distL="0" distR="0">
            <wp:extent cx="5735331" cy="4061638"/>
            <wp:effectExtent l="19050" t="0" r="0" b="0"/>
            <wp:docPr id="20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5" cstate="print"/>
                    <a:srcRect l="5318" t="5164" r="5274" b="5399"/>
                    <a:stretch>
                      <a:fillRect/>
                    </a:stretch>
                  </pic:blipFill>
                  <pic:spPr bwMode="auto">
                    <a:xfrm>
                      <a:off x="0" y="0"/>
                      <a:ext cx="5740586" cy="4065359"/>
                    </a:xfrm>
                    <a:prstGeom prst="rect">
                      <a:avLst/>
                    </a:prstGeom>
                    <a:noFill/>
                    <a:ln w="9525">
                      <a:noFill/>
                      <a:miter lim="800000"/>
                      <a:headEnd/>
                      <a:tailEnd/>
                    </a:ln>
                  </pic:spPr>
                </pic:pic>
              </a:graphicData>
            </a:graphic>
          </wp:inline>
        </w:drawing>
      </w:r>
    </w:p>
    <w:p w:rsidR="00AC5E9A" w:rsidRPr="00B6647E" w:rsidRDefault="00AC5E9A" w:rsidP="00560375">
      <w:pPr>
        <w:rPr>
          <w:rFonts w:ascii="Arial" w:hAnsi="Arial" w:cs="Arial"/>
          <w:sz w:val="20"/>
          <w:szCs w:val="20"/>
        </w:rPr>
      </w:pPr>
    </w:p>
    <w:p w:rsidR="001A3AEF" w:rsidRPr="00B6647E" w:rsidRDefault="000552AE" w:rsidP="00FD5448">
      <w:pPr>
        <w:pStyle w:val="Titre2"/>
        <w:keepNext w:val="0"/>
        <w:numPr>
          <w:ilvl w:val="1"/>
          <w:numId w:val="1"/>
        </w:numPr>
        <w:spacing w:before="240" w:after="200"/>
        <w:ind w:left="0" w:firstLine="0"/>
        <w:rPr>
          <w:rFonts w:cs="Arial"/>
          <w:u w:val="dotDash"/>
        </w:rPr>
      </w:pPr>
      <w:bookmarkStart w:id="232" w:name="_Toc354313879"/>
      <w:r w:rsidRPr="00B6647E">
        <w:rPr>
          <w:rFonts w:cs="Arial"/>
          <w:u w:val="dotDash"/>
        </w:rPr>
        <w:t>Légumineuses</w:t>
      </w:r>
      <w:bookmarkEnd w:id="232"/>
      <w:r w:rsidRPr="00B6647E">
        <w:rPr>
          <w:rFonts w:cs="Arial"/>
          <w:u w:val="dotDash"/>
        </w:rPr>
        <w:t xml:space="preserve"> </w:t>
      </w:r>
    </w:p>
    <w:p w:rsidR="000552AE" w:rsidRPr="00B6647E" w:rsidRDefault="000552AE" w:rsidP="00FD5448">
      <w:pPr>
        <w:pStyle w:val="Titre3"/>
        <w:keepNext w:val="0"/>
        <w:numPr>
          <w:ilvl w:val="2"/>
          <w:numId w:val="1"/>
        </w:numPr>
        <w:spacing w:before="200" w:after="120"/>
        <w:ind w:left="0" w:firstLine="0"/>
        <w:rPr>
          <w:rFonts w:cs="Arial"/>
          <w:szCs w:val="20"/>
        </w:rPr>
      </w:pPr>
      <w:bookmarkStart w:id="233" w:name="_Toc354313880"/>
      <w:r w:rsidRPr="00B6647E">
        <w:rPr>
          <w:rFonts w:cs="Arial"/>
          <w:szCs w:val="20"/>
        </w:rPr>
        <w:t>Superficies</w:t>
      </w:r>
      <w:bookmarkEnd w:id="233"/>
    </w:p>
    <w:p w:rsidR="00293694" w:rsidRPr="00B6647E" w:rsidRDefault="00B34F05" w:rsidP="00554EE0">
      <w:pPr>
        <w:pStyle w:val="Paragraphedeliste"/>
        <w:spacing w:after="120" w:line="240" w:lineRule="auto"/>
        <w:ind w:left="0"/>
        <w:contextualSpacing w:val="0"/>
        <w:jc w:val="both"/>
        <w:rPr>
          <w:rFonts w:ascii="Arial" w:hAnsi="Arial" w:cs="Arial"/>
          <w:sz w:val="20"/>
          <w:szCs w:val="20"/>
        </w:rPr>
      </w:pPr>
      <w:r w:rsidRPr="00B6647E">
        <w:rPr>
          <w:rFonts w:ascii="Arial" w:hAnsi="Arial" w:cs="Arial"/>
          <w:sz w:val="20"/>
          <w:szCs w:val="20"/>
          <w:lang w:val="fr-FR"/>
        </w:rPr>
        <w:t>On estime à</w:t>
      </w:r>
      <w:r w:rsidRPr="00B6647E">
        <w:rPr>
          <w:rFonts w:ascii="Arial" w:hAnsi="Arial" w:cs="Arial"/>
          <w:sz w:val="20"/>
          <w:szCs w:val="20"/>
        </w:rPr>
        <w:t xml:space="preserve"> 353.810 ha la superficie totale des parcelles occupées en culture pure et principale par des légumineuses au cours de toute la campagne agricole 2011-2012. On note que relativement aux saisons A, la saison B se caractérise par l’importance des superficies des légumineuses</w:t>
      </w:r>
      <w:r w:rsidR="00904C74" w:rsidRPr="00B6647E">
        <w:rPr>
          <w:rFonts w:ascii="Arial" w:hAnsi="Arial" w:cs="Arial"/>
          <w:sz w:val="20"/>
          <w:szCs w:val="20"/>
        </w:rPr>
        <w:t>.</w:t>
      </w:r>
    </w:p>
    <w:p w:rsidR="00B34F05" w:rsidRPr="00B6647E" w:rsidRDefault="00904C74" w:rsidP="00554EE0">
      <w:pPr>
        <w:pStyle w:val="Paragraphedeliste"/>
        <w:spacing w:after="120" w:line="240" w:lineRule="auto"/>
        <w:ind w:left="0"/>
        <w:contextualSpacing w:val="0"/>
        <w:jc w:val="both"/>
        <w:rPr>
          <w:rFonts w:ascii="Arial" w:hAnsi="Arial" w:cs="Arial"/>
          <w:sz w:val="20"/>
          <w:szCs w:val="20"/>
        </w:rPr>
      </w:pPr>
      <w:r w:rsidRPr="00B6647E">
        <w:rPr>
          <w:rFonts w:ascii="Arial" w:hAnsi="Arial" w:cs="Arial"/>
          <w:sz w:val="20"/>
          <w:szCs w:val="20"/>
        </w:rPr>
        <w:t xml:space="preserve">La superficie cultivée au cours de la saison B est de 201.442 ha soit </w:t>
      </w:r>
      <w:r w:rsidR="00C11919" w:rsidRPr="00B6647E">
        <w:rPr>
          <w:rFonts w:ascii="Arial" w:hAnsi="Arial" w:cs="Arial"/>
          <w:sz w:val="20"/>
          <w:szCs w:val="20"/>
        </w:rPr>
        <w:t xml:space="preserve">56,9% de la superficie totale de légumineuses de toute la campagne agricole. </w:t>
      </w:r>
      <w:r w:rsidRPr="00B6647E">
        <w:rPr>
          <w:rFonts w:ascii="Arial" w:hAnsi="Arial" w:cs="Arial"/>
          <w:sz w:val="20"/>
          <w:szCs w:val="20"/>
        </w:rPr>
        <w:t xml:space="preserve">En saison A elle </w:t>
      </w:r>
      <w:r w:rsidR="00C11919" w:rsidRPr="00B6647E">
        <w:rPr>
          <w:rFonts w:ascii="Arial" w:hAnsi="Arial" w:cs="Arial"/>
          <w:sz w:val="20"/>
          <w:szCs w:val="20"/>
        </w:rPr>
        <w:t>est</w:t>
      </w:r>
      <w:r w:rsidRPr="00B6647E">
        <w:rPr>
          <w:rFonts w:ascii="Arial" w:hAnsi="Arial" w:cs="Arial"/>
          <w:sz w:val="20"/>
          <w:szCs w:val="20"/>
        </w:rPr>
        <w:t xml:space="preserve"> </w:t>
      </w:r>
      <w:r w:rsidR="00C11919" w:rsidRPr="00B6647E">
        <w:rPr>
          <w:rFonts w:ascii="Arial" w:hAnsi="Arial" w:cs="Arial"/>
          <w:sz w:val="20"/>
          <w:szCs w:val="20"/>
        </w:rPr>
        <w:t xml:space="preserve">estimée à </w:t>
      </w:r>
      <w:r w:rsidR="00B34F05" w:rsidRPr="00B6647E">
        <w:rPr>
          <w:rFonts w:ascii="Arial" w:hAnsi="Arial" w:cs="Arial"/>
          <w:sz w:val="20"/>
          <w:szCs w:val="20"/>
        </w:rPr>
        <w:t>111.775 ha</w:t>
      </w:r>
      <w:r w:rsidR="00C11919" w:rsidRPr="00B6647E">
        <w:rPr>
          <w:rFonts w:ascii="Arial" w:hAnsi="Arial" w:cs="Arial"/>
          <w:sz w:val="20"/>
          <w:szCs w:val="20"/>
        </w:rPr>
        <w:t xml:space="preserve"> (31,6%</w:t>
      </w:r>
      <w:r w:rsidRPr="00B6647E">
        <w:rPr>
          <w:rFonts w:ascii="Arial" w:hAnsi="Arial" w:cs="Arial"/>
          <w:sz w:val="20"/>
          <w:szCs w:val="20"/>
        </w:rPr>
        <w:t>) et pendant la  C elle est 40.5</w:t>
      </w:r>
      <w:r w:rsidR="00B34F05" w:rsidRPr="00B6647E">
        <w:rPr>
          <w:rFonts w:ascii="Arial" w:hAnsi="Arial" w:cs="Arial"/>
          <w:sz w:val="20"/>
          <w:szCs w:val="20"/>
        </w:rPr>
        <w:t>94 ha</w:t>
      </w:r>
      <w:r w:rsidR="00C11919" w:rsidRPr="00B6647E">
        <w:rPr>
          <w:rFonts w:ascii="Arial" w:hAnsi="Arial" w:cs="Arial"/>
          <w:sz w:val="20"/>
          <w:szCs w:val="20"/>
        </w:rPr>
        <w:t xml:space="preserve"> </w:t>
      </w:r>
      <w:r w:rsidRPr="00B6647E">
        <w:rPr>
          <w:rFonts w:ascii="Arial" w:hAnsi="Arial" w:cs="Arial"/>
          <w:sz w:val="20"/>
          <w:szCs w:val="20"/>
        </w:rPr>
        <w:t>(</w:t>
      </w:r>
      <w:r w:rsidR="00C11919" w:rsidRPr="00B6647E">
        <w:rPr>
          <w:rFonts w:ascii="Arial" w:hAnsi="Arial" w:cs="Arial"/>
          <w:sz w:val="20"/>
          <w:szCs w:val="20"/>
        </w:rPr>
        <w:t>11,5%</w:t>
      </w:r>
      <w:r w:rsidRPr="00B6647E">
        <w:rPr>
          <w:rFonts w:ascii="Arial" w:hAnsi="Arial" w:cs="Arial"/>
          <w:sz w:val="20"/>
          <w:szCs w:val="20"/>
        </w:rPr>
        <w:t>)</w:t>
      </w:r>
      <w:r w:rsidR="00B34F05" w:rsidRPr="00B6647E">
        <w:rPr>
          <w:rFonts w:ascii="Arial" w:hAnsi="Arial" w:cs="Arial"/>
          <w:sz w:val="20"/>
          <w:szCs w:val="20"/>
        </w:rPr>
        <w:t>.</w:t>
      </w:r>
      <w:r w:rsidRPr="00B6647E">
        <w:rPr>
          <w:rFonts w:ascii="Arial" w:hAnsi="Arial" w:cs="Arial"/>
          <w:sz w:val="20"/>
          <w:szCs w:val="20"/>
        </w:rPr>
        <w:t xml:space="preserve"> </w:t>
      </w:r>
    </w:p>
    <w:p w:rsidR="00293694" w:rsidRPr="00B6647E" w:rsidRDefault="00293694">
      <w:pPr>
        <w:rPr>
          <w:rFonts w:ascii="Arial" w:hAnsi="Arial" w:cs="Arial"/>
          <w:b/>
          <w:sz w:val="20"/>
          <w:szCs w:val="20"/>
        </w:rPr>
      </w:pPr>
      <w:r w:rsidRPr="00B6647E">
        <w:rPr>
          <w:rFonts w:ascii="Arial" w:hAnsi="Arial" w:cs="Arial"/>
          <w:b/>
          <w:sz w:val="20"/>
          <w:szCs w:val="20"/>
        </w:rPr>
        <w:br w:type="page"/>
      </w:r>
    </w:p>
    <w:p w:rsidR="00B34F05" w:rsidRPr="00B6647E" w:rsidRDefault="007F30DD" w:rsidP="00554EE0">
      <w:pPr>
        <w:pStyle w:val="Paragraphedeliste"/>
        <w:spacing w:after="120" w:line="240" w:lineRule="auto"/>
        <w:ind w:left="0"/>
        <w:contextualSpacing w:val="0"/>
        <w:jc w:val="both"/>
        <w:rPr>
          <w:rFonts w:ascii="Arial" w:hAnsi="Arial" w:cs="Arial"/>
          <w:b/>
          <w:sz w:val="20"/>
          <w:szCs w:val="20"/>
        </w:rPr>
      </w:pPr>
      <w:r>
        <w:rPr>
          <w:rFonts w:ascii="Arial" w:hAnsi="Arial" w:cs="Arial"/>
          <w:b/>
          <w:sz w:val="20"/>
          <w:szCs w:val="20"/>
        </w:rPr>
        <w:lastRenderedPageBreak/>
        <w:t>Graphique 16</w:t>
      </w:r>
      <w:r w:rsidR="00B34F05" w:rsidRPr="00B6647E">
        <w:rPr>
          <w:rFonts w:ascii="Arial" w:hAnsi="Arial" w:cs="Arial"/>
          <w:b/>
          <w:sz w:val="20"/>
          <w:szCs w:val="20"/>
        </w:rPr>
        <w:t> : Superficie (en ha) de légumineuses (en pure et principale) cultivée pendant la campagne agricole 2011-12 par région naturelle</w:t>
      </w:r>
    </w:p>
    <w:p w:rsidR="00B34F05" w:rsidRPr="00B6647E" w:rsidRDefault="0043161C" w:rsidP="00554EE0">
      <w:pPr>
        <w:pStyle w:val="Paragraphedeliste"/>
        <w:spacing w:after="120" w:line="240" w:lineRule="auto"/>
        <w:ind w:left="0"/>
        <w:contextualSpacing w:val="0"/>
        <w:jc w:val="both"/>
        <w:rPr>
          <w:rFonts w:ascii="Arial" w:hAnsi="Arial" w:cs="Arial"/>
          <w:sz w:val="20"/>
          <w:szCs w:val="20"/>
        </w:rPr>
      </w:pPr>
      <w:r w:rsidRPr="00B6647E">
        <w:rPr>
          <w:noProof/>
          <w:szCs w:val="20"/>
          <w:lang w:val="fr-FR" w:eastAsia="fr-FR"/>
        </w:rPr>
        <w:drawing>
          <wp:inline distT="0" distB="0" distL="0" distR="0">
            <wp:extent cx="5711899" cy="3437564"/>
            <wp:effectExtent l="19050" t="0" r="3101" b="0"/>
            <wp:docPr id="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srcRect/>
                    <a:stretch>
                      <a:fillRect/>
                    </a:stretch>
                  </pic:blipFill>
                  <pic:spPr bwMode="auto">
                    <a:xfrm>
                      <a:off x="0" y="0"/>
                      <a:ext cx="5711258" cy="3437179"/>
                    </a:xfrm>
                    <a:prstGeom prst="rect">
                      <a:avLst/>
                    </a:prstGeom>
                    <a:noFill/>
                    <a:ln w="9525">
                      <a:noFill/>
                      <a:miter lim="800000"/>
                      <a:headEnd/>
                      <a:tailEnd/>
                    </a:ln>
                  </pic:spPr>
                </pic:pic>
              </a:graphicData>
            </a:graphic>
          </wp:inline>
        </w:drawing>
      </w:r>
    </w:p>
    <w:p w:rsidR="00B34F05" w:rsidRPr="00B6647E" w:rsidRDefault="00B34F05" w:rsidP="00FD5448">
      <w:pPr>
        <w:pStyle w:val="Paragraphedeliste"/>
        <w:spacing w:before="200" w:after="120" w:line="240" w:lineRule="auto"/>
        <w:ind w:left="0"/>
        <w:contextualSpacing w:val="0"/>
        <w:rPr>
          <w:rFonts w:ascii="Arial" w:hAnsi="Arial" w:cs="Arial"/>
          <w:b/>
          <w:sz w:val="20"/>
          <w:szCs w:val="20"/>
        </w:rPr>
      </w:pPr>
      <w:r w:rsidRPr="00B6647E">
        <w:rPr>
          <w:rFonts w:ascii="Arial" w:hAnsi="Arial" w:cs="Arial"/>
          <w:b/>
          <w:sz w:val="20"/>
          <w:szCs w:val="20"/>
        </w:rPr>
        <w:t xml:space="preserve">a) Superficies des </w:t>
      </w:r>
      <w:r w:rsidR="0043161C" w:rsidRPr="00B6647E">
        <w:rPr>
          <w:rFonts w:ascii="Arial" w:hAnsi="Arial" w:cs="Arial"/>
          <w:b/>
          <w:sz w:val="20"/>
          <w:szCs w:val="20"/>
        </w:rPr>
        <w:t>légumineuses</w:t>
      </w:r>
      <w:r w:rsidRPr="00B6647E">
        <w:rPr>
          <w:rFonts w:ascii="Arial" w:hAnsi="Arial" w:cs="Arial"/>
          <w:b/>
          <w:sz w:val="20"/>
          <w:szCs w:val="20"/>
        </w:rPr>
        <w:t xml:space="preserve"> dans les régions naturelles</w:t>
      </w:r>
    </w:p>
    <w:p w:rsidR="00B34F05" w:rsidRPr="00B6647E" w:rsidRDefault="0043161C" w:rsidP="00554EE0">
      <w:pPr>
        <w:pStyle w:val="Paragraphedeliste"/>
        <w:spacing w:after="120" w:line="240" w:lineRule="auto"/>
        <w:ind w:left="0"/>
        <w:contextualSpacing w:val="0"/>
        <w:jc w:val="both"/>
        <w:rPr>
          <w:rFonts w:ascii="Arial" w:hAnsi="Arial" w:cs="Arial"/>
          <w:sz w:val="20"/>
          <w:szCs w:val="20"/>
        </w:rPr>
      </w:pPr>
      <w:r w:rsidRPr="00B6647E">
        <w:rPr>
          <w:rFonts w:ascii="Arial" w:hAnsi="Arial" w:cs="Arial"/>
          <w:sz w:val="20"/>
          <w:szCs w:val="20"/>
        </w:rPr>
        <w:t xml:space="preserve">On note que </w:t>
      </w:r>
      <w:r w:rsidR="00B34F05" w:rsidRPr="00B6647E">
        <w:rPr>
          <w:rFonts w:ascii="Arial" w:hAnsi="Arial" w:cs="Arial"/>
          <w:sz w:val="20"/>
          <w:szCs w:val="20"/>
        </w:rPr>
        <w:t xml:space="preserve">les </w:t>
      </w:r>
      <w:r w:rsidRPr="00B6647E">
        <w:rPr>
          <w:rFonts w:ascii="Arial" w:hAnsi="Arial" w:cs="Arial"/>
          <w:sz w:val="20"/>
          <w:szCs w:val="20"/>
        </w:rPr>
        <w:t>deux</w:t>
      </w:r>
      <w:r w:rsidR="00B34F05" w:rsidRPr="00B6647E">
        <w:rPr>
          <w:rFonts w:ascii="Arial" w:hAnsi="Arial" w:cs="Arial"/>
          <w:sz w:val="20"/>
          <w:szCs w:val="20"/>
        </w:rPr>
        <w:t xml:space="preserve"> régions naturelles de Buragane (</w:t>
      </w:r>
      <w:r w:rsidRPr="00B6647E">
        <w:rPr>
          <w:rFonts w:ascii="Arial" w:hAnsi="Arial" w:cs="Arial"/>
          <w:sz w:val="20"/>
          <w:szCs w:val="20"/>
        </w:rPr>
        <w:t>9.161</w:t>
      </w:r>
      <w:r w:rsidR="00B34F05" w:rsidRPr="00B6647E">
        <w:rPr>
          <w:rFonts w:ascii="Arial" w:hAnsi="Arial" w:cs="Arial"/>
          <w:sz w:val="20"/>
          <w:szCs w:val="20"/>
        </w:rPr>
        <w:t xml:space="preserve"> ha)</w:t>
      </w:r>
      <w:r w:rsidRPr="00B6647E">
        <w:rPr>
          <w:rFonts w:ascii="Arial" w:hAnsi="Arial" w:cs="Arial"/>
          <w:sz w:val="20"/>
          <w:szCs w:val="20"/>
        </w:rPr>
        <w:t xml:space="preserve"> et</w:t>
      </w:r>
      <w:r w:rsidR="00B34F05" w:rsidRPr="00B6647E">
        <w:rPr>
          <w:rFonts w:ascii="Arial" w:hAnsi="Arial" w:cs="Arial"/>
          <w:sz w:val="20"/>
          <w:szCs w:val="20"/>
        </w:rPr>
        <w:t xml:space="preserve"> Bututsi (</w:t>
      </w:r>
      <w:r w:rsidRPr="00B6647E">
        <w:rPr>
          <w:rFonts w:ascii="Arial" w:hAnsi="Arial" w:cs="Arial"/>
          <w:sz w:val="20"/>
          <w:szCs w:val="20"/>
        </w:rPr>
        <w:t>9.154 ha</w:t>
      </w:r>
      <w:r w:rsidR="00B34F05" w:rsidRPr="00B6647E">
        <w:rPr>
          <w:rFonts w:ascii="Arial" w:hAnsi="Arial" w:cs="Arial"/>
          <w:sz w:val="20"/>
          <w:szCs w:val="20"/>
        </w:rPr>
        <w:t xml:space="preserve">) </w:t>
      </w:r>
      <w:r w:rsidRPr="00B6647E">
        <w:rPr>
          <w:rFonts w:ascii="Arial" w:hAnsi="Arial" w:cs="Arial"/>
          <w:sz w:val="20"/>
          <w:szCs w:val="20"/>
        </w:rPr>
        <w:t>sont les seules à avoir des superficies totales de légumineuses inférieures à 10.000 ha tandis Bugesera (71.066 ha), Kirimiro (68.228 ha)</w:t>
      </w:r>
      <w:r w:rsidR="00904C74" w:rsidRPr="00B6647E">
        <w:rPr>
          <w:rFonts w:ascii="Arial" w:hAnsi="Arial" w:cs="Arial"/>
          <w:sz w:val="20"/>
          <w:szCs w:val="20"/>
        </w:rPr>
        <w:t>,</w:t>
      </w:r>
      <w:r w:rsidRPr="00B6647E">
        <w:rPr>
          <w:rFonts w:ascii="Arial" w:hAnsi="Arial" w:cs="Arial"/>
          <w:sz w:val="20"/>
          <w:szCs w:val="20"/>
        </w:rPr>
        <w:t xml:space="preserve"> Bweru (55.595 ha)</w:t>
      </w:r>
      <w:r w:rsidR="00904C74" w:rsidRPr="00B6647E">
        <w:rPr>
          <w:rFonts w:ascii="Arial" w:hAnsi="Arial" w:cs="Arial"/>
          <w:sz w:val="20"/>
          <w:szCs w:val="20"/>
        </w:rPr>
        <w:t>, Buyenzi (45.759 ha)</w:t>
      </w:r>
      <w:r w:rsidRPr="00B6647E">
        <w:rPr>
          <w:rFonts w:ascii="Arial" w:hAnsi="Arial" w:cs="Arial"/>
          <w:sz w:val="20"/>
          <w:szCs w:val="20"/>
        </w:rPr>
        <w:t xml:space="preserve"> </w:t>
      </w:r>
      <w:r w:rsidR="00904C74" w:rsidRPr="00B6647E">
        <w:rPr>
          <w:rFonts w:ascii="Arial" w:hAnsi="Arial" w:cs="Arial"/>
          <w:sz w:val="20"/>
          <w:szCs w:val="20"/>
        </w:rPr>
        <w:t>cumulent plus des deux tiers de la superficie totale des légumineuses de toute la campagne agricole</w:t>
      </w:r>
      <w:r w:rsidR="00B34F05" w:rsidRPr="00B6647E">
        <w:rPr>
          <w:rFonts w:ascii="Arial" w:hAnsi="Arial" w:cs="Arial"/>
          <w:sz w:val="20"/>
          <w:szCs w:val="20"/>
        </w:rPr>
        <w:t xml:space="preserve"> 2011-2012.</w:t>
      </w:r>
    </w:p>
    <w:p w:rsidR="009A474F" w:rsidRPr="00B6647E" w:rsidRDefault="009A474F" w:rsidP="00554EE0">
      <w:pPr>
        <w:pStyle w:val="Lgende"/>
        <w:keepNext/>
        <w:spacing w:after="120"/>
        <w:jc w:val="both"/>
        <w:rPr>
          <w:rFonts w:ascii="Arial" w:hAnsi="Arial" w:cs="Arial"/>
        </w:rPr>
      </w:pPr>
      <w:r w:rsidRPr="00B6647E">
        <w:rPr>
          <w:rFonts w:ascii="Arial" w:hAnsi="Arial" w:cs="Arial"/>
        </w:rPr>
        <w:t xml:space="preserve">Tableau </w:t>
      </w:r>
      <w:r w:rsidR="00C53AAF">
        <w:rPr>
          <w:rFonts w:ascii="Arial" w:hAnsi="Arial" w:cs="Arial"/>
        </w:rPr>
        <w:t>85</w:t>
      </w:r>
      <w:r w:rsidR="00194C6E" w:rsidRPr="00B6647E">
        <w:rPr>
          <w:rFonts w:ascii="Arial" w:hAnsi="Arial" w:cs="Arial"/>
        </w:rPr>
        <w:t> :</w:t>
      </w:r>
      <w:r w:rsidRPr="00B6647E">
        <w:rPr>
          <w:rFonts w:ascii="Arial" w:hAnsi="Arial" w:cs="Arial"/>
        </w:rPr>
        <w:t xml:space="preserve"> Superficie totale cultivée des légumineuses par région pendant les trois saisons</w:t>
      </w:r>
    </w:p>
    <w:p w:rsidR="00D106DF" w:rsidRPr="00B6647E" w:rsidRDefault="00102CE7" w:rsidP="005567D2">
      <w:pPr>
        <w:spacing w:line="240" w:lineRule="auto"/>
        <w:rPr>
          <w:rFonts w:cs="Arial"/>
          <w:szCs w:val="20"/>
        </w:rPr>
      </w:pPr>
      <w:r w:rsidRPr="00B6647E">
        <w:rPr>
          <w:noProof/>
          <w:szCs w:val="20"/>
          <w:lang w:val="fr-FR" w:eastAsia="fr-FR"/>
        </w:rPr>
        <w:drawing>
          <wp:inline distT="0" distB="0" distL="0" distR="0">
            <wp:extent cx="4210050" cy="2914650"/>
            <wp:effectExtent l="19050" t="0" r="0" b="0"/>
            <wp:docPr id="392"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7" cstate="print"/>
                    <a:srcRect/>
                    <a:stretch>
                      <a:fillRect/>
                    </a:stretch>
                  </pic:blipFill>
                  <pic:spPr bwMode="auto">
                    <a:xfrm>
                      <a:off x="0" y="0"/>
                      <a:ext cx="4210050" cy="2914650"/>
                    </a:xfrm>
                    <a:prstGeom prst="rect">
                      <a:avLst/>
                    </a:prstGeom>
                    <a:noFill/>
                    <a:ln w="9525">
                      <a:noFill/>
                      <a:miter lim="800000"/>
                      <a:headEnd/>
                      <a:tailEnd/>
                    </a:ln>
                  </pic:spPr>
                </pic:pic>
              </a:graphicData>
            </a:graphic>
          </wp:inline>
        </w:drawing>
      </w:r>
    </w:p>
    <w:p w:rsidR="00285366" w:rsidRPr="00B6647E" w:rsidRDefault="0029136C" w:rsidP="005567D2">
      <w:pPr>
        <w:spacing w:line="240" w:lineRule="auto"/>
        <w:jc w:val="both"/>
        <w:rPr>
          <w:rFonts w:ascii="Arial" w:hAnsi="Arial" w:cs="Arial"/>
          <w:sz w:val="20"/>
          <w:szCs w:val="20"/>
        </w:rPr>
      </w:pPr>
      <w:r w:rsidRPr="00B6647E">
        <w:rPr>
          <w:rFonts w:ascii="Arial" w:hAnsi="Arial" w:cs="Arial"/>
          <w:sz w:val="20"/>
          <w:szCs w:val="20"/>
        </w:rPr>
        <w:t xml:space="preserve">La superficie totale des légumineuses cumulée au cours des trois saisons est constituée pour l’essentiel </w:t>
      </w:r>
      <w:r w:rsidR="00285366" w:rsidRPr="00B6647E">
        <w:rPr>
          <w:rFonts w:ascii="Arial" w:hAnsi="Arial" w:cs="Arial"/>
          <w:sz w:val="20"/>
          <w:szCs w:val="20"/>
        </w:rPr>
        <w:t>d</w:t>
      </w:r>
      <w:r w:rsidRPr="00B6647E">
        <w:rPr>
          <w:rFonts w:ascii="Arial" w:hAnsi="Arial" w:cs="Arial"/>
          <w:sz w:val="20"/>
          <w:szCs w:val="20"/>
        </w:rPr>
        <w:t>e</w:t>
      </w:r>
      <w:r w:rsidR="00285366" w:rsidRPr="00B6647E">
        <w:rPr>
          <w:rFonts w:ascii="Arial" w:hAnsi="Arial" w:cs="Arial"/>
          <w:sz w:val="20"/>
          <w:szCs w:val="20"/>
        </w:rPr>
        <w:t xml:space="preserve"> haricot (nain et volubile)</w:t>
      </w:r>
      <w:r w:rsidR="000F0D18" w:rsidRPr="00B6647E">
        <w:rPr>
          <w:rFonts w:ascii="Arial" w:hAnsi="Arial" w:cs="Arial"/>
          <w:sz w:val="20"/>
          <w:szCs w:val="20"/>
        </w:rPr>
        <w:t xml:space="preserve"> dont la superficie a été</w:t>
      </w:r>
      <w:r w:rsidR="00285366" w:rsidRPr="00B6647E">
        <w:rPr>
          <w:rFonts w:ascii="Arial" w:hAnsi="Arial" w:cs="Arial"/>
          <w:sz w:val="20"/>
          <w:szCs w:val="20"/>
        </w:rPr>
        <w:t xml:space="preserve"> estimée à 340.7</w:t>
      </w:r>
      <w:r w:rsidR="00FD7DF1" w:rsidRPr="00B6647E">
        <w:rPr>
          <w:rFonts w:ascii="Arial" w:hAnsi="Arial" w:cs="Arial"/>
          <w:sz w:val="20"/>
          <w:szCs w:val="20"/>
        </w:rPr>
        <w:t>52</w:t>
      </w:r>
      <w:r w:rsidR="00285366" w:rsidRPr="00B6647E">
        <w:rPr>
          <w:rFonts w:ascii="Arial" w:hAnsi="Arial" w:cs="Arial"/>
          <w:sz w:val="20"/>
          <w:szCs w:val="20"/>
        </w:rPr>
        <w:t xml:space="preserve"> ha, soit 96,3% de la superficie totale des légumineuses, les autres légumineuses (niébé, petit pois et pois cajan) n’occupant que 3,7% de la superficie totale.</w:t>
      </w:r>
      <w:r w:rsidRPr="00B6647E">
        <w:rPr>
          <w:rFonts w:ascii="Arial" w:hAnsi="Arial" w:cs="Arial"/>
          <w:sz w:val="20"/>
          <w:szCs w:val="20"/>
        </w:rPr>
        <w:t xml:space="preserve"> On observe de ce fait la même structure au niveau des régions naturelles que pour la superficie totale des légumineuses. Il en de même pour les saisons où </w:t>
      </w:r>
      <w:r w:rsidRPr="00B6647E">
        <w:rPr>
          <w:rFonts w:ascii="Arial" w:hAnsi="Arial" w:cs="Arial"/>
          <w:sz w:val="20"/>
          <w:szCs w:val="20"/>
        </w:rPr>
        <w:lastRenderedPageBreak/>
        <w:t xml:space="preserve">la </w:t>
      </w:r>
      <w:r w:rsidR="00EA3DF5" w:rsidRPr="00B6647E">
        <w:rPr>
          <w:rFonts w:ascii="Arial" w:hAnsi="Arial" w:cs="Arial"/>
          <w:sz w:val="20"/>
          <w:szCs w:val="20"/>
        </w:rPr>
        <w:t>superficie</w:t>
      </w:r>
      <w:r w:rsidRPr="00B6647E">
        <w:rPr>
          <w:rFonts w:ascii="Arial" w:hAnsi="Arial" w:cs="Arial"/>
          <w:sz w:val="20"/>
          <w:szCs w:val="20"/>
        </w:rPr>
        <w:t xml:space="preserve"> de </w:t>
      </w:r>
      <w:r w:rsidR="00C21C21" w:rsidRPr="00B6647E">
        <w:rPr>
          <w:rFonts w:ascii="Arial" w:hAnsi="Arial" w:cs="Arial"/>
          <w:sz w:val="20"/>
          <w:szCs w:val="20"/>
        </w:rPr>
        <w:t xml:space="preserve">haricot de </w:t>
      </w:r>
      <w:r w:rsidRPr="00B6647E">
        <w:rPr>
          <w:rFonts w:ascii="Arial" w:hAnsi="Arial" w:cs="Arial"/>
          <w:sz w:val="20"/>
          <w:szCs w:val="20"/>
        </w:rPr>
        <w:t xml:space="preserve">la saison B </w:t>
      </w:r>
      <w:r w:rsidR="00EA3DF5" w:rsidRPr="00B6647E">
        <w:rPr>
          <w:rFonts w:ascii="Arial" w:hAnsi="Arial" w:cs="Arial"/>
          <w:sz w:val="20"/>
          <w:szCs w:val="20"/>
        </w:rPr>
        <w:t>(196.399 ha, soit 57,7%</w:t>
      </w:r>
      <w:r w:rsidR="00C21C21" w:rsidRPr="00B6647E">
        <w:rPr>
          <w:rFonts w:ascii="Arial" w:hAnsi="Arial" w:cs="Arial"/>
          <w:sz w:val="20"/>
          <w:szCs w:val="20"/>
        </w:rPr>
        <w:t xml:space="preserve"> de la superficie totale de haricot au cours de la </w:t>
      </w:r>
      <w:r w:rsidR="00FD7DF1" w:rsidRPr="00B6647E">
        <w:rPr>
          <w:rFonts w:ascii="Arial" w:hAnsi="Arial" w:cs="Arial"/>
          <w:sz w:val="20"/>
          <w:szCs w:val="20"/>
        </w:rPr>
        <w:t>campagne</w:t>
      </w:r>
      <w:r w:rsidR="00EA3DF5" w:rsidRPr="00B6647E">
        <w:rPr>
          <w:rFonts w:ascii="Arial" w:hAnsi="Arial" w:cs="Arial"/>
          <w:sz w:val="20"/>
          <w:szCs w:val="20"/>
        </w:rPr>
        <w:t xml:space="preserve">) </w:t>
      </w:r>
      <w:r w:rsidRPr="00B6647E">
        <w:rPr>
          <w:rFonts w:ascii="Arial" w:hAnsi="Arial" w:cs="Arial"/>
          <w:sz w:val="20"/>
          <w:szCs w:val="20"/>
        </w:rPr>
        <w:t xml:space="preserve">est </w:t>
      </w:r>
      <w:r w:rsidR="00EA3DF5" w:rsidRPr="00B6647E">
        <w:rPr>
          <w:rFonts w:ascii="Arial" w:hAnsi="Arial" w:cs="Arial"/>
          <w:sz w:val="20"/>
          <w:szCs w:val="20"/>
        </w:rPr>
        <w:t>supérieure à celle de la saison A (107.4</w:t>
      </w:r>
      <w:r w:rsidR="00FD7DF1" w:rsidRPr="00B6647E">
        <w:rPr>
          <w:rFonts w:ascii="Arial" w:hAnsi="Arial" w:cs="Arial"/>
          <w:sz w:val="20"/>
          <w:szCs w:val="20"/>
        </w:rPr>
        <w:t>48</w:t>
      </w:r>
      <w:r w:rsidR="00EA3DF5" w:rsidRPr="00B6647E">
        <w:rPr>
          <w:rFonts w:ascii="Arial" w:hAnsi="Arial" w:cs="Arial"/>
          <w:sz w:val="20"/>
          <w:szCs w:val="20"/>
        </w:rPr>
        <w:t xml:space="preserve"> ha, soit 31,5%) et de la saison C (36.905 ha, soit 10,8%).</w:t>
      </w:r>
    </w:p>
    <w:p w:rsidR="009A474F" w:rsidRPr="00B6647E" w:rsidRDefault="00194C6E" w:rsidP="005567D2">
      <w:pPr>
        <w:pStyle w:val="Lgende"/>
        <w:keepNext/>
        <w:jc w:val="both"/>
        <w:rPr>
          <w:rFonts w:ascii="Arial" w:hAnsi="Arial" w:cs="Arial"/>
        </w:rPr>
      </w:pPr>
      <w:r w:rsidRPr="00B6647E">
        <w:rPr>
          <w:rFonts w:ascii="Arial" w:hAnsi="Arial" w:cs="Arial"/>
        </w:rPr>
        <w:t xml:space="preserve">Tableau </w:t>
      </w:r>
      <w:r w:rsidR="00E1150A">
        <w:rPr>
          <w:rFonts w:ascii="Arial" w:hAnsi="Arial" w:cs="Arial"/>
        </w:rPr>
        <w:t>86</w:t>
      </w:r>
      <w:r w:rsidRPr="00B6647E">
        <w:rPr>
          <w:rFonts w:ascii="Arial" w:hAnsi="Arial" w:cs="Arial"/>
        </w:rPr>
        <w:t> :</w:t>
      </w:r>
      <w:r w:rsidR="009A474F" w:rsidRPr="00B6647E">
        <w:rPr>
          <w:rFonts w:ascii="Arial" w:hAnsi="Arial" w:cs="Arial"/>
        </w:rPr>
        <w:t xml:space="preserve"> Superficie totale cultivée de haricot par région pendant les trois saisons</w:t>
      </w:r>
    </w:p>
    <w:p w:rsidR="009A474F" w:rsidRPr="00B6647E" w:rsidRDefault="00102CE7" w:rsidP="005567D2">
      <w:pPr>
        <w:spacing w:line="240" w:lineRule="auto"/>
        <w:rPr>
          <w:lang w:eastAsia="fr-FR"/>
        </w:rPr>
      </w:pPr>
      <w:r w:rsidRPr="00B6647E">
        <w:rPr>
          <w:noProof/>
          <w:lang w:val="fr-FR" w:eastAsia="fr-FR"/>
        </w:rPr>
        <w:drawing>
          <wp:inline distT="0" distB="0" distL="0" distR="0">
            <wp:extent cx="4210050" cy="2914650"/>
            <wp:effectExtent l="19050" t="0" r="0" b="0"/>
            <wp:docPr id="393"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8" cstate="print"/>
                    <a:srcRect/>
                    <a:stretch>
                      <a:fillRect/>
                    </a:stretch>
                  </pic:blipFill>
                  <pic:spPr bwMode="auto">
                    <a:xfrm>
                      <a:off x="0" y="0"/>
                      <a:ext cx="4210050" cy="2914650"/>
                    </a:xfrm>
                    <a:prstGeom prst="rect">
                      <a:avLst/>
                    </a:prstGeom>
                    <a:noFill/>
                    <a:ln w="9525">
                      <a:noFill/>
                      <a:miter lim="800000"/>
                      <a:headEnd/>
                      <a:tailEnd/>
                    </a:ln>
                  </pic:spPr>
                </pic:pic>
              </a:graphicData>
            </a:graphic>
          </wp:inline>
        </w:drawing>
      </w:r>
    </w:p>
    <w:p w:rsidR="00A71DEC" w:rsidRPr="00B6647E" w:rsidRDefault="00A71DEC" w:rsidP="005567D2">
      <w:pPr>
        <w:spacing w:line="240" w:lineRule="auto"/>
        <w:jc w:val="both"/>
        <w:rPr>
          <w:rFonts w:ascii="Arial" w:hAnsi="Arial" w:cs="Arial"/>
          <w:sz w:val="20"/>
          <w:szCs w:val="20"/>
          <w:lang w:eastAsia="fr-FR"/>
        </w:rPr>
      </w:pPr>
      <w:r w:rsidRPr="00B6647E">
        <w:rPr>
          <w:rFonts w:ascii="Arial" w:hAnsi="Arial" w:cs="Arial"/>
          <w:sz w:val="20"/>
          <w:szCs w:val="20"/>
          <w:lang w:eastAsia="fr-FR"/>
        </w:rPr>
        <w:t>La superficie totale occupée par le haricot nain (236.3</w:t>
      </w:r>
      <w:r w:rsidR="00753976" w:rsidRPr="00B6647E">
        <w:rPr>
          <w:rFonts w:ascii="Arial" w:hAnsi="Arial" w:cs="Arial"/>
          <w:sz w:val="20"/>
          <w:szCs w:val="20"/>
          <w:lang w:eastAsia="fr-FR"/>
        </w:rPr>
        <w:t>49</w:t>
      </w:r>
      <w:r w:rsidRPr="00B6647E">
        <w:rPr>
          <w:rFonts w:ascii="Arial" w:hAnsi="Arial" w:cs="Arial"/>
          <w:sz w:val="20"/>
          <w:szCs w:val="20"/>
          <w:lang w:eastAsia="fr-FR"/>
        </w:rPr>
        <w:t xml:space="preserve"> ha) représente </w:t>
      </w:r>
      <w:r w:rsidR="0090722B" w:rsidRPr="00B6647E">
        <w:rPr>
          <w:rFonts w:ascii="Arial" w:hAnsi="Arial" w:cs="Arial"/>
          <w:sz w:val="20"/>
          <w:szCs w:val="20"/>
          <w:lang w:eastAsia="fr-FR"/>
        </w:rPr>
        <w:t>69,4</w:t>
      </w:r>
      <w:r w:rsidRPr="00B6647E">
        <w:rPr>
          <w:rFonts w:ascii="Arial" w:hAnsi="Arial" w:cs="Arial"/>
          <w:sz w:val="20"/>
          <w:szCs w:val="20"/>
          <w:lang w:eastAsia="fr-FR"/>
        </w:rPr>
        <w:t xml:space="preserve">% de la superficie totale du haricot (nain et volubile) et </w:t>
      </w:r>
      <w:r w:rsidR="0090722B" w:rsidRPr="00B6647E">
        <w:rPr>
          <w:rFonts w:ascii="Arial" w:hAnsi="Arial" w:cs="Arial"/>
          <w:sz w:val="20"/>
          <w:szCs w:val="20"/>
          <w:lang w:eastAsia="fr-FR"/>
        </w:rPr>
        <w:t>66,8</w:t>
      </w:r>
      <w:r w:rsidRPr="00B6647E">
        <w:rPr>
          <w:rFonts w:ascii="Arial" w:hAnsi="Arial" w:cs="Arial"/>
          <w:sz w:val="20"/>
          <w:szCs w:val="20"/>
          <w:lang w:eastAsia="fr-FR"/>
        </w:rPr>
        <w:t>% de la superficie totale cumulée des trois s</w:t>
      </w:r>
      <w:r w:rsidR="000A1B53">
        <w:rPr>
          <w:rFonts w:ascii="Arial" w:hAnsi="Arial" w:cs="Arial"/>
          <w:sz w:val="20"/>
          <w:szCs w:val="20"/>
          <w:lang w:eastAsia="fr-FR"/>
        </w:rPr>
        <w:t>a</w:t>
      </w:r>
      <w:r w:rsidRPr="00B6647E">
        <w:rPr>
          <w:rFonts w:ascii="Arial" w:hAnsi="Arial" w:cs="Arial"/>
          <w:sz w:val="20"/>
          <w:szCs w:val="20"/>
          <w:lang w:eastAsia="fr-FR"/>
        </w:rPr>
        <w:t>isons</w:t>
      </w:r>
      <w:r w:rsidR="0090722B" w:rsidRPr="00B6647E">
        <w:rPr>
          <w:rFonts w:ascii="Arial" w:hAnsi="Arial" w:cs="Arial"/>
          <w:sz w:val="20"/>
          <w:szCs w:val="20"/>
          <w:lang w:eastAsia="fr-FR"/>
        </w:rPr>
        <w:t>. La structure au niveau des régions et des saisons reste la même. En effet, la saison B est la plus importante et les régions de Bugesera, Bweru, Kirimiro et Buyenzi enregistrent les plus grandes superficies de haricot nain.</w:t>
      </w:r>
    </w:p>
    <w:p w:rsidR="009A474F" w:rsidRPr="00B6647E" w:rsidRDefault="009A474F" w:rsidP="005567D2">
      <w:pPr>
        <w:pStyle w:val="Lgende"/>
        <w:keepNext/>
        <w:jc w:val="both"/>
        <w:rPr>
          <w:rFonts w:ascii="Arial" w:hAnsi="Arial" w:cs="Arial"/>
        </w:rPr>
      </w:pPr>
      <w:r w:rsidRPr="00B6647E">
        <w:rPr>
          <w:rFonts w:ascii="Arial" w:hAnsi="Arial" w:cs="Arial"/>
        </w:rPr>
        <w:t xml:space="preserve">Tableau </w:t>
      </w:r>
      <w:r w:rsidR="00E1150A">
        <w:rPr>
          <w:rFonts w:ascii="Arial" w:hAnsi="Arial" w:cs="Arial"/>
        </w:rPr>
        <w:t>87</w:t>
      </w:r>
      <w:r w:rsidR="00194C6E" w:rsidRPr="00B6647E">
        <w:rPr>
          <w:rFonts w:ascii="Arial" w:hAnsi="Arial" w:cs="Arial"/>
        </w:rPr>
        <w:t> :</w:t>
      </w:r>
      <w:r w:rsidRPr="00B6647E">
        <w:rPr>
          <w:rFonts w:ascii="Arial" w:hAnsi="Arial" w:cs="Arial"/>
        </w:rPr>
        <w:t xml:space="preserve"> Superficie totale cultivée de haricot nain par région pendant les trois saisons</w:t>
      </w:r>
    </w:p>
    <w:p w:rsidR="009A474F" w:rsidRPr="00B6647E" w:rsidRDefault="00102CE7" w:rsidP="005567D2">
      <w:pPr>
        <w:spacing w:line="240" w:lineRule="auto"/>
        <w:rPr>
          <w:lang w:eastAsia="fr-FR"/>
        </w:rPr>
      </w:pPr>
      <w:r w:rsidRPr="00B6647E">
        <w:rPr>
          <w:noProof/>
          <w:lang w:val="fr-FR" w:eastAsia="fr-FR"/>
        </w:rPr>
        <w:drawing>
          <wp:inline distT="0" distB="0" distL="0" distR="0">
            <wp:extent cx="4210050" cy="2914650"/>
            <wp:effectExtent l="19050" t="0" r="0" b="0"/>
            <wp:docPr id="394"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9" cstate="print"/>
                    <a:srcRect/>
                    <a:stretch>
                      <a:fillRect/>
                    </a:stretch>
                  </pic:blipFill>
                  <pic:spPr bwMode="auto">
                    <a:xfrm>
                      <a:off x="0" y="0"/>
                      <a:ext cx="4210050" cy="2914650"/>
                    </a:xfrm>
                    <a:prstGeom prst="rect">
                      <a:avLst/>
                    </a:prstGeom>
                    <a:noFill/>
                    <a:ln w="9525">
                      <a:noFill/>
                      <a:miter lim="800000"/>
                      <a:headEnd/>
                      <a:tailEnd/>
                    </a:ln>
                  </pic:spPr>
                </pic:pic>
              </a:graphicData>
            </a:graphic>
          </wp:inline>
        </w:drawing>
      </w:r>
    </w:p>
    <w:p w:rsidR="00343A8B" w:rsidRPr="00B6647E" w:rsidRDefault="00343A8B" w:rsidP="005567D2">
      <w:pPr>
        <w:spacing w:line="240" w:lineRule="auto"/>
        <w:jc w:val="both"/>
        <w:rPr>
          <w:rFonts w:ascii="Arial" w:hAnsi="Arial" w:cs="Arial"/>
          <w:sz w:val="20"/>
          <w:szCs w:val="20"/>
          <w:lang w:eastAsia="fr-FR"/>
        </w:rPr>
      </w:pPr>
      <w:r w:rsidRPr="00B6647E">
        <w:rPr>
          <w:rFonts w:ascii="Arial" w:hAnsi="Arial" w:cs="Arial"/>
          <w:sz w:val="20"/>
          <w:szCs w:val="20"/>
          <w:lang w:eastAsia="fr-FR"/>
        </w:rPr>
        <w:t xml:space="preserve">La superficie totale du haricot volubile (104.403 ha) représente 30,6% de la superficie totale du haricot (nain et volubile) et 29,5% de la superficie totale de la campagne agricole 2011-2012. Les régions naturelles de Kirimiro (35.297 ha, soit 33,8% du total de la campagne) et Buyenzi (21.554 ha, </w:t>
      </w:r>
      <w:r w:rsidR="002C49DF" w:rsidRPr="00B6647E">
        <w:rPr>
          <w:rFonts w:ascii="Arial" w:hAnsi="Arial" w:cs="Arial"/>
          <w:sz w:val="20"/>
          <w:szCs w:val="20"/>
          <w:lang w:eastAsia="fr-FR"/>
        </w:rPr>
        <w:t>soit 20,6%</w:t>
      </w:r>
      <w:r w:rsidRPr="00B6647E">
        <w:rPr>
          <w:rFonts w:ascii="Arial" w:hAnsi="Arial" w:cs="Arial"/>
          <w:sz w:val="20"/>
          <w:szCs w:val="20"/>
          <w:lang w:eastAsia="fr-FR"/>
        </w:rPr>
        <w:t>) ont cultivé les plus grandes superficies de haricot volubile</w:t>
      </w:r>
      <w:r w:rsidR="002C49DF" w:rsidRPr="00B6647E">
        <w:rPr>
          <w:rFonts w:ascii="Arial" w:hAnsi="Arial" w:cs="Arial"/>
          <w:sz w:val="20"/>
          <w:szCs w:val="20"/>
          <w:lang w:eastAsia="fr-FR"/>
        </w:rPr>
        <w:t>. Au cours de la saison B, cette superficie est 71.514 ha (68,5%). En saison A, cette superficie de haricot volubile a été estimée à 27.613 ha (26,4%) et pendant la saison C à 5.276 ha (5,1%)</w:t>
      </w:r>
      <w:r w:rsidRPr="00B6647E">
        <w:rPr>
          <w:rFonts w:ascii="Arial" w:hAnsi="Arial" w:cs="Arial"/>
          <w:sz w:val="20"/>
          <w:szCs w:val="20"/>
          <w:lang w:eastAsia="fr-FR"/>
        </w:rPr>
        <w:t>.</w:t>
      </w:r>
    </w:p>
    <w:p w:rsidR="009A474F" w:rsidRPr="00B6647E" w:rsidRDefault="009A474F" w:rsidP="005567D2">
      <w:pPr>
        <w:pStyle w:val="Lgende"/>
        <w:keepNext/>
        <w:jc w:val="both"/>
        <w:rPr>
          <w:rFonts w:ascii="Arial" w:hAnsi="Arial" w:cs="Arial"/>
        </w:rPr>
      </w:pPr>
      <w:r w:rsidRPr="00B6647E">
        <w:rPr>
          <w:rFonts w:ascii="Arial" w:hAnsi="Arial" w:cs="Arial"/>
        </w:rPr>
        <w:lastRenderedPageBreak/>
        <w:t xml:space="preserve">Tableau </w:t>
      </w:r>
      <w:r w:rsidR="00E1150A">
        <w:rPr>
          <w:rFonts w:ascii="Arial" w:hAnsi="Arial" w:cs="Arial"/>
        </w:rPr>
        <w:t>88</w:t>
      </w:r>
      <w:r w:rsidR="00194C6E" w:rsidRPr="00B6647E">
        <w:rPr>
          <w:rFonts w:ascii="Arial" w:hAnsi="Arial" w:cs="Arial"/>
        </w:rPr>
        <w:t> :</w:t>
      </w:r>
      <w:r w:rsidRPr="00B6647E">
        <w:rPr>
          <w:rFonts w:ascii="Arial" w:hAnsi="Arial" w:cs="Arial"/>
        </w:rPr>
        <w:t xml:space="preserve"> Superficie totale cultivée de haricot volubile par région pendant les trois saisons</w:t>
      </w:r>
    </w:p>
    <w:p w:rsidR="009A474F" w:rsidRPr="00B6647E" w:rsidRDefault="00102CE7" w:rsidP="005567D2">
      <w:pPr>
        <w:spacing w:line="240" w:lineRule="auto"/>
        <w:rPr>
          <w:lang w:eastAsia="fr-FR"/>
        </w:rPr>
      </w:pPr>
      <w:r w:rsidRPr="00B6647E">
        <w:rPr>
          <w:noProof/>
          <w:lang w:val="fr-FR" w:eastAsia="fr-FR"/>
        </w:rPr>
        <w:drawing>
          <wp:inline distT="0" distB="0" distL="0" distR="0">
            <wp:extent cx="4210050" cy="2914650"/>
            <wp:effectExtent l="19050" t="0" r="0" b="0"/>
            <wp:docPr id="395"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0" cstate="print"/>
                    <a:srcRect/>
                    <a:stretch>
                      <a:fillRect/>
                    </a:stretch>
                  </pic:blipFill>
                  <pic:spPr bwMode="auto">
                    <a:xfrm>
                      <a:off x="0" y="0"/>
                      <a:ext cx="4210050" cy="2914650"/>
                    </a:xfrm>
                    <a:prstGeom prst="rect">
                      <a:avLst/>
                    </a:prstGeom>
                    <a:noFill/>
                    <a:ln w="9525">
                      <a:noFill/>
                      <a:miter lim="800000"/>
                      <a:headEnd/>
                      <a:tailEnd/>
                    </a:ln>
                  </pic:spPr>
                </pic:pic>
              </a:graphicData>
            </a:graphic>
          </wp:inline>
        </w:drawing>
      </w:r>
    </w:p>
    <w:p w:rsidR="002C49DF" w:rsidRPr="00B6647E" w:rsidRDefault="002C49DF" w:rsidP="005567D2">
      <w:pPr>
        <w:spacing w:line="240" w:lineRule="auto"/>
        <w:jc w:val="both"/>
        <w:rPr>
          <w:rFonts w:ascii="Arial" w:hAnsi="Arial" w:cs="Arial"/>
          <w:sz w:val="20"/>
          <w:szCs w:val="20"/>
          <w:lang w:eastAsia="fr-FR"/>
        </w:rPr>
      </w:pPr>
      <w:r w:rsidRPr="00B6647E">
        <w:rPr>
          <w:rFonts w:ascii="Arial" w:hAnsi="Arial" w:cs="Arial"/>
          <w:sz w:val="20"/>
          <w:szCs w:val="20"/>
          <w:lang w:eastAsia="fr-FR"/>
        </w:rPr>
        <w:t>La superficie totale de niébé est 2.211 ha, soit 0,6% de la superficie totale des légumineuses. Le niébé a été cultivé principalement en saison B (1.128 ha) et dans la région de Kirimiro (1.146 ha sur toute la campagne).</w:t>
      </w:r>
    </w:p>
    <w:p w:rsidR="009A474F" w:rsidRPr="00B6647E" w:rsidRDefault="00194C6E" w:rsidP="005567D2">
      <w:pPr>
        <w:pStyle w:val="Lgende"/>
        <w:keepNext/>
        <w:jc w:val="both"/>
        <w:rPr>
          <w:rFonts w:ascii="Arial" w:hAnsi="Arial" w:cs="Arial"/>
        </w:rPr>
      </w:pPr>
      <w:r w:rsidRPr="00B6647E">
        <w:rPr>
          <w:rFonts w:ascii="Arial" w:hAnsi="Arial" w:cs="Arial"/>
        </w:rPr>
        <w:t>Tableau 8</w:t>
      </w:r>
      <w:r w:rsidR="00E1150A">
        <w:rPr>
          <w:rFonts w:ascii="Arial" w:hAnsi="Arial" w:cs="Arial"/>
        </w:rPr>
        <w:t>9</w:t>
      </w:r>
      <w:r w:rsidRPr="00B6647E">
        <w:rPr>
          <w:rFonts w:ascii="Arial" w:hAnsi="Arial" w:cs="Arial"/>
        </w:rPr>
        <w:t> :</w:t>
      </w:r>
      <w:r w:rsidR="009A474F" w:rsidRPr="00B6647E">
        <w:rPr>
          <w:rFonts w:ascii="Arial" w:hAnsi="Arial" w:cs="Arial"/>
        </w:rPr>
        <w:t xml:space="preserve"> Superficie totale cultivée de niébé par région pendant les trois saisons</w:t>
      </w:r>
    </w:p>
    <w:p w:rsidR="009A474F" w:rsidRPr="00B6647E" w:rsidRDefault="00102CE7" w:rsidP="005567D2">
      <w:pPr>
        <w:spacing w:line="240" w:lineRule="auto"/>
        <w:rPr>
          <w:lang w:eastAsia="fr-FR"/>
        </w:rPr>
      </w:pPr>
      <w:r w:rsidRPr="00B6647E">
        <w:rPr>
          <w:noProof/>
          <w:lang w:val="fr-FR" w:eastAsia="fr-FR"/>
        </w:rPr>
        <w:drawing>
          <wp:inline distT="0" distB="0" distL="0" distR="0">
            <wp:extent cx="4210050" cy="2914650"/>
            <wp:effectExtent l="19050" t="0" r="0" b="0"/>
            <wp:docPr id="396"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1" cstate="print"/>
                    <a:srcRect/>
                    <a:stretch>
                      <a:fillRect/>
                    </a:stretch>
                  </pic:blipFill>
                  <pic:spPr bwMode="auto">
                    <a:xfrm>
                      <a:off x="0" y="0"/>
                      <a:ext cx="4210050" cy="2914650"/>
                    </a:xfrm>
                    <a:prstGeom prst="rect">
                      <a:avLst/>
                    </a:prstGeom>
                    <a:noFill/>
                    <a:ln w="9525">
                      <a:noFill/>
                      <a:miter lim="800000"/>
                      <a:headEnd/>
                      <a:tailEnd/>
                    </a:ln>
                  </pic:spPr>
                </pic:pic>
              </a:graphicData>
            </a:graphic>
          </wp:inline>
        </w:drawing>
      </w:r>
    </w:p>
    <w:p w:rsidR="00C01AEE" w:rsidRPr="00B6647E" w:rsidRDefault="00C01AEE" w:rsidP="005567D2">
      <w:pPr>
        <w:spacing w:line="240" w:lineRule="auto"/>
        <w:jc w:val="both"/>
        <w:rPr>
          <w:rFonts w:ascii="Arial" w:hAnsi="Arial" w:cs="Arial"/>
          <w:sz w:val="20"/>
          <w:szCs w:val="20"/>
          <w:lang w:eastAsia="fr-FR"/>
        </w:rPr>
      </w:pPr>
      <w:r w:rsidRPr="00B6647E">
        <w:rPr>
          <w:rFonts w:ascii="Arial" w:hAnsi="Arial" w:cs="Arial"/>
          <w:sz w:val="20"/>
          <w:szCs w:val="20"/>
          <w:lang w:eastAsia="fr-FR"/>
        </w:rPr>
        <w:t>La superficie du petit pois est estimée à 5.524 ha sur toute la campagne (1,6% de la superficie totale des légumineuses). Cette culture a été principalement cultivée en saison A (2.898 ha) et pendant la saison B (2.062 ha). Au niveau des régions naturelles, Mugamba (2.362 ha) et Buyenzi (1.098 ha) ont cultivé 62,6% de la superficie totale du petit pois.</w:t>
      </w:r>
    </w:p>
    <w:p w:rsidR="00C01AEE" w:rsidRPr="00B6647E" w:rsidRDefault="00C01AEE" w:rsidP="005567D2">
      <w:pPr>
        <w:spacing w:line="240" w:lineRule="auto"/>
        <w:jc w:val="both"/>
        <w:rPr>
          <w:rFonts w:ascii="Arial" w:hAnsi="Arial" w:cs="Arial"/>
          <w:sz w:val="20"/>
          <w:szCs w:val="20"/>
          <w:lang w:eastAsia="fr-FR"/>
        </w:rPr>
      </w:pPr>
    </w:p>
    <w:p w:rsidR="009A474F" w:rsidRPr="00B6647E" w:rsidRDefault="009A474F" w:rsidP="005567D2">
      <w:pPr>
        <w:pStyle w:val="Lgende"/>
        <w:keepNext/>
        <w:jc w:val="both"/>
        <w:rPr>
          <w:rFonts w:ascii="Arial" w:hAnsi="Arial" w:cs="Arial"/>
        </w:rPr>
      </w:pPr>
      <w:r w:rsidRPr="00B6647E">
        <w:rPr>
          <w:rFonts w:ascii="Arial" w:hAnsi="Arial" w:cs="Arial"/>
        </w:rPr>
        <w:lastRenderedPageBreak/>
        <w:t xml:space="preserve">Tableau </w:t>
      </w:r>
      <w:r w:rsidR="00E1150A">
        <w:rPr>
          <w:rFonts w:ascii="Arial" w:hAnsi="Arial" w:cs="Arial"/>
        </w:rPr>
        <w:t>90</w:t>
      </w:r>
      <w:r w:rsidR="00194C6E" w:rsidRPr="00B6647E">
        <w:rPr>
          <w:rFonts w:ascii="Arial" w:hAnsi="Arial" w:cs="Arial"/>
        </w:rPr>
        <w:t> :</w:t>
      </w:r>
      <w:r w:rsidRPr="00B6647E">
        <w:rPr>
          <w:rFonts w:ascii="Arial" w:hAnsi="Arial" w:cs="Arial"/>
        </w:rPr>
        <w:t xml:space="preserve"> Superficie totale cultivée de petit pois par région pendant les trois saisons</w:t>
      </w:r>
    </w:p>
    <w:p w:rsidR="00D106DF" w:rsidRPr="00B6647E" w:rsidRDefault="00102CE7" w:rsidP="005567D2">
      <w:pPr>
        <w:spacing w:line="240" w:lineRule="auto"/>
        <w:rPr>
          <w:rFonts w:cs="Arial"/>
          <w:szCs w:val="20"/>
        </w:rPr>
      </w:pPr>
      <w:r w:rsidRPr="00B6647E">
        <w:rPr>
          <w:noProof/>
          <w:szCs w:val="20"/>
          <w:lang w:val="fr-FR" w:eastAsia="fr-FR"/>
        </w:rPr>
        <w:drawing>
          <wp:inline distT="0" distB="0" distL="0" distR="0">
            <wp:extent cx="4210050" cy="2914650"/>
            <wp:effectExtent l="19050" t="0" r="0" b="0"/>
            <wp:docPr id="397"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2" cstate="print"/>
                    <a:srcRect/>
                    <a:stretch>
                      <a:fillRect/>
                    </a:stretch>
                  </pic:blipFill>
                  <pic:spPr bwMode="auto">
                    <a:xfrm>
                      <a:off x="0" y="0"/>
                      <a:ext cx="4210050" cy="2914650"/>
                    </a:xfrm>
                    <a:prstGeom prst="rect">
                      <a:avLst/>
                    </a:prstGeom>
                    <a:noFill/>
                    <a:ln w="9525">
                      <a:noFill/>
                      <a:miter lim="800000"/>
                      <a:headEnd/>
                      <a:tailEnd/>
                    </a:ln>
                  </pic:spPr>
                </pic:pic>
              </a:graphicData>
            </a:graphic>
          </wp:inline>
        </w:drawing>
      </w:r>
    </w:p>
    <w:p w:rsidR="00C01AEE" w:rsidRPr="00B6647E" w:rsidRDefault="00C01AEE" w:rsidP="005567D2">
      <w:pPr>
        <w:spacing w:line="240" w:lineRule="auto"/>
        <w:jc w:val="both"/>
        <w:rPr>
          <w:rFonts w:ascii="Arial" w:hAnsi="Arial" w:cs="Arial"/>
          <w:sz w:val="20"/>
          <w:szCs w:val="20"/>
        </w:rPr>
      </w:pPr>
      <w:r w:rsidRPr="00B6647E">
        <w:rPr>
          <w:rFonts w:ascii="Arial" w:hAnsi="Arial" w:cs="Arial"/>
          <w:sz w:val="20"/>
          <w:szCs w:val="20"/>
        </w:rPr>
        <w:t xml:space="preserve">La superficie du pois cajan a été estimée à 5.323 ha (1,5% de la superficie totale des légumineuses). </w:t>
      </w:r>
      <w:r w:rsidR="00AD5B6B" w:rsidRPr="00B6647E">
        <w:rPr>
          <w:rFonts w:ascii="Arial" w:hAnsi="Arial" w:cs="Arial"/>
          <w:sz w:val="20"/>
          <w:szCs w:val="20"/>
        </w:rPr>
        <w:t xml:space="preserve">Cette superficie a été principalement cultivée au cours de la </w:t>
      </w:r>
      <w:r w:rsidRPr="00B6647E">
        <w:rPr>
          <w:rFonts w:ascii="Arial" w:hAnsi="Arial" w:cs="Arial"/>
          <w:sz w:val="20"/>
          <w:szCs w:val="20"/>
        </w:rPr>
        <w:t xml:space="preserve">saison C (2.670 ha) </w:t>
      </w:r>
      <w:r w:rsidR="00AD5B6B" w:rsidRPr="00B6647E">
        <w:rPr>
          <w:rFonts w:ascii="Arial" w:hAnsi="Arial" w:cs="Arial"/>
          <w:sz w:val="20"/>
          <w:szCs w:val="20"/>
        </w:rPr>
        <w:t xml:space="preserve">et pendant </w:t>
      </w:r>
      <w:r w:rsidRPr="00B6647E">
        <w:rPr>
          <w:rFonts w:ascii="Arial" w:hAnsi="Arial" w:cs="Arial"/>
          <w:sz w:val="20"/>
          <w:szCs w:val="20"/>
        </w:rPr>
        <w:t xml:space="preserve">la saison B </w:t>
      </w:r>
      <w:r w:rsidR="00AD5B6B" w:rsidRPr="00B6647E">
        <w:rPr>
          <w:rFonts w:ascii="Arial" w:hAnsi="Arial" w:cs="Arial"/>
          <w:sz w:val="20"/>
          <w:szCs w:val="20"/>
        </w:rPr>
        <w:t>(1.852 ha). Les régions naturelles de Kirimiro (2.104 ha), Moso (1.673 ha) et Buyogoma (1.239 ha) ont cultivée 94,2% de la superficie totale du pois cajan en culture pure et principale.</w:t>
      </w:r>
    </w:p>
    <w:p w:rsidR="009A474F" w:rsidRPr="00B6647E" w:rsidRDefault="009A474F" w:rsidP="005567D2">
      <w:pPr>
        <w:pStyle w:val="Lgende"/>
        <w:keepNext/>
        <w:jc w:val="both"/>
        <w:rPr>
          <w:rFonts w:ascii="Arial" w:hAnsi="Arial" w:cs="Arial"/>
        </w:rPr>
      </w:pPr>
      <w:r w:rsidRPr="00B6647E">
        <w:rPr>
          <w:rFonts w:ascii="Arial" w:hAnsi="Arial" w:cs="Arial"/>
        </w:rPr>
        <w:t xml:space="preserve">Tableau </w:t>
      </w:r>
      <w:r w:rsidR="00E1150A">
        <w:rPr>
          <w:rFonts w:ascii="Arial" w:hAnsi="Arial" w:cs="Arial"/>
        </w:rPr>
        <w:t>91</w:t>
      </w:r>
      <w:r w:rsidR="00194C6E" w:rsidRPr="00B6647E">
        <w:rPr>
          <w:rFonts w:ascii="Arial" w:hAnsi="Arial" w:cs="Arial"/>
        </w:rPr>
        <w:t> :</w:t>
      </w:r>
      <w:r w:rsidRPr="00B6647E">
        <w:rPr>
          <w:rFonts w:ascii="Arial" w:hAnsi="Arial" w:cs="Arial"/>
        </w:rPr>
        <w:t xml:space="preserve"> Superficie totale cultivée de pois cajan par région pendant les trois saisons</w:t>
      </w:r>
    </w:p>
    <w:p w:rsidR="00125A22" w:rsidRPr="00B6647E" w:rsidRDefault="00125A22" w:rsidP="00125A22">
      <w:pPr>
        <w:rPr>
          <w:lang w:eastAsia="fr-FR"/>
        </w:rPr>
      </w:pPr>
    </w:p>
    <w:p w:rsidR="00D106DF" w:rsidRPr="00B6647E" w:rsidRDefault="00102CE7" w:rsidP="005567D2">
      <w:pPr>
        <w:spacing w:line="240" w:lineRule="auto"/>
        <w:rPr>
          <w:rFonts w:cs="Arial"/>
          <w:szCs w:val="20"/>
        </w:rPr>
      </w:pPr>
      <w:r w:rsidRPr="00B6647E">
        <w:rPr>
          <w:noProof/>
          <w:szCs w:val="20"/>
          <w:lang w:val="fr-FR" w:eastAsia="fr-FR"/>
        </w:rPr>
        <w:drawing>
          <wp:inline distT="0" distB="0" distL="0" distR="0">
            <wp:extent cx="4210050" cy="2914650"/>
            <wp:effectExtent l="19050" t="0" r="0" b="0"/>
            <wp:docPr id="398"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3" cstate="print"/>
                    <a:srcRect/>
                    <a:stretch>
                      <a:fillRect/>
                    </a:stretch>
                  </pic:blipFill>
                  <pic:spPr bwMode="auto">
                    <a:xfrm>
                      <a:off x="0" y="0"/>
                      <a:ext cx="4210050" cy="2914650"/>
                    </a:xfrm>
                    <a:prstGeom prst="rect">
                      <a:avLst/>
                    </a:prstGeom>
                    <a:noFill/>
                    <a:ln w="9525">
                      <a:noFill/>
                      <a:miter lim="800000"/>
                      <a:headEnd/>
                      <a:tailEnd/>
                    </a:ln>
                  </pic:spPr>
                </pic:pic>
              </a:graphicData>
            </a:graphic>
          </wp:inline>
        </w:drawing>
      </w:r>
    </w:p>
    <w:p w:rsidR="005567D2" w:rsidRPr="00B6647E" w:rsidRDefault="005567D2" w:rsidP="00FD5448">
      <w:pPr>
        <w:pStyle w:val="Paragraphedeliste"/>
        <w:spacing w:before="200" w:after="120" w:line="240" w:lineRule="auto"/>
        <w:ind w:left="0"/>
        <w:contextualSpacing w:val="0"/>
        <w:rPr>
          <w:rFonts w:ascii="Arial" w:hAnsi="Arial" w:cs="Arial"/>
          <w:b/>
          <w:sz w:val="20"/>
          <w:szCs w:val="20"/>
        </w:rPr>
      </w:pPr>
      <w:r w:rsidRPr="00B6647E">
        <w:rPr>
          <w:rFonts w:ascii="Arial" w:hAnsi="Arial" w:cs="Arial"/>
          <w:b/>
          <w:sz w:val="20"/>
          <w:szCs w:val="20"/>
        </w:rPr>
        <w:t>a) Superficies des légumineuses dans provinces</w:t>
      </w:r>
    </w:p>
    <w:p w:rsidR="005567D2" w:rsidRPr="00B6647E" w:rsidRDefault="005567D2" w:rsidP="00990F12">
      <w:pPr>
        <w:pStyle w:val="Paragraphedeliste"/>
        <w:spacing w:after="0" w:line="240" w:lineRule="auto"/>
        <w:ind w:left="0"/>
        <w:jc w:val="both"/>
        <w:rPr>
          <w:rFonts w:ascii="Arial" w:hAnsi="Arial" w:cs="Arial"/>
          <w:sz w:val="20"/>
          <w:szCs w:val="20"/>
        </w:rPr>
      </w:pPr>
    </w:p>
    <w:p w:rsidR="005567D2" w:rsidRPr="00B6647E" w:rsidRDefault="005567D2" w:rsidP="00990F12">
      <w:pPr>
        <w:pStyle w:val="Paragraphedeliste"/>
        <w:spacing w:after="0" w:line="240" w:lineRule="auto"/>
        <w:ind w:left="0"/>
        <w:jc w:val="both"/>
        <w:rPr>
          <w:rFonts w:ascii="Arial" w:hAnsi="Arial" w:cs="Arial"/>
          <w:sz w:val="20"/>
          <w:szCs w:val="20"/>
        </w:rPr>
      </w:pPr>
      <w:r w:rsidRPr="00B6647E">
        <w:rPr>
          <w:rFonts w:ascii="Arial" w:hAnsi="Arial" w:cs="Arial"/>
          <w:sz w:val="20"/>
          <w:szCs w:val="20"/>
        </w:rPr>
        <w:t>La superficie de légumineuses la plus élevée a été estimée dans les provinces de Kirundo (86.356 ha, soit 24,4% de la superficie totale des légumineuses de toute la campagne agricole). Viennent ensuite loin derrière les provinces de Muyinga (37.478 ha, soit 10,6%), Gitega (35.350 ha, soit 10%), Ngozi (26.85 ha, soit 76%), Ruyigi (</w:t>
      </w:r>
      <w:r w:rsidR="00990F12" w:rsidRPr="00B6647E">
        <w:rPr>
          <w:rFonts w:ascii="Arial" w:hAnsi="Arial" w:cs="Arial"/>
          <w:sz w:val="20"/>
          <w:szCs w:val="20"/>
        </w:rPr>
        <w:t>24.062 ha, soit 8,6%)/ Les provinces de Bubanza (5.363 ha) et Cibitoke (8.374 ha) ont cultivé moins de 10.000 ha de légumineuses en culture pure ou principale au cours de toute la campagne agricole 2011-2012.</w:t>
      </w:r>
    </w:p>
    <w:p w:rsidR="005567D2" w:rsidRPr="00B6647E" w:rsidRDefault="005567D2" w:rsidP="005567D2">
      <w:pPr>
        <w:pStyle w:val="Paragraphedeliste"/>
        <w:spacing w:after="0" w:line="240" w:lineRule="auto"/>
        <w:ind w:left="0"/>
        <w:rPr>
          <w:rFonts w:ascii="Arial" w:hAnsi="Arial" w:cs="Arial"/>
          <w:sz w:val="20"/>
          <w:szCs w:val="20"/>
        </w:rPr>
      </w:pPr>
    </w:p>
    <w:p w:rsidR="00EC0C77" w:rsidRPr="00B6647E" w:rsidRDefault="00EC0C77" w:rsidP="001E4435">
      <w:pPr>
        <w:pStyle w:val="Lgende"/>
        <w:keepNext/>
        <w:spacing w:after="120"/>
        <w:jc w:val="both"/>
        <w:rPr>
          <w:rFonts w:ascii="Arial" w:hAnsi="Arial" w:cs="Arial"/>
        </w:rPr>
      </w:pPr>
      <w:r w:rsidRPr="00B6647E">
        <w:rPr>
          <w:rFonts w:ascii="Arial" w:hAnsi="Arial" w:cs="Arial"/>
        </w:rPr>
        <w:lastRenderedPageBreak/>
        <w:t>Tableau</w:t>
      </w:r>
      <w:r w:rsidR="00367774" w:rsidRPr="00B6647E">
        <w:rPr>
          <w:rFonts w:ascii="Arial" w:hAnsi="Arial" w:cs="Arial"/>
        </w:rPr>
        <w:t xml:space="preserve"> </w:t>
      </w:r>
      <w:r w:rsidR="00E1150A">
        <w:rPr>
          <w:rFonts w:ascii="Arial" w:hAnsi="Arial" w:cs="Arial"/>
        </w:rPr>
        <w:t>92</w:t>
      </w:r>
      <w:r w:rsidR="00194C6E" w:rsidRPr="00B6647E">
        <w:rPr>
          <w:rFonts w:ascii="Arial" w:hAnsi="Arial" w:cs="Arial"/>
        </w:rPr>
        <w:t> :</w:t>
      </w:r>
      <w:r w:rsidR="00A62BC2" w:rsidRPr="00B6647E">
        <w:rPr>
          <w:rFonts w:ascii="Arial" w:hAnsi="Arial" w:cs="Arial"/>
        </w:rPr>
        <w:t xml:space="preserve"> Superficie totale cultivée des</w:t>
      </w:r>
      <w:r w:rsidRPr="00B6647E">
        <w:rPr>
          <w:rFonts w:ascii="Arial" w:hAnsi="Arial" w:cs="Arial"/>
        </w:rPr>
        <w:t xml:space="preserve"> légumineuses par province pendant les trois saisons</w:t>
      </w:r>
    </w:p>
    <w:p w:rsidR="00A62BC2" w:rsidRPr="00B6647E" w:rsidRDefault="008F62A0" w:rsidP="001E4435">
      <w:pPr>
        <w:spacing w:after="120" w:line="240" w:lineRule="auto"/>
        <w:rPr>
          <w:rFonts w:cs="Arial"/>
          <w:szCs w:val="20"/>
        </w:rPr>
      </w:pPr>
      <w:r w:rsidRPr="00B6647E">
        <w:rPr>
          <w:noProof/>
          <w:szCs w:val="20"/>
          <w:lang w:val="fr-FR" w:eastAsia="fr-FR"/>
        </w:rPr>
        <w:drawing>
          <wp:inline distT="0" distB="0" distL="0" distR="0">
            <wp:extent cx="4238625" cy="3867150"/>
            <wp:effectExtent l="19050" t="0" r="9525" b="0"/>
            <wp:docPr id="399"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4" cstate="print"/>
                    <a:srcRect/>
                    <a:stretch>
                      <a:fillRect/>
                    </a:stretch>
                  </pic:blipFill>
                  <pic:spPr bwMode="auto">
                    <a:xfrm>
                      <a:off x="0" y="0"/>
                      <a:ext cx="4238625" cy="3867150"/>
                    </a:xfrm>
                    <a:prstGeom prst="rect">
                      <a:avLst/>
                    </a:prstGeom>
                    <a:noFill/>
                    <a:ln w="9525">
                      <a:noFill/>
                      <a:miter lim="800000"/>
                      <a:headEnd/>
                      <a:tailEnd/>
                    </a:ln>
                  </pic:spPr>
                </pic:pic>
              </a:graphicData>
            </a:graphic>
          </wp:inline>
        </w:drawing>
      </w:r>
    </w:p>
    <w:p w:rsidR="00665722" w:rsidRPr="00B6647E" w:rsidRDefault="00665722" w:rsidP="001025E0">
      <w:pPr>
        <w:pStyle w:val="Lgende"/>
        <w:keepNext/>
        <w:jc w:val="both"/>
        <w:rPr>
          <w:rFonts w:ascii="Arial" w:hAnsi="Arial" w:cs="Arial"/>
        </w:rPr>
      </w:pPr>
      <w:r w:rsidRPr="00B6647E">
        <w:rPr>
          <w:rFonts w:ascii="Arial" w:hAnsi="Arial" w:cs="Arial"/>
        </w:rPr>
        <w:t xml:space="preserve">Tableau </w:t>
      </w:r>
      <w:r w:rsidR="00E1150A">
        <w:rPr>
          <w:rFonts w:ascii="Arial" w:hAnsi="Arial" w:cs="Arial"/>
        </w:rPr>
        <w:t>93</w:t>
      </w:r>
      <w:r w:rsidR="00367774" w:rsidRPr="00B6647E">
        <w:rPr>
          <w:rFonts w:ascii="Arial" w:hAnsi="Arial" w:cs="Arial"/>
        </w:rPr>
        <w:t> :</w:t>
      </w:r>
      <w:r w:rsidRPr="00B6647E">
        <w:rPr>
          <w:rFonts w:ascii="Arial" w:hAnsi="Arial" w:cs="Arial"/>
        </w:rPr>
        <w:t xml:space="preserve"> Superficie totale cultivée de haricot par province pendant les trois saisons</w:t>
      </w:r>
    </w:p>
    <w:p w:rsidR="00665722" w:rsidRPr="00B6647E" w:rsidRDefault="008F62A0" w:rsidP="001025E0">
      <w:pPr>
        <w:spacing w:line="240" w:lineRule="auto"/>
        <w:rPr>
          <w:rFonts w:cs="Arial"/>
          <w:szCs w:val="20"/>
        </w:rPr>
      </w:pPr>
      <w:r w:rsidRPr="00B6647E">
        <w:rPr>
          <w:noProof/>
          <w:szCs w:val="20"/>
          <w:lang w:val="fr-FR" w:eastAsia="fr-FR"/>
        </w:rPr>
        <w:drawing>
          <wp:inline distT="0" distB="0" distL="0" distR="0">
            <wp:extent cx="4238625" cy="3667125"/>
            <wp:effectExtent l="19050" t="0" r="9525" b="0"/>
            <wp:docPr id="400"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5" cstate="print"/>
                    <a:srcRect/>
                    <a:stretch>
                      <a:fillRect/>
                    </a:stretch>
                  </pic:blipFill>
                  <pic:spPr bwMode="auto">
                    <a:xfrm>
                      <a:off x="0" y="0"/>
                      <a:ext cx="4238625" cy="3667125"/>
                    </a:xfrm>
                    <a:prstGeom prst="rect">
                      <a:avLst/>
                    </a:prstGeom>
                    <a:noFill/>
                    <a:ln w="9525">
                      <a:noFill/>
                      <a:miter lim="800000"/>
                      <a:headEnd/>
                      <a:tailEnd/>
                    </a:ln>
                  </pic:spPr>
                </pic:pic>
              </a:graphicData>
            </a:graphic>
          </wp:inline>
        </w:drawing>
      </w:r>
    </w:p>
    <w:p w:rsidR="00893AC8" w:rsidRPr="00B6647E" w:rsidRDefault="00893AC8" w:rsidP="00893AC8">
      <w:pPr>
        <w:spacing w:after="120" w:line="240" w:lineRule="auto"/>
        <w:jc w:val="both"/>
        <w:rPr>
          <w:rFonts w:ascii="Arial" w:hAnsi="Arial" w:cs="Arial"/>
          <w:sz w:val="20"/>
          <w:szCs w:val="20"/>
        </w:rPr>
      </w:pPr>
      <w:r w:rsidRPr="00B6647E">
        <w:rPr>
          <w:rFonts w:ascii="Arial" w:hAnsi="Arial" w:cs="Arial"/>
          <w:sz w:val="20"/>
          <w:szCs w:val="20"/>
        </w:rPr>
        <w:t>Le haricot (nain et volubile) qui reste la principale légumineuses (96,3% de la superficie totale des légumineuses) est principalement cultivé dans les provinces de Kirundo (86.033 ha, soit 25,2% de la superficie totale de haricot de la campagne agricole), Muyinga (36.910 ha, soit 10,8%), Gitega (33.621 ha, soit 9,9%), Ngozi (26.801 ha, soit 7,9%), Ruyigi (21.675 ha, soit 6,4%).</w:t>
      </w:r>
    </w:p>
    <w:p w:rsidR="005245E2" w:rsidRPr="00B6647E" w:rsidRDefault="00B00DE0" w:rsidP="001025E0">
      <w:pPr>
        <w:spacing w:line="240" w:lineRule="auto"/>
        <w:jc w:val="both"/>
        <w:rPr>
          <w:rFonts w:ascii="Arial" w:hAnsi="Arial" w:cs="Arial"/>
          <w:sz w:val="20"/>
          <w:szCs w:val="20"/>
        </w:rPr>
      </w:pPr>
      <w:r w:rsidRPr="00B6647E">
        <w:rPr>
          <w:rFonts w:ascii="Arial" w:hAnsi="Arial" w:cs="Arial"/>
          <w:sz w:val="20"/>
          <w:szCs w:val="20"/>
        </w:rPr>
        <w:lastRenderedPageBreak/>
        <w:t>La superficie du haricot nain (236.349 ha) est plus importante que celles du haricot volubile. Elle représente 66,8% de la superficie de l’ensemble des légumineuses de toute la campagne agricole.</w:t>
      </w:r>
    </w:p>
    <w:p w:rsidR="00665722" w:rsidRPr="00B6647E" w:rsidRDefault="00B00DE0" w:rsidP="001025E0">
      <w:pPr>
        <w:spacing w:line="240" w:lineRule="auto"/>
        <w:jc w:val="both"/>
        <w:rPr>
          <w:rFonts w:ascii="Arial" w:hAnsi="Arial" w:cs="Arial"/>
          <w:sz w:val="20"/>
          <w:szCs w:val="20"/>
        </w:rPr>
      </w:pPr>
      <w:r w:rsidRPr="00B6647E">
        <w:rPr>
          <w:rFonts w:ascii="Arial" w:hAnsi="Arial" w:cs="Arial"/>
          <w:sz w:val="20"/>
          <w:szCs w:val="20"/>
        </w:rPr>
        <w:t>Le haricot nain est principalement cultivé est saison B (124.885 ha) et dans les provinces de Kirundo (</w:t>
      </w:r>
      <w:r w:rsidR="00A812B6" w:rsidRPr="00B6647E">
        <w:rPr>
          <w:rFonts w:ascii="Arial" w:hAnsi="Arial" w:cs="Arial"/>
          <w:sz w:val="20"/>
          <w:szCs w:val="20"/>
        </w:rPr>
        <w:t xml:space="preserve">83.783 ha, soit </w:t>
      </w:r>
      <w:r w:rsidRPr="00B6647E">
        <w:rPr>
          <w:rFonts w:ascii="Arial" w:hAnsi="Arial" w:cs="Arial"/>
          <w:sz w:val="20"/>
          <w:szCs w:val="20"/>
        </w:rPr>
        <w:t>35,4% de la superficie totale de haricot nain des trois saisons), Muyinga (</w:t>
      </w:r>
      <w:r w:rsidR="00A812B6" w:rsidRPr="00B6647E">
        <w:rPr>
          <w:rFonts w:ascii="Arial" w:hAnsi="Arial" w:cs="Arial"/>
          <w:sz w:val="20"/>
          <w:szCs w:val="20"/>
        </w:rPr>
        <w:t>33.069 ha, soit 14%)</w:t>
      </w:r>
      <w:r w:rsidRPr="00B6647E">
        <w:rPr>
          <w:rFonts w:ascii="Arial" w:hAnsi="Arial" w:cs="Arial"/>
          <w:sz w:val="20"/>
          <w:szCs w:val="20"/>
        </w:rPr>
        <w:t>, Gitega</w:t>
      </w:r>
      <w:r w:rsidR="00A812B6" w:rsidRPr="00B6647E">
        <w:rPr>
          <w:rFonts w:ascii="Arial" w:hAnsi="Arial" w:cs="Arial"/>
          <w:sz w:val="20"/>
          <w:szCs w:val="20"/>
        </w:rPr>
        <w:t xml:space="preserve"> (19.506 ha, soit 8,3%)</w:t>
      </w:r>
      <w:r w:rsidRPr="00B6647E">
        <w:rPr>
          <w:rFonts w:ascii="Arial" w:hAnsi="Arial" w:cs="Arial"/>
          <w:sz w:val="20"/>
          <w:szCs w:val="20"/>
        </w:rPr>
        <w:t>, Ruyigi</w:t>
      </w:r>
      <w:r w:rsidR="00A812B6" w:rsidRPr="00B6647E">
        <w:rPr>
          <w:rFonts w:ascii="Arial" w:hAnsi="Arial" w:cs="Arial"/>
          <w:sz w:val="20"/>
          <w:szCs w:val="20"/>
        </w:rPr>
        <w:t xml:space="preserve"> (19.311 ha, soit 8,2%)</w:t>
      </w:r>
      <w:r w:rsidRPr="00B6647E">
        <w:rPr>
          <w:rFonts w:ascii="Arial" w:hAnsi="Arial" w:cs="Arial"/>
          <w:sz w:val="20"/>
          <w:szCs w:val="20"/>
        </w:rPr>
        <w:t>, Ngozi</w:t>
      </w:r>
      <w:r w:rsidR="00A812B6" w:rsidRPr="00B6647E">
        <w:rPr>
          <w:rFonts w:ascii="Arial" w:hAnsi="Arial" w:cs="Arial"/>
          <w:sz w:val="20"/>
          <w:szCs w:val="20"/>
        </w:rPr>
        <w:t xml:space="preserve"> (17.216 ha, soit 7,3%)</w:t>
      </w:r>
      <w:r w:rsidRPr="00B6647E">
        <w:rPr>
          <w:rFonts w:ascii="Arial" w:hAnsi="Arial" w:cs="Arial"/>
          <w:sz w:val="20"/>
          <w:szCs w:val="20"/>
        </w:rPr>
        <w:t>, Cankuzo</w:t>
      </w:r>
      <w:r w:rsidR="00A812B6" w:rsidRPr="00B6647E">
        <w:rPr>
          <w:rFonts w:ascii="Arial" w:hAnsi="Arial" w:cs="Arial"/>
          <w:sz w:val="20"/>
          <w:szCs w:val="20"/>
        </w:rPr>
        <w:t xml:space="preserve"> (14.970 ha, soit 6,3%)</w:t>
      </w:r>
      <w:r w:rsidRPr="00B6647E">
        <w:rPr>
          <w:rFonts w:ascii="Arial" w:hAnsi="Arial" w:cs="Arial"/>
          <w:sz w:val="20"/>
          <w:szCs w:val="20"/>
        </w:rPr>
        <w:t>.</w:t>
      </w:r>
    </w:p>
    <w:p w:rsidR="00665722" w:rsidRPr="00B6647E" w:rsidRDefault="00367774" w:rsidP="005245E2">
      <w:pPr>
        <w:pStyle w:val="Lgende"/>
        <w:keepNext/>
        <w:spacing w:after="120"/>
        <w:jc w:val="both"/>
        <w:rPr>
          <w:rFonts w:ascii="Arial" w:hAnsi="Arial" w:cs="Arial"/>
        </w:rPr>
      </w:pPr>
      <w:r w:rsidRPr="00B6647E">
        <w:rPr>
          <w:rFonts w:ascii="Arial" w:hAnsi="Arial" w:cs="Arial"/>
        </w:rPr>
        <w:t xml:space="preserve">Tableau </w:t>
      </w:r>
      <w:r w:rsidR="00E1150A">
        <w:rPr>
          <w:rFonts w:ascii="Arial" w:hAnsi="Arial" w:cs="Arial"/>
        </w:rPr>
        <w:t>94</w:t>
      </w:r>
      <w:r w:rsidRPr="00B6647E">
        <w:rPr>
          <w:rFonts w:ascii="Arial" w:hAnsi="Arial" w:cs="Arial"/>
        </w:rPr>
        <w:t> :</w:t>
      </w:r>
      <w:r w:rsidR="00665722" w:rsidRPr="00B6647E">
        <w:rPr>
          <w:rFonts w:ascii="Arial" w:hAnsi="Arial" w:cs="Arial"/>
        </w:rPr>
        <w:t xml:space="preserve"> Superficie totale cultivée de haricot nain province pendant les trois saisons</w:t>
      </w:r>
    </w:p>
    <w:p w:rsidR="00665722" w:rsidRPr="00B6647E" w:rsidRDefault="008F62A0" w:rsidP="005245E2">
      <w:pPr>
        <w:spacing w:after="120" w:line="240" w:lineRule="auto"/>
        <w:rPr>
          <w:rFonts w:cs="Arial"/>
          <w:szCs w:val="20"/>
        </w:rPr>
      </w:pPr>
      <w:r w:rsidRPr="00B6647E">
        <w:rPr>
          <w:noProof/>
          <w:szCs w:val="20"/>
          <w:lang w:val="fr-FR" w:eastAsia="fr-FR"/>
        </w:rPr>
        <w:drawing>
          <wp:inline distT="0" distB="0" distL="0" distR="0">
            <wp:extent cx="3893731" cy="3569983"/>
            <wp:effectExtent l="19050" t="0" r="0" b="0"/>
            <wp:docPr id="401"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6" cstate="print"/>
                    <a:srcRect/>
                    <a:stretch>
                      <a:fillRect/>
                    </a:stretch>
                  </pic:blipFill>
                  <pic:spPr bwMode="auto">
                    <a:xfrm>
                      <a:off x="0" y="0"/>
                      <a:ext cx="3896989" cy="3572970"/>
                    </a:xfrm>
                    <a:prstGeom prst="rect">
                      <a:avLst/>
                    </a:prstGeom>
                    <a:noFill/>
                    <a:ln w="9525">
                      <a:noFill/>
                      <a:miter lim="800000"/>
                      <a:headEnd/>
                      <a:tailEnd/>
                    </a:ln>
                  </pic:spPr>
                </pic:pic>
              </a:graphicData>
            </a:graphic>
          </wp:inline>
        </w:drawing>
      </w:r>
    </w:p>
    <w:p w:rsidR="005245E2" w:rsidRPr="00B6647E" w:rsidRDefault="00662A5E" w:rsidP="001025E0">
      <w:pPr>
        <w:spacing w:line="240" w:lineRule="auto"/>
        <w:jc w:val="both"/>
        <w:rPr>
          <w:rFonts w:ascii="Arial" w:hAnsi="Arial" w:cs="Arial"/>
          <w:sz w:val="20"/>
          <w:szCs w:val="20"/>
        </w:rPr>
      </w:pPr>
      <w:r w:rsidRPr="00B6647E">
        <w:rPr>
          <w:rFonts w:ascii="Arial" w:hAnsi="Arial" w:cs="Arial"/>
          <w:sz w:val="20"/>
          <w:szCs w:val="20"/>
        </w:rPr>
        <w:t>La superficie du haricot volubile (104.403 ha) représente 30,6% de celle occupée par l’ensemble du haricot (nain et volubile) et 29,5% de la superficie totale des légumineuses de toute la campagne agricole.</w:t>
      </w:r>
    </w:p>
    <w:p w:rsidR="00665722" w:rsidRPr="00B6647E" w:rsidRDefault="00662A5E" w:rsidP="001025E0">
      <w:pPr>
        <w:spacing w:line="240" w:lineRule="auto"/>
        <w:jc w:val="both"/>
        <w:rPr>
          <w:rFonts w:ascii="Arial" w:hAnsi="Arial" w:cs="Arial"/>
          <w:sz w:val="20"/>
          <w:szCs w:val="20"/>
        </w:rPr>
      </w:pPr>
      <w:r w:rsidRPr="00B6647E">
        <w:rPr>
          <w:rFonts w:ascii="Arial" w:hAnsi="Arial" w:cs="Arial"/>
          <w:sz w:val="20"/>
          <w:szCs w:val="20"/>
        </w:rPr>
        <w:t xml:space="preserve">Les provinces </w:t>
      </w:r>
      <w:r w:rsidR="00C66340" w:rsidRPr="00B6647E">
        <w:rPr>
          <w:rFonts w:ascii="Arial" w:hAnsi="Arial" w:cs="Arial"/>
          <w:sz w:val="20"/>
          <w:szCs w:val="20"/>
        </w:rPr>
        <w:t>ayant cultivé plus de 10.000 ha de haricot volubile sont : Gitega (14.115 ha), Bururi (12.829 ha), Karuzi (11.081 ha) et Muramvya (10.560 ha). Elles cumulent 46,5% de la superficie totale de haricot volubile.</w:t>
      </w:r>
    </w:p>
    <w:p w:rsidR="00665722" w:rsidRPr="00B6647E" w:rsidRDefault="00665722" w:rsidP="005245E2">
      <w:pPr>
        <w:pStyle w:val="Lgende"/>
        <w:keepNext/>
        <w:spacing w:after="120"/>
        <w:jc w:val="both"/>
        <w:rPr>
          <w:rFonts w:ascii="Arial" w:hAnsi="Arial" w:cs="Arial"/>
        </w:rPr>
      </w:pPr>
      <w:r w:rsidRPr="00B6647E">
        <w:rPr>
          <w:rFonts w:ascii="Arial" w:hAnsi="Arial" w:cs="Arial"/>
        </w:rPr>
        <w:lastRenderedPageBreak/>
        <w:t xml:space="preserve">Tableau </w:t>
      </w:r>
      <w:r w:rsidR="00E1150A">
        <w:rPr>
          <w:rFonts w:ascii="Arial" w:hAnsi="Arial" w:cs="Arial"/>
        </w:rPr>
        <w:t>95</w:t>
      </w:r>
      <w:r w:rsidR="00367774" w:rsidRPr="00B6647E">
        <w:rPr>
          <w:rFonts w:ascii="Arial" w:hAnsi="Arial" w:cs="Arial"/>
        </w:rPr>
        <w:t> :</w:t>
      </w:r>
      <w:r w:rsidRPr="00B6647E">
        <w:rPr>
          <w:rFonts w:ascii="Arial" w:hAnsi="Arial" w:cs="Arial"/>
        </w:rPr>
        <w:t xml:space="preserve"> Superficie totale cultivée de haricot volubile par province </w:t>
      </w:r>
      <w:r w:rsidR="005245E2" w:rsidRPr="00B6647E">
        <w:rPr>
          <w:rFonts w:ascii="Arial" w:hAnsi="Arial" w:cs="Arial"/>
        </w:rPr>
        <w:t>et pa</w:t>
      </w:r>
      <w:r w:rsidR="000A1B53">
        <w:rPr>
          <w:rFonts w:ascii="Arial" w:hAnsi="Arial" w:cs="Arial"/>
        </w:rPr>
        <w:t>r saison</w:t>
      </w:r>
    </w:p>
    <w:p w:rsidR="00665722" w:rsidRPr="00B6647E" w:rsidRDefault="008F62A0" w:rsidP="005245E2">
      <w:pPr>
        <w:keepNext/>
        <w:spacing w:after="120" w:line="240" w:lineRule="auto"/>
        <w:rPr>
          <w:rFonts w:cs="Arial"/>
          <w:szCs w:val="20"/>
        </w:rPr>
      </w:pPr>
      <w:r w:rsidRPr="00B6647E">
        <w:rPr>
          <w:noProof/>
          <w:szCs w:val="20"/>
          <w:lang w:val="fr-FR" w:eastAsia="fr-FR"/>
        </w:rPr>
        <w:drawing>
          <wp:inline distT="0" distB="0" distL="0" distR="0">
            <wp:extent cx="3893731" cy="3552483"/>
            <wp:effectExtent l="19050" t="0" r="0" b="0"/>
            <wp:docPr id="402"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7" cstate="print"/>
                    <a:srcRect/>
                    <a:stretch>
                      <a:fillRect/>
                    </a:stretch>
                  </pic:blipFill>
                  <pic:spPr bwMode="auto">
                    <a:xfrm>
                      <a:off x="0" y="0"/>
                      <a:ext cx="3893731" cy="3552483"/>
                    </a:xfrm>
                    <a:prstGeom prst="rect">
                      <a:avLst/>
                    </a:prstGeom>
                    <a:noFill/>
                    <a:ln w="9525">
                      <a:noFill/>
                      <a:miter lim="800000"/>
                      <a:headEnd/>
                      <a:tailEnd/>
                    </a:ln>
                  </pic:spPr>
                </pic:pic>
              </a:graphicData>
            </a:graphic>
          </wp:inline>
        </w:drawing>
      </w:r>
    </w:p>
    <w:p w:rsidR="00C66340" w:rsidRPr="00B6647E" w:rsidRDefault="004D6C0B" w:rsidP="001025E0">
      <w:pPr>
        <w:spacing w:line="240" w:lineRule="auto"/>
        <w:jc w:val="both"/>
        <w:rPr>
          <w:rFonts w:ascii="Arial" w:hAnsi="Arial" w:cs="Arial"/>
          <w:sz w:val="20"/>
          <w:szCs w:val="20"/>
        </w:rPr>
      </w:pPr>
      <w:r w:rsidRPr="00B6647E">
        <w:rPr>
          <w:rFonts w:ascii="Arial" w:hAnsi="Arial" w:cs="Arial"/>
          <w:sz w:val="20"/>
          <w:szCs w:val="20"/>
        </w:rPr>
        <w:t>La sup</w:t>
      </w:r>
      <w:r w:rsidR="000A1B53">
        <w:rPr>
          <w:rFonts w:ascii="Arial" w:hAnsi="Arial" w:cs="Arial"/>
          <w:sz w:val="20"/>
          <w:szCs w:val="20"/>
        </w:rPr>
        <w:t xml:space="preserve">erficie de niébé (2.211 ha) </w:t>
      </w:r>
      <w:r w:rsidR="00752523" w:rsidRPr="00B6647E">
        <w:rPr>
          <w:rFonts w:ascii="Arial" w:hAnsi="Arial" w:cs="Arial"/>
          <w:sz w:val="20"/>
          <w:szCs w:val="20"/>
        </w:rPr>
        <w:t xml:space="preserve">ne </w:t>
      </w:r>
      <w:r w:rsidRPr="00B6647E">
        <w:rPr>
          <w:rFonts w:ascii="Arial" w:hAnsi="Arial" w:cs="Arial"/>
          <w:sz w:val="20"/>
          <w:szCs w:val="20"/>
        </w:rPr>
        <w:t xml:space="preserve">représente </w:t>
      </w:r>
      <w:r w:rsidR="000A1B53">
        <w:rPr>
          <w:rFonts w:ascii="Arial" w:hAnsi="Arial" w:cs="Arial"/>
          <w:sz w:val="20"/>
          <w:szCs w:val="20"/>
        </w:rPr>
        <w:t xml:space="preserve">que </w:t>
      </w:r>
      <w:r w:rsidR="00752523" w:rsidRPr="00B6647E">
        <w:rPr>
          <w:rFonts w:ascii="Arial" w:hAnsi="Arial" w:cs="Arial"/>
          <w:sz w:val="20"/>
          <w:szCs w:val="20"/>
        </w:rPr>
        <w:t>6</w:t>
      </w:r>
      <w:r w:rsidR="000A1B53">
        <w:rPr>
          <w:rFonts w:ascii="Arial" w:hAnsi="Arial" w:cs="Arial"/>
          <w:sz w:val="20"/>
          <w:szCs w:val="20"/>
        </w:rPr>
        <w:t>,2</w:t>
      </w:r>
      <w:r w:rsidRPr="00B6647E">
        <w:rPr>
          <w:rFonts w:ascii="Arial" w:hAnsi="Arial" w:cs="Arial"/>
          <w:sz w:val="20"/>
          <w:szCs w:val="20"/>
        </w:rPr>
        <w:t>% de la superfic</w:t>
      </w:r>
      <w:r w:rsidR="00752523" w:rsidRPr="00B6647E">
        <w:rPr>
          <w:rFonts w:ascii="Arial" w:hAnsi="Arial" w:cs="Arial"/>
          <w:sz w:val="20"/>
          <w:szCs w:val="20"/>
        </w:rPr>
        <w:t>i</w:t>
      </w:r>
      <w:r w:rsidRPr="00B6647E">
        <w:rPr>
          <w:rFonts w:ascii="Arial" w:hAnsi="Arial" w:cs="Arial"/>
          <w:sz w:val="20"/>
          <w:szCs w:val="20"/>
        </w:rPr>
        <w:t>e totale de légumineuses</w:t>
      </w:r>
      <w:r w:rsidR="00752523" w:rsidRPr="00B6647E">
        <w:rPr>
          <w:rFonts w:ascii="Arial" w:hAnsi="Arial" w:cs="Arial"/>
          <w:sz w:val="20"/>
          <w:szCs w:val="20"/>
        </w:rPr>
        <w:t xml:space="preserve">. Il ya six provinces qui ont cultivé plus 10.000 ha </w:t>
      </w:r>
      <w:r w:rsidRPr="00B6647E">
        <w:rPr>
          <w:rFonts w:ascii="Arial" w:hAnsi="Arial" w:cs="Arial"/>
          <w:sz w:val="20"/>
          <w:szCs w:val="20"/>
        </w:rPr>
        <w:t>a</w:t>
      </w:r>
      <w:r w:rsidR="00752523" w:rsidRPr="00B6647E">
        <w:rPr>
          <w:rFonts w:ascii="Arial" w:hAnsi="Arial" w:cs="Arial"/>
          <w:sz w:val="20"/>
          <w:szCs w:val="20"/>
        </w:rPr>
        <w:t xml:space="preserve"> de niébé : </w:t>
      </w:r>
      <w:r w:rsidRPr="00B6647E">
        <w:rPr>
          <w:rFonts w:ascii="Arial" w:hAnsi="Arial" w:cs="Arial"/>
          <w:sz w:val="20"/>
          <w:szCs w:val="20"/>
        </w:rPr>
        <w:t xml:space="preserve">Gitega (574 ha), Mwaro (414 ha), Bubanza (398 ha), </w:t>
      </w:r>
      <w:r w:rsidR="00752523" w:rsidRPr="00B6647E">
        <w:rPr>
          <w:rFonts w:ascii="Arial" w:hAnsi="Arial" w:cs="Arial"/>
          <w:sz w:val="20"/>
          <w:szCs w:val="20"/>
        </w:rPr>
        <w:t>Ruyigi (220 ha), C</w:t>
      </w:r>
      <w:r w:rsidRPr="00B6647E">
        <w:rPr>
          <w:rFonts w:ascii="Arial" w:hAnsi="Arial" w:cs="Arial"/>
          <w:sz w:val="20"/>
          <w:szCs w:val="20"/>
        </w:rPr>
        <w:t>ankuzo (173 ha) et Muramvya (105 ha)</w:t>
      </w:r>
      <w:r w:rsidR="00752523" w:rsidRPr="00B6647E">
        <w:rPr>
          <w:rFonts w:ascii="Arial" w:hAnsi="Arial" w:cs="Arial"/>
          <w:sz w:val="20"/>
          <w:szCs w:val="20"/>
        </w:rPr>
        <w:t>. Elles</w:t>
      </w:r>
      <w:r w:rsidRPr="00B6647E">
        <w:rPr>
          <w:rFonts w:ascii="Arial" w:hAnsi="Arial" w:cs="Arial"/>
          <w:sz w:val="20"/>
          <w:szCs w:val="20"/>
        </w:rPr>
        <w:t xml:space="preserve"> cumulent </w:t>
      </w:r>
      <w:r w:rsidR="00752523" w:rsidRPr="00B6647E">
        <w:rPr>
          <w:rFonts w:ascii="Arial" w:hAnsi="Arial" w:cs="Arial"/>
          <w:sz w:val="20"/>
          <w:szCs w:val="20"/>
        </w:rPr>
        <w:t>85,2</w:t>
      </w:r>
      <w:r w:rsidRPr="00B6647E">
        <w:rPr>
          <w:rFonts w:ascii="Arial" w:hAnsi="Arial" w:cs="Arial"/>
          <w:sz w:val="20"/>
          <w:szCs w:val="20"/>
        </w:rPr>
        <w:t>% de la superficie totale de niébé.</w:t>
      </w:r>
    </w:p>
    <w:p w:rsidR="00665722" w:rsidRPr="00B6647E" w:rsidRDefault="00665722" w:rsidP="001025E0">
      <w:pPr>
        <w:pStyle w:val="Lgende"/>
        <w:keepNext/>
        <w:jc w:val="both"/>
        <w:rPr>
          <w:rFonts w:ascii="Arial" w:hAnsi="Arial" w:cs="Arial"/>
        </w:rPr>
      </w:pPr>
      <w:r w:rsidRPr="00B6647E">
        <w:rPr>
          <w:rFonts w:ascii="Arial" w:hAnsi="Arial" w:cs="Arial"/>
        </w:rPr>
        <w:t xml:space="preserve">Tableau </w:t>
      </w:r>
      <w:r w:rsidR="00E1150A">
        <w:rPr>
          <w:rFonts w:ascii="Arial" w:hAnsi="Arial" w:cs="Arial"/>
        </w:rPr>
        <w:t>96</w:t>
      </w:r>
      <w:r w:rsidR="00367774" w:rsidRPr="00B6647E">
        <w:rPr>
          <w:rFonts w:ascii="Arial" w:hAnsi="Arial" w:cs="Arial"/>
        </w:rPr>
        <w:t> :</w:t>
      </w:r>
      <w:r w:rsidRPr="00B6647E">
        <w:rPr>
          <w:rFonts w:ascii="Arial" w:hAnsi="Arial" w:cs="Arial"/>
        </w:rPr>
        <w:t xml:space="preserve"> Superficie totale cultivée de niébé par province pendant les trois saisons</w:t>
      </w:r>
    </w:p>
    <w:p w:rsidR="00665722" w:rsidRPr="00B6647E" w:rsidRDefault="008F62A0" w:rsidP="001025E0">
      <w:pPr>
        <w:spacing w:line="240" w:lineRule="auto"/>
        <w:rPr>
          <w:rFonts w:cs="Arial"/>
          <w:szCs w:val="20"/>
        </w:rPr>
      </w:pPr>
      <w:r w:rsidRPr="00B6647E">
        <w:rPr>
          <w:noProof/>
          <w:szCs w:val="20"/>
          <w:lang w:val="fr-FR" w:eastAsia="fr-FR"/>
        </w:rPr>
        <w:drawing>
          <wp:inline distT="0" distB="0" distL="0" distR="0">
            <wp:extent cx="4238625" cy="3867150"/>
            <wp:effectExtent l="19050" t="0" r="9525" b="0"/>
            <wp:docPr id="403"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8" cstate="print"/>
                    <a:srcRect/>
                    <a:stretch>
                      <a:fillRect/>
                    </a:stretch>
                  </pic:blipFill>
                  <pic:spPr bwMode="auto">
                    <a:xfrm>
                      <a:off x="0" y="0"/>
                      <a:ext cx="4238625" cy="3867150"/>
                    </a:xfrm>
                    <a:prstGeom prst="rect">
                      <a:avLst/>
                    </a:prstGeom>
                    <a:noFill/>
                    <a:ln w="9525">
                      <a:noFill/>
                      <a:miter lim="800000"/>
                      <a:headEnd/>
                      <a:tailEnd/>
                    </a:ln>
                  </pic:spPr>
                </pic:pic>
              </a:graphicData>
            </a:graphic>
          </wp:inline>
        </w:drawing>
      </w:r>
    </w:p>
    <w:p w:rsidR="00665722" w:rsidRPr="00B6647E" w:rsidRDefault="00447298" w:rsidP="001025E0">
      <w:pPr>
        <w:spacing w:line="240" w:lineRule="auto"/>
        <w:jc w:val="both"/>
        <w:rPr>
          <w:rFonts w:ascii="Arial" w:hAnsi="Arial" w:cs="Arial"/>
          <w:sz w:val="20"/>
          <w:szCs w:val="20"/>
        </w:rPr>
      </w:pPr>
      <w:r w:rsidRPr="00B6647E">
        <w:rPr>
          <w:rFonts w:ascii="Arial" w:hAnsi="Arial" w:cs="Arial"/>
          <w:sz w:val="20"/>
          <w:szCs w:val="20"/>
        </w:rPr>
        <w:lastRenderedPageBreak/>
        <w:t xml:space="preserve">La superficie du petit pois a été estimée à 5.524 ha (1,6% de la superficie totale des </w:t>
      </w:r>
      <w:r w:rsidR="00694FEF" w:rsidRPr="00B6647E">
        <w:rPr>
          <w:rFonts w:ascii="Arial" w:hAnsi="Arial" w:cs="Arial"/>
          <w:sz w:val="20"/>
          <w:szCs w:val="20"/>
        </w:rPr>
        <w:t>légumineuses</w:t>
      </w:r>
      <w:r w:rsidRPr="00B6647E">
        <w:rPr>
          <w:rFonts w:ascii="Arial" w:hAnsi="Arial" w:cs="Arial"/>
          <w:sz w:val="20"/>
          <w:szCs w:val="20"/>
        </w:rPr>
        <w:t xml:space="preserve">). Elle a été enregistrée principalement dans les provinces </w:t>
      </w:r>
      <w:r w:rsidR="00694FEF" w:rsidRPr="00B6647E">
        <w:rPr>
          <w:rFonts w:ascii="Arial" w:hAnsi="Arial" w:cs="Arial"/>
          <w:sz w:val="20"/>
          <w:szCs w:val="20"/>
        </w:rPr>
        <w:t xml:space="preserve">de </w:t>
      </w:r>
      <w:r w:rsidRPr="00B6647E">
        <w:rPr>
          <w:rFonts w:ascii="Arial" w:hAnsi="Arial" w:cs="Arial"/>
          <w:sz w:val="20"/>
          <w:szCs w:val="20"/>
        </w:rPr>
        <w:t>Kayanza (2.001 ha) et Muramvya (1.056 ha). Vienne</w:t>
      </w:r>
      <w:r w:rsidR="00694FEF" w:rsidRPr="00B6647E">
        <w:rPr>
          <w:rFonts w:ascii="Arial" w:hAnsi="Arial" w:cs="Arial"/>
          <w:sz w:val="20"/>
          <w:szCs w:val="20"/>
        </w:rPr>
        <w:t>n</w:t>
      </w:r>
      <w:r w:rsidRPr="00B6647E">
        <w:rPr>
          <w:rFonts w:ascii="Arial" w:hAnsi="Arial" w:cs="Arial"/>
          <w:sz w:val="20"/>
          <w:szCs w:val="20"/>
        </w:rPr>
        <w:t>t ensuite loin derrière les provinces de Muyinga (568 ha), Bujumbura rural (363 ha, Gitega (344 ha)</w:t>
      </w:r>
      <w:r w:rsidR="00694FEF" w:rsidRPr="00B6647E">
        <w:rPr>
          <w:rFonts w:ascii="Arial" w:hAnsi="Arial" w:cs="Arial"/>
          <w:sz w:val="20"/>
          <w:szCs w:val="20"/>
        </w:rPr>
        <w:t>, Bururi (241 ha), Rutana (204 ha).</w:t>
      </w:r>
    </w:p>
    <w:p w:rsidR="00665722" w:rsidRPr="00B6647E" w:rsidRDefault="00665722" w:rsidP="001E4435">
      <w:pPr>
        <w:pStyle w:val="Lgende"/>
        <w:keepNext/>
        <w:spacing w:after="120"/>
        <w:jc w:val="both"/>
        <w:rPr>
          <w:rFonts w:ascii="Arial" w:hAnsi="Arial" w:cs="Arial"/>
        </w:rPr>
      </w:pPr>
      <w:r w:rsidRPr="00B6647E">
        <w:rPr>
          <w:rFonts w:ascii="Arial" w:hAnsi="Arial" w:cs="Arial"/>
        </w:rPr>
        <w:t xml:space="preserve">Tableau </w:t>
      </w:r>
      <w:r w:rsidR="00E1150A">
        <w:rPr>
          <w:rFonts w:ascii="Arial" w:hAnsi="Arial" w:cs="Arial"/>
        </w:rPr>
        <w:t>97</w:t>
      </w:r>
      <w:r w:rsidR="00367774" w:rsidRPr="00B6647E">
        <w:rPr>
          <w:rFonts w:ascii="Arial" w:hAnsi="Arial" w:cs="Arial"/>
        </w:rPr>
        <w:t> :</w:t>
      </w:r>
      <w:r w:rsidRPr="00B6647E">
        <w:rPr>
          <w:rFonts w:ascii="Arial" w:hAnsi="Arial" w:cs="Arial"/>
        </w:rPr>
        <w:t xml:space="preserve"> Superficie totale cultivée de petit pois par province pendant les trois saisons</w:t>
      </w:r>
    </w:p>
    <w:p w:rsidR="00665722" w:rsidRPr="00B6647E" w:rsidRDefault="008F62A0" w:rsidP="001E4435">
      <w:pPr>
        <w:spacing w:after="120" w:line="240" w:lineRule="auto"/>
        <w:rPr>
          <w:rFonts w:cs="Arial"/>
          <w:szCs w:val="20"/>
        </w:rPr>
      </w:pPr>
      <w:r w:rsidRPr="00B6647E">
        <w:rPr>
          <w:noProof/>
          <w:szCs w:val="20"/>
          <w:lang w:val="fr-FR" w:eastAsia="fr-FR"/>
        </w:rPr>
        <w:drawing>
          <wp:inline distT="0" distB="0" distL="0" distR="0">
            <wp:extent cx="4238625" cy="3667125"/>
            <wp:effectExtent l="19050" t="0" r="9525" b="0"/>
            <wp:docPr id="404"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9" cstate="print"/>
                    <a:srcRect/>
                    <a:stretch>
                      <a:fillRect/>
                    </a:stretch>
                  </pic:blipFill>
                  <pic:spPr bwMode="auto">
                    <a:xfrm>
                      <a:off x="0" y="0"/>
                      <a:ext cx="4238625" cy="3667125"/>
                    </a:xfrm>
                    <a:prstGeom prst="rect">
                      <a:avLst/>
                    </a:prstGeom>
                    <a:noFill/>
                    <a:ln w="9525">
                      <a:noFill/>
                      <a:miter lim="800000"/>
                      <a:headEnd/>
                      <a:tailEnd/>
                    </a:ln>
                  </pic:spPr>
                </pic:pic>
              </a:graphicData>
            </a:graphic>
          </wp:inline>
        </w:drawing>
      </w:r>
    </w:p>
    <w:p w:rsidR="00665722" w:rsidRPr="00B6647E" w:rsidRDefault="00367774" w:rsidP="001E4435">
      <w:pPr>
        <w:pStyle w:val="Lgende"/>
        <w:keepNext/>
        <w:spacing w:after="120"/>
        <w:jc w:val="both"/>
        <w:rPr>
          <w:rFonts w:ascii="Arial" w:hAnsi="Arial" w:cs="Arial"/>
        </w:rPr>
      </w:pPr>
      <w:r w:rsidRPr="00B6647E">
        <w:rPr>
          <w:rFonts w:ascii="Arial" w:hAnsi="Arial" w:cs="Arial"/>
        </w:rPr>
        <w:t xml:space="preserve">Tableau </w:t>
      </w:r>
      <w:r w:rsidR="00E1150A">
        <w:rPr>
          <w:rFonts w:ascii="Arial" w:hAnsi="Arial" w:cs="Arial"/>
        </w:rPr>
        <w:t>98</w:t>
      </w:r>
      <w:r w:rsidRPr="00B6647E">
        <w:rPr>
          <w:rFonts w:ascii="Arial" w:hAnsi="Arial" w:cs="Arial"/>
        </w:rPr>
        <w:t> :</w:t>
      </w:r>
      <w:r w:rsidR="00665722" w:rsidRPr="00B6647E">
        <w:rPr>
          <w:rFonts w:ascii="Arial" w:hAnsi="Arial" w:cs="Arial"/>
        </w:rPr>
        <w:t xml:space="preserve"> Superficie totale cultivée de pois cajan par province pendant les trois saisons</w:t>
      </w:r>
    </w:p>
    <w:p w:rsidR="00665722" w:rsidRPr="00B6647E" w:rsidRDefault="008F62A0" w:rsidP="001E4435">
      <w:pPr>
        <w:spacing w:after="120" w:line="240" w:lineRule="auto"/>
        <w:rPr>
          <w:rFonts w:cs="Arial"/>
          <w:szCs w:val="20"/>
        </w:rPr>
      </w:pPr>
      <w:r w:rsidRPr="00B6647E">
        <w:rPr>
          <w:noProof/>
          <w:szCs w:val="20"/>
          <w:lang w:val="fr-FR" w:eastAsia="fr-FR"/>
        </w:rPr>
        <w:drawing>
          <wp:inline distT="0" distB="0" distL="0" distR="0">
            <wp:extent cx="4238625" cy="3867150"/>
            <wp:effectExtent l="19050" t="0" r="9525" b="0"/>
            <wp:docPr id="405"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0" cstate="print"/>
                    <a:srcRect/>
                    <a:stretch>
                      <a:fillRect/>
                    </a:stretch>
                  </pic:blipFill>
                  <pic:spPr bwMode="auto">
                    <a:xfrm>
                      <a:off x="0" y="0"/>
                      <a:ext cx="4238625" cy="3867150"/>
                    </a:xfrm>
                    <a:prstGeom prst="rect">
                      <a:avLst/>
                    </a:prstGeom>
                    <a:noFill/>
                    <a:ln w="9525">
                      <a:noFill/>
                      <a:miter lim="800000"/>
                      <a:headEnd/>
                      <a:tailEnd/>
                    </a:ln>
                  </pic:spPr>
                </pic:pic>
              </a:graphicData>
            </a:graphic>
          </wp:inline>
        </w:drawing>
      </w:r>
    </w:p>
    <w:p w:rsidR="00893AC8" w:rsidRPr="00B6647E" w:rsidRDefault="00893AC8" w:rsidP="00893AC8">
      <w:pPr>
        <w:spacing w:after="120" w:line="240" w:lineRule="auto"/>
        <w:jc w:val="both"/>
        <w:rPr>
          <w:rFonts w:ascii="Arial" w:hAnsi="Arial" w:cs="Arial"/>
          <w:sz w:val="20"/>
          <w:szCs w:val="20"/>
        </w:rPr>
      </w:pPr>
      <w:r w:rsidRPr="00B6647E">
        <w:rPr>
          <w:rFonts w:ascii="Arial" w:hAnsi="Arial" w:cs="Arial"/>
          <w:sz w:val="20"/>
          <w:szCs w:val="20"/>
        </w:rPr>
        <w:lastRenderedPageBreak/>
        <w:t>La superficie du pois cajan a été estimée à 5.323 ha (1,5% de la superficie totale des légumineuses). Elle a été cultivée pour l’essentiel dans les provinces de Ruyigi (2.124 ha), Mwaro (880 ha), Gitega (811 ha), Rutana (527 ha), Karuzi, Cankuzo (278 ha), Bubanza (156 ha).</w:t>
      </w:r>
    </w:p>
    <w:p w:rsidR="00116274" w:rsidRPr="00B6647E" w:rsidRDefault="00116274" w:rsidP="001025E0">
      <w:pPr>
        <w:pStyle w:val="Paragraphedeliste"/>
        <w:spacing w:after="0" w:line="240" w:lineRule="auto"/>
        <w:ind w:left="0"/>
        <w:jc w:val="both"/>
        <w:rPr>
          <w:rFonts w:ascii="Arial" w:hAnsi="Arial" w:cs="Arial"/>
          <w:b/>
          <w:sz w:val="20"/>
          <w:szCs w:val="20"/>
        </w:rPr>
      </w:pPr>
      <w:r w:rsidRPr="00B6647E">
        <w:rPr>
          <w:rFonts w:ascii="Arial" w:hAnsi="Arial" w:cs="Arial"/>
          <w:b/>
          <w:sz w:val="20"/>
          <w:szCs w:val="20"/>
        </w:rPr>
        <w:t xml:space="preserve">Carte </w:t>
      </w:r>
      <w:r w:rsidR="00613D0F" w:rsidRPr="00B6647E">
        <w:rPr>
          <w:rFonts w:ascii="Arial" w:hAnsi="Arial" w:cs="Arial"/>
          <w:b/>
          <w:sz w:val="20"/>
          <w:szCs w:val="20"/>
        </w:rPr>
        <w:t>09</w:t>
      </w:r>
      <w:r w:rsidRPr="00B6647E">
        <w:rPr>
          <w:rFonts w:ascii="Arial" w:hAnsi="Arial" w:cs="Arial"/>
          <w:b/>
          <w:sz w:val="20"/>
          <w:szCs w:val="20"/>
        </w:rPr>
        <w:t> : Superficie (en ha) des légumineuses (en pure et principale) cultivée pendant la campagne agricole 2011-12 par province</w:t>
      </w:r>
    </w:p>
    <w:p w:rsidR="00665722" w:rsidRPr="00B6647E" w:rsidRDefault="00665722" w:rsidP="001025E0">
      <w:pPr>
        <w:spacing w:line="240" w:lineRule="auto"/>
        <w:rPr>
          <w:rFonts w:cs="Arial"/>
          <w:szCs w:val="20"/>
        </w:rPr>
      </w:pPr>
    </w:p>
    <w:p w:rsidR="00116274" w:rsidRPr="00B6647E" w:rsidRDefault="000F786D">
      <w:pPr>
        <w:rPr>
          <w:rFonts w:cs="Arial"/>
          <w:szCs w:val="20"/>
        </w:rPr>
      </w:pPr>
      <w:r w:rsidRPr="00B6647E">
        <w:rPr>
          <w:rFonts w:cs="Arial"/>
          <w:noProof/>
          <w:szCs w:val="20"/>
          <w:lang w:val="fr-FR" w:eastAsia="fr-FR"/>
        </w:rPr>
        <w:drawing>
          <wp:inline distT="0" distB="0" distL="0" distR="0">
            <wp:extent cx="5735370" cy="4051005"/>
            <wp:effectExtent l="19050" t="0" r="0" b="0"/>
            <wp:docPr id="20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1" cstate="print"/>
                    <a:srcRect l="5318" t="5399" r="5274" b="5399"/>
                    <a:stretch>
                      <a:fillRect/>
                    </a:stretch>
                  </pic:blipFill>
                  <pic:spPr bwMode="auto">
                    <a:xfrm>
                      <a:off x="0" y="0"/>
                      <a:ext cx="5742398" cy="4055969"/>
                    </a:xfrm>
                    <a:prstGeom prst="rect">
                      <a:avLst/>
                    </a:prstGeom>
                    <a:noFill/>
                    <a:ln w="9525">
                      <a:noFill/>
                      <a:miter lim="800000"/>
                      <a:headEnd/>
                      <a:tailEnd/>
                    </a:ln>
                  </pic:spPr>
                </pic:pic>
              </a:graphicData>
            </a:graphic>
          </wp:inline>
        </w:drawing>
      </w:r>
    </w:p>
    <w:p w:rsidR="00EC0C77" w:rsidRPr="00B6647E" w:rsidRDefault="00EC0C77">
      <w:pPr>
        <w:rPr>
          <w:rFonts w:ascii="Arial" w:eastAsia="Times New Roman" w:hAnsi="Arial" w:cs="Arial"/>
          <w:bCs/>
          <w:sz w:val="20"/>
          <w:szCs w:val="20"/>
          <w:lang w:val="fr-FR" w:eastAsia="fr-FR"/>
        </w:rPr>
      </w:pPr>
    </w:p>
    <w:p w:rsidR="000552AE" w:rsidRPr="00B6647E" w:rsidRDefault="000552AE" w:rsidP="00FD5448">
      <w:pPr>
        <w:pStyle w:val="Titre3"/>
        <w:keepNext w:val="0"/>
        <w:numPr>
          <w:ilvl w:val="2"/>
          <w:numId w:val="1"/>
        </w:numPr>
        <w:spacing w:before="200" w:after="120"/>
        <w:ind w:left="0" w:firstLine="0"/>
        <w:rPr>
          <w:rFonts w:cs="Arial"/>
          <w:szCs w:val="20"/>
        </w:rPr>
      </w:pPr>
      <w:bookmarkStart w:id="234" w:name="_Toc354313881"/>
      <w:r w:rsidRPr="00B6647E">
        <w:rPr>
          <w:rFonts w:cs="Arial"/>
          <w:szCs w:val="20"/>
        </w:rPr>
        <w:t>Rendements</w:t>
      </w:r>
      <w:bookmarkEnd w:id="234"/>
    </w:p>
    <w:p w:rsidR="00AC7C2C" w:rsidRPr="00B6647E" w:rsidRDefault="00FD5448" w:rsidP="00FD5448">
      <w:pPr>
        <w:pStyle w:val="Paragraphedeliste"/>
        <w:spacing w:before="200" w:after="120" w:line="240" w:lineRule="auto"/>
        <w:ind w:left="0"/>
        <w:contextualSpacing w:val="0"/>
        <w:rPr>
          <w:rFonts w:ascii="Arial" w:hAnsi="Arial" w:cs="Arial"/>
          <w:b/>
          <w:sz w:val="20"/>
          <w:szCs w:val="20"/>
        </w:rPr>
      </w:pPr>
      <w:r w:rsidRPr="00B6647E">
        <w:rPr>
          <w:rFonts w:ascii="Arial" w:hAnsi="Arial" w:cs="Arial"/>
          <w:b/>
          <w:sz w:val="20"/>
          <w:szCs w:val="20"/>
        </w:rPr>
        <w:t>a</w:t>
      </w:r>
      <w:r w:rsidR="00AC7C2C" w:rsidRPr="00B6647E">
        <w:rPr>
          <w:rFonts w:ascii="Arial" w:hAnsi="Arial" w:cs="Arial"/>
          <w:b/>
          <w:sz w:val="20"/>
          <w:szCs w:val="20"/>
        </w:rPr>
        <w:t>) Rendements d</w:t>
      </w:r>
      <w:r w:rsidR="00176253" w:rsidRPr="00B6647E">
        <w:rPr>
          <w:rFonts w:ascii="Arial" w:hAnsi="Arial" w:cs="Arial"/>
          <w:b/>
          <w:sz w:val="20"/>
          <w:szCs w:val="20"/>
        </w:rPr>
        <w:t>es légumin</w:t>
      </w:r>
      <w:r w:rsidR="00AC7C2C" w:rsidRPr="00B6647E">
        <w:rPr>
          <w:rFonts w:ascii="Arial" w:hAnsi="Arial" w:cs="Arial"/>
          <w:b/>
          <w:sz w:val="20"/>
          <w:szCs w:val="20"/>
        </w:rPr>
        <w:t>e</w:t>
      </w:r>
      <w:r w:rsidR="00176253" w:rsidRPr="00B6647E">
        <w:rPr>
          <w:rFonts w:ascii="Arial" w:hAnsi="Arial" w:cs="Arial"/>
          <w:b/>
          <w:sz w:val="20"/>
          <w:szCs w:val="20"/>
        </w:rPr>
        <w:t>uses</w:t>
      </w:r>
      <w:r w:rsidR="00AC7C2C" w:rsidRPr="00B6647E">
        <w:rPr>
          <w:rFonts w:ascii="Arial" w:hAnsi="Arial" w:cs="Arial"/>
          <w:b/>
          <w:sz w:val="20"/>
          <w:szCs w:val="20"/>
        </w:rPr>
        <w:t xml:space="preserve"> en cultures pures dans les régions naturelles</w:t>
      </w:r>
    </w:p>
    <w:p w:rsidR="00AC7C2C" w:rsidRPr="00B6647E" w:rsidRDefault="00AC7C2C" w:rsidP="00AC7C2C">
      <w:pPr>
        <w:pStyle w:val="Paragraphedeliste"/>
        <w:spacing w:after="0" w:line="240" w:lineRule="auto"/>
        <w:ind w:left="0"/>
        <w:rPr>
          <w:rFonts w:ascii="Arial" w:hAnsi="Arial" w:cs="Arial"/>
          <w:sz w:val="20"/>
          <w:szCs w:val="20"/>
        </w:rPr>
      </w:pPr>
    </w:p>
    <w:p w:rsidR="003C756C" w:rsidRPr="00B6647E" w:rsidRDefault="00176253" w:rsidP="005305D1">
      <w:pPr>
        <w:pStyle w:val="Paragraphedeliste"/>
        <w:spacing w:after="0" w:line="240" w:lineRule="auto"/>
        <w:ind w:left="0"/>
        <w:jc w:val="both"/>
        <w:rPr>
          <w:rFonts w:ascii="Arial" w:hAnsi="Arial" w:cs="Arial"/>
          <w:sz w:val="20"/>
          <w:szCs w:val="20"/>
        </w:rPr>
      </w:pPr>
      <w:r w:rsidRPr="00B6647E">
        <w:rPr>
          <w:rFonts w:ascii="Arial" w:hAnsi="Arial" w:cs="Arial"/>
          <w:sz w:val="20"/>
          <w:szCs w:val="20"/>
        </w:rPr>
        <w:t>Les moyennes nationales des rendements du haricot en culture pure ont été estimées à 679 kg/ha en saison A, 685 kg/ha pendant la saison B et 728 kg/ha au cours de la saison C.</w:t>
      </w:r>
    </w:p>
    <w:p w:rsidR="003C756C" w:rsidRPr="00B6647E" w:rsidRDefault="003C756C" w:rsidP="005305D1">
      <w:pPr>
        <w:pStyle w:val="Paragraphedeliste"/>
        <w:spacing w:after="0" w:line="240" w:lineRule="auto"/>
        <w:ind w:left="0"/>
        <w:jc w:val="both"/>
        <w:rPr>
          <w:rFonts w:ascii="Arial" w:hAnsi="Arial" w:cs="Arial"/>
          <w:sz w:val="20"/>
          <w:szCs w:val="20"/>
        </w:rPr>
      </w:pPr>
    </w:p>
    <w:p w:rsidR="00176253" w:rsidRPr="00B6647E" w:rsidRDefault="00176253" w:rsidP="005305D1">
      <w:pPr>
        <w:pStyle w:val="Paragraphedeliste"/>
        <w:spacing w:after="0" w:line="240" w:lineRule="auto"/>
        <w:ind w:left="0"/>
        <w:jc w:val="both"/>
        <w:rPr>
          <w:rFonts w:ascii="Arial" w:hAnsi="Arial" w:cs="Arial"/>
          <w:sz w:val="20"/>
          <w:szCs w:val="20"/>
        </w:rPr>
      </w:pPr>
      <w:r w:rsidRPr="00B6647E">
        <w:rPr>
          <w:rFonts w:ascii="Arial" w:hAnsi="Arial" w:cs="Arial"/>
          <w:sz w:val="20"/>
          <w:szCs w:val="20"/>
        </w:rPr>
        <w:t>Les régions de Buragane enregistrent les plus grands rendements au cours des trois saisons (800 kg/ha pendant la saison A, 738 kg/ha au cours de la saison B et 794 kg/ha en saison C o</w:t>
      </w:r>
      <w:r w:rsidR="00913744" w:rsidRPr="00B6647E">
        <w:rPr>
          <w:rFonts w:ascii="Arial" w:hAnsi="Arial" w:cs="Arial"/>
          <w:sz w:val="20"/>
          <w:szCs w:val="20"/>
        </w:rPr>
        <w:t>ù Imbo a un rendement de 800 kg/</w:t>
      </w:r>
      <w:r w:rsidRPr="00B6647E">
        <w:rPr>
          <w:rFonts w:ascii="Arial" w:hAnsi="Arial" w:cs="Arial"/>
          <w:sz w:val="20"/>
          <w:szCs w:val="20"/>
        </w:rPr>
        <w:t>ha)</w:t>
      </w:r>
      <w:r w:rsidR="000A1B53">
        <w:rPr>
          <w:rFonts w:ascii="Arial" w:hAnsi="Arial" w:cs="Arial"/>
          <w:sz w:val="20"/>
          <w:szCs w:val="20"/>
        </w:rPr>
        <w:t>.</w:t>
      </w:r>
      <w:r w:rsidR="005305D1" w:rsidRPr="00B6647E">
        <w:rPr>
          <w:rFonts w:ascii="Arial" w:hAnsi="Arial" w:cs="Arial"/>
          <w:sz w:val="20"/>
          <w:szCs w:val="20"/>
        </w:rPr>
        <w:t xml:space="preserve"> Les plus petits rendement</w:t>
      </w:r>
      <w:r w:rsidR="000A1B53">
        <w:rPr>
          <w:rFonts w:ascii="Arial" w:hAnsi="Arial" w:cs="Arial"/>
          <w:sz w:val="20"/>
          <w:szCs w:val="20"/>
        </w:rPr>
        <w:t>s</w:t>
      </w:r>
      <w:r w:rsidR="005305D1" w:rsidRPr="00B6647E">
        <w:rPr>
          <w:rFonts w:ascii="Arial" w:hAnsi="Arial" w:cs="Arial"/>
          <w:sz w:val="20"/>
          <w:szCs w:val="20"/>
        </w:rPr>
        <w:t xml:space="preserve"> </w:t>
      </w:r>
      <w:r w:rsidR="000A1B53">
        <w:rPr>
          <w:rFonts w:ascii="Arial" w:hAnsi="Arial" w:cs="Arial"/>
          <w:sz w:val="20"/>
          <w:szCs w:val="20"/>
        </w:rPr>
        <w:t>so</w:t>
      </w:r>
      <w:r w:rsidR="005305D1" w:rsidRPr="00B6647E">
        <w:rPr>
          <w:rFonts w:ascii="Arial" w:hAnsi="Arial" w:cs="Arial"/>
          <w:sz w:val="20"/>
          <w:szCs w:val="20"/>
        </w:rPr>
        <w:t>nt estimés dans Imbo (484 kg/ha) pendant la saison A, dans Mumirwa (611 kg/ha) et Bweru (612 kg/ha) au cours de la saison B et en saison C dans la région du Moso (657 kg/ha).</w:t>
      </w:r>
    </w:p>
    <w:p w:rsidR="00176253" w:rsidRPr="00B6647E" w:rsidRDefault="00176253" w:rsidP="00AC7C2C">
      <w:pPr>
        <w:pStyle w:val="Paragraphedeliste"/>
        <w:spacing w:after="0" w:line="240" w:lineRule="auto"/>
        <w:ind w:left="0"/>
        <w:rPr>
          <w:rFonts w:ascii="Arial" w:hAnsi="Arial" w:cs="Arial"/>
          <w:sz w:val="20"/>
          <w:szCs w:val="20"/>
        </w:rPr>
      </w:pPr>
    </w:p>
    <w:p w:rsidR="00223BFA" w:rsidRPr="00B6647E" w:rsidRDefault="00223BFA" w:rsidP="00223BFA">
      <w:pPr>
        <w:pStyle w:val="Lgende"/>
        <w:keepNext/>
        <w:jc w:val="both"/>
        <w:rPr>
          <w:rFonts w:ascii="Arial" w:hAnsi="Arial" w:cs="Arial"/>
        </w:rPr>
      </w:pPr>
      <w:r w:rsidRPr="00B6647E">
        <w:rPr>
          <w:rFonts w:ascii="Arial" w:hAnsi="Arial" w:cs="Arial"/>
        </w:rPr>
        <w:lastRenderedPageBreak/>
        <w:t xml:space="preserve">Tableau </w:t>
      </w:r>
      <w:r w:rsidR="00367774" w:rsidRPr="00B6647E">
        <w:rPr>
          <w:rFonts w:ascii="Arial" w:hAnsi="Arial" w:cs="Arial"/>
        </w:rPr>
        <w:t>9</w:t>
      </w:r>
      <w:r w:rsidR="00E1150A">
        <w:rPr>
          <w:rFonts w:ascii="Arial" w:hAnsi="Arial" w:cs="Arial"/>
        </w:rPr>
        <w:t>9</w:t>
      </w:r>
      <w:r w:rsidR="00367774" w:rsidRPr="00B6647E">
        <w:rPr>
          <w:rFonts w:ascii="Arial" w:hAnsi="Arial" w:cs="Arial"/>
        </w:rPr>
        <w:t> :</w:t>
      </w:r>
      <w:r w:rsidRPr="00B6647E">
        <w:rPr>
          <w:rFonts w:ascii="Arial" w:hAnsi="Arial" w:cs="Arial"/>
        </w:rPr>
        <w:t xml:space="preserve"> Rendement du haricot en culture pure par </w:t>
      </w:r>
      <w:r w:rsidR="003E69E5" w:rsidRPr="00B6647E">
        <w:rPr>
          <w:rFonts w:ascii="Arial" w:hAnsi="Arial" w:cs="Arial"/>
        </w:rPr>
        <w:t>région</w:t>
      </w:r>
      <w:r w:rsidRPr="00B6647E">
        <w:rPr>
          <w:rFonts w:ascii="Arial" w:hAnsi="Arial" w:cs="Arial"/>
        </w:rPr>
        <w:t xml:space="preserve"> pendant les trois saisons</w:t>
      </w:r>
    </w:p>
    <w:p w:rsidR="003E69E5" w:rsidRPr="00B6647E" w:rsidRDefault="00AF0B79" w:rsidP="00C453A1">
      <w:pPr>
        <w:spacing w:line="240" w:lineRule="auto"/>
        <w:rPr>
          <w:lang w:eastAsia="fr-FR"/>
        </w:rPr>
      </w:pPr>
      <w:r w:rsidRPr="00B6647E">
        <w:rPr>
          <w:noProof/>
          <w:lang w:val="fr-FR" w:eastAsia="fr-FR"/>
        </w:rPr>
        <w:drawing>
          <wp:inline distT="0" distB="0" distL="0" distR="0">
            <wp:extent cx="3305175" cy="2914650"/>
            <wp:effectExtent l="19050" t="0" r="9525" b="0"/>
            <wp:docPr id="406"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2" cstate="print"/>
                    <a:srcRect/>
                    <a:stretch>
                      <a:fillRect/>
                    </a:stretch>
                  </pic:blipFill>
                  <pic:spPr bwMode="auto">
                    <a:xfrm>
                      <a:off x="0" y="0"/>
                      <a:ext cx="3305175" cy="2914650"/>
                    </a:xfrm>
                    <a:prstGeom prst="rect">
                      <a:avLst/>
                    </a:prstGeom>
                    <a:noFill/>
                    <a:ln w="9525">
                      <a:noFill/>
                      <a:miter lim="800000"/>
                      <a:headEnd/>
                      <a:tailEnd/>
                    </a:ln>
                  </pic:spPr>
                </pic:pic>
              </a:graphicData>
            </a:graphic>
          </wp:inline>
        </w:drawing>
      </w:r>
    </w:p>
    <w:p w:rsidR="003E69E5" w:rsidRPr="00B6647E" w:rsidRDefault="005305D1" w:rsidP="00C453A1">
      <w:pPr>
        <w:spacing w:line="240" w:lineRule="auto"/>
        <w:jc w:val="both"/>
        <w:rPr>
          <w:rFonts w:ascii="Arial" w:hAnsi="Arial" w:cs="Arial"/>
          <w:sz w:val="20"/>
          <w:szCs w:val="20"/>
          <w:lang w:eastAsia="fr-FR"/>
        </w:rPr>
      </w:pPr>
      <w:r w:rsidRPr="00B6647E">
        <w:rPr>
          <w:rFonts w:ascii="Arial" w:hAnsi="Arial" w:cs="Arial"/>
          <w:sz w:val="20"/>
          <w:szCs w:val="20"/>
          <w:lang w:eastAsia="fr-FR"/>
        </w:rPr>
        <w:t>Les rendements moyens du haricot nain au niveau national ont été estimés à 648 kg/ha en saison A. Ils sont de 651 kg/ha pendant la saison B et de 711 kg/ha au cours de la saison C</w:t>
      </w:r>
      <w:r w:rsidR="000360B9">
        <w:rPr>
          <w:rFonts w:ascii="Arial" w:hAnsi="Arial" w:cs="Arial"/>
          <w:sz w:val="20"/>
          <w:szCs w:val="20"/>
          <w:lang w:eastAsia="fr-FR"/>
        </w:rPr>
        <w:t>,</w:t>
      </w:r>
      <w:r w:rsidR="000123BC" w:rsidRPr="00B6647E">
        <w:rPr>
          <w:rFonts w:ascii="Arial" w:hAnsi="Arial" w:cs="Arial"/>
          <w:sz w:val="20"/>
          <w:szCs w:val="20"/>
          <w:lang w:eastAsia="fr-FR"/>
        </w:rPr>
        <w:t>.qui a enregistré les plus grands rendements dans Imbo (800 kg/ha) et Bututsi</w:t>
      </w:r>
      <w:r w:rsidRPr="00B6647E">
        <w:rPr>
          <w:rFonts w:ascii="Arial" w:hAnsi="Arial" w:cs="Arial"/>
          <w:sz w:val="20"/>
          <w:szCs w:val="20"/>
          <w:lang w:eastAsia="fr-FR"/>
        </w:rPr>
        <w:t xml:space="preserve"> </w:t>
      </w:r>
      <w:r w:rsidR="000123BC" w:rsidRPr="00B6647E">
        <w:rPr>
          <w:rFonts w:ascii="Arial" w:hAnsi="Arial" w:cs="Arial"/>
          <w:sz w:val="20"/>
          <w:szCs w:val="20"/>
          <w:lang w:eastAsia="fr-FR"/>
        </w:rPr>
        <w:t>(790 kg/ha). La région de Bututsi a aussi les rendements les plus élevés du haricot en saison A (800 kg/ha) et pendant la saison B (796 kg/ha).</w:t>
      </w:r>
    </w:p>
    <w:p w:rsidR="00223BFA" w:rsidRPr="00B6647E" w:rsidRDefault="00367774" w:rsidP="00C453A1">
      <w:pPr>
        <w:pStyle w:val="Lgende"/>
        <w:keepNext/>
        <w:jc w:val="both"/>
        <w:rPr>
          <w:rFonts w:ascii="Arial" w:hAnsi="Arial" w:cs="Arial"/>
        </w:rPr>
      </w:pPr>
      <w:r w:rsidRPr="00B6647E">
        <w:rPr>
          <w:rFonts w:ascii="Arial" w:hAnsi="Arial" w:cs="Arial"/>
        </w:rPr>
        <w:t xml:space="preserve">Tableau </w:t>
      </w:r>
      <w:r w:rsidR="00E1150A">
        <w:rPr>
          <w:rFonts w:ascii="Arial" w:hAnsi="Arial" w:cs="Arial"/>
        </w:rPr>
        <w:t>100</w:t>
      </w:r>
      <w:r w:rsidRPr="00B6647E">
        <w:rPr>
          <w:rFonts w:ascii="Arial" w:hAnsi="Arial" w:cs="Arial"/>
        </w:rPr>
        <w:t> :</w:t>
      </w:r>
      <w:r w:rsidR="00223BFA" w:rsidRPr="00B6647E">
        <w:rPr>
          <w:rFonts w:ascii="Arial" w:hAnsi="Arial" w:cs="Arial"/>
        </w:rPr>
        <w:t xml:space="preserve"> Rendement du haricot nain en culture pure par </w:t>
      </w:r>
      <w:r w:rsidR="003E69E5" w:rsidRPr="00B6647E">
        <w:rPr>
          <w:rFonts w:ascii="Arial" w:hAnsi="Arial" w:cs="Arial"/>
        </w:rPr>
        <w:t>région</w:t>
      </w:r>
      <w:r w:rsidR="00223BFA" w:rsidRPr="00B6647E">
        <w:rPr>
          <w:rFonts w:ascii="Arial" w:hAnsi="Arial" w:cs="Arial"/>
        </w:rPr>
        <w:t xml:space="preserve"> pendant les trois saisons</w:t>
      </w:r>
    </w:p>
    <w:p w:rsidR="003E69E5" w:rsidRPr="00B6647E" w:rsidRDefault="00AF0B79" w:rsidP="00C453A1">
      <w:pPr>
        <w:spacing w:line="240" w:lineRule="auto"/>
        <w:rPr>
          <w:lang w:eastAsia="fr-FR"/>
        </w:rPr>
      </w:pPr>
      <w:r w:rsidRPr="00B6647E">
        <w:rPr>
          <w:noProof/>
          <w:lang w:val="fr-FR" w:eastAsia="fr-FR"/>
        </w:rPr>
        <w:drawing>
          <wp:inline distT="0" distB="0" distL="0" distR="0">
            <wp:extent cx="3305175" cy="2914650"/>
            <wp:effectExtent l="19050" t="0" r="9525" b="0"/>
            <wp:docPr id="408"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3" cstate="print"/>
                    <a:srcRect/>
                    <a:stretch>
                      <a:fillRect/>
                    </a:stretch>
                  </pic:blipFill>
                  <pic:spPr bwMode="auto">
                    <a:xfrm>
                      <a:off x="0" y="0"/>
                      <a:ext cx="3305175" cy="2914650"/>
                    </a:xfrm>
                    <a:prstGeom prst="rect">
                      <a:avLst/>
                    </a:prstGeom>
                    <a:noFill/>
                    <a:ln w="9525">
                      <a:noFill/>
                      <a:miter lim="800000"/>
                      <a:headEnd/>
                      <a:tailEnd/>
                    </a:ln>
                  </pic:spPr>
                </pic:pic>
              </a:graphicData>
            </a:graphic>
          </wp:inline>
        </w:drawing>
      </w:r>
    </w:p>
    <w:p w:rsidR="003C756C" w:rsidRPr="00B6647E" w:rsidRDefault="000123BC" w:rsidP="00C453A1">
      <w:pPr>
        <w:spacing w:line="240" w:lineRule="auto"/>
        <w:jc w:val="both"/>
        <w:rPr>
          <w:rFonts w:ascii="Arial" w:hAnsi="Arial" w:cs="Arial"/>
          <w:sz w:val="20"/>
          <w:szCs w:val="20"/>
          <w:lang w:eastAsia="fr-FR"/>
        </w:rPr>
      </w:pPr>
      <w:r w:rsidRPr="00B6647E">
        <w:rPr>
          <w:rFonts w:ascii="Arial" w:hAnsi="Arial" w:cs="Arial"/>
          <w:sz w:val="20"/>
          <w:szCs w:val="20"/>
          <w:lang w:eastAsia="fr-FR"/>
        </w:rPr>
        <w:t xml:space="preserve">Les rendements moyens du haricot volubile estimés au plan national dans les trois saisons (706 kg/ha en saison A, 717 kg/ha pendant la saison B et 788 kg/ha au cours de la saison C) sont relativement plus élevés que ceux du haricot nain. </w:t>
      </w:r>
    </w:p>
    <w:p w:rsidR="003E69E5" w:rsidRPr="00B6647E" w:rsidRDefault="000667EE" w:rsidP="00C453A1">
      <w:pPr>
        <w:spacing w:line="240" w:lineRule="auto"/>
        <w:jc w:val="both"/>
        <w:rPr>
          <w:rFonts w:ascii="Arial" w:hAnsi="Arial" w:cs="Arial"/>
          <w:sz w:val="20"/>
          <w:szCs w:val="20"/>
          <w:lang w:eastAsia="fr-FR"/>
        </w:rPr>
      </w:pPr>
      <w:r w:rsidRPr="00B6647E">
        <w:rPr>
          <w:rFonts w:ascii="Arial" w:hAnsi="Arial" w:cs="Arial"/>
          <w:sz w:val="20"/>
          <w:szCs w:val="20"/>
          <w:lang w:eastAsia="fr-FR"/>
        </w:rPr>
        <w:t xml:space="preserve">La culture pure du haricot volubile pratiquée dans </w:t>
      </w:r>
      <w:r w:rsidR="0061300C" w:rsidRPr="00B6647E">
        <w:rPr>
          <w:rFonts w:ascii="Arial" w:hAnsi="Arial" w:cs="Arial"/>
          <w:sz w:val="20"/>
          <w:szCs w:val="20"/>
          <w:lang w:eastAsia="fr-FR"/>
        </w:rPr>
        <w:t xml:space="preserve">toutes </w:t>
      </w:r>
      <w:r w:rsidRPr="00B6647E">
        <w:rPr>
          <w:rFonts w:ascii="Arial" w:hAnsi="Arial" w:cs="Arial"/>
          <w:sz w:val="20"/>
          <w:szCs w:val="20"/>
          <w:lang w:eastAsia="fr-FR"/>
        </w:rPr>
        <w:t>les régions naturelles au cours des saisons A et B n’</w:t>
      </w:r>
      <w:r w:rsidR="0061300C" w:rsidRPr="00B6647E">
        <w:rPr>
          <w:rFonts w:ascii="Arial" w:hAnsi="Arial" w:cs="Arial"/>
          <w:sz w:val="20"/>
          <w:szCs w:val="20"/>
          <w:lang w:eastAsia="fr-FR"/>
        </w:rPr>
        <w:t xml:space="preserve">a concerné que </w:t>
      </w:r>
      <w:r w:rsidRPr="00B6647E">
        <w:rPr>
          <w:rFonts w:ascii="Arial" w:hAnsi="Arial" w:cs="Arial"/>
          <w:sz w:val="20"/>
          <w:szCs w:val="20"/>
          <w:lang w:eastAsia="fr-FR"/>
        </w:rPr>
        <w:t>quatre régions (Bututsi, Buyenzi, Mugamba et Mumirwa) pendant la saison C.</w:t>
      </w:r>
    </w:p>
    <w:p w:rsidR="00223BFA" w:rsidRPr="00B6647E" w:rsidRDefault="00223BFA" w:rsidP="00C453A1">
      <w:pPr>
        <w:pStyle w:val="Lgende"/>
        <w:keepNext/>
        <w:jc w:val="both"/>
        <w:rPr>
          <w:rFonts w:ascii="Arial" w:hAnsi="Arial" w:cs="Arial"/>
        </w:rPr>
      </w:pPr>
      <w:r w:rsidRPr="00B6647E">
        <w:rPr>
          <w:rFonts w:ascii="Arial" w:hAnsi="Arial" w:cs="Arial"/>
        </w:rPr>
        <w:lastRenderedPageBreak/>
        <w:t xml:space="preserve">Tableau </w:t>
      </w:r>
      <w:r w:rsidR="00E1150A">
        <w:rPr>
          <w:rFonts w:ascii="Arial" w:hAnsi="Arial" w:cs="Arial"/>
        </w:rPr>
        <w:t>101</w:t>
      </w:r>
      <w:r w:rsidR="00367774" w:rsidRPr="00B6647E">
        <w:rPr>
          <w:rFonts w:ascii="Arial" w:hAnsi="Arial" w:cs="Arial"/>
        </w:rPr>
        <w:t> :</w:t>
      </w:r>
      <w:r w:rsidRPr="00B6647E">
        <w:rPr>
          <w:rFonts w:ascii="Arial" w:hAnsi="Arial" w:cs="Arial"/>
        </w:rPr>
        <w:t xml:space="preserve"> Rendement du haricot volubile en culture pure par </w:t>
      </w:r>
      <w:r w:rsidR="003E69E5" w:rsidRPr="00B6647E">
        <w:rPr>
          <w:rFonts w:ascii="Arial" w:hAnsi="Arial" w:cs="Arial"/>
        </w:rPr>
        <w:t>région</w:t>
      </w:r>
      <w:r w:rsidRPr="00B6647E">
        <w:rPr>
          <w:rFonts w:ascii="Arial" w:hAnsi="Arial" w:cs="Arial"/>
        </w:rPr>
        <w:t xml:space="preserve"> pendant les trois saisons</w:t>
      </w:r>
    </w:p>
    <w:p w:rsidR="003E69E5" w:rsidRPr="00B6647E" w:rsidRDefault="00AF0B79" w:rsidP="00C453A1">
      <w:pPr>
        <w:spacing w:line="240" w:lineRule="auto"/>
        <w:rPr>
          <w:lang w:eastAsia="fr-FR"/>
        </w:rPr>
      </w:pPr>
      <w:r w:rsidRPr="00B6647E">
        <w:rPr>
          <w:noProof/>
          <w:lang w:val="fr-FR" w:eastAsia="fr-FR"/>
        </w:rPr>
        <w:drawing>
          <wp:inline distT="0" distB="0" distL="0" distR="0">
            <wp:extent cx="3305175" cy="2914650"/>
            <wp:effectExtent l="19050" t="0" r="9525" b="0"/>
            <wp:docPr id="409"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4" cstate="print"/>
                    <a:srcRect/>
                    <a:stretch>
                      <a:fillRect/>
                    </a:stretch>
                  </pic:blipFill>
                  <pic:spPr bwMode="auto">
                    <a:xfrm>
                      <a:off x="0" y="0"/>
                      <a:ext cx="3305175" cy="2914650"/>
                    </a:xfrm>
                    <a:prstGeom prst="rect">
                      <a:avLst/>
                    </a:prstGeom>
                    <a:noFill/>
                    <a:ln w="9525">
                      <a:noFill/>
                      <a:miter lim="800000"/>
                      <a:headEnd/>
                      <a:tailEnd/>
                    </a:ln>
                  </pic:spPr>
                </pic:pic>
              </a:graphicData>
            </a:graphic>
          </wp:inline>
        </w:drawing>
      </w:r>
    </w:p>
    <w:p w:rsidR="003E69E5" w:rsidRPr="00B6647E" w:rsidRDefault="0061300C" w:rsidP="00C453A1">
      <w:pPr>
        <w:spacing w:line="240" w:lineRule="auto"/>
        <w:jc w:val="both"/>
        <w:rPr>
          <w:rFonts w:ascii="Arial" w:hAnsi="Arial" w:cs="Arial"/>
          <w:sz w:val="20"/>
          <w:szCs w:val="20"/>
          <w:lang w:eastAsia="fr-FR"/>
        </w:rPr>
      </w:pPr>
      <w:r w:rsidRPr="00B6647E">
        <w:rPr>
          <w:rFonts w:ascii="Arial" w:hAnsi="Arial" w:cs="Arial"/>
          <w:sz w:val="20"/>
          <w:szCs w:val="20"/>
          <w:lang w:eastAsia="fr-FR"/>
        </w:rPr>
        <w:t>Le niébé en culture pure a des rendements globalement faibles. Ils ont été estimés à 421 kg/ha pendant la saison A, 514 kg/ha en  saison B et 614 kg/ha dans la seule région de Kirimiro qui a pratiqué cette culture au cours de la saison C. Plus de la moitié des régions n’a pas cultivé le niébé pendant les saisons A et B.</w:t>
      </w:r>
    </w:p>
    <w:p w:rsidR="00223BFA" w:rsidRPr="00B6647E" w:rsidRDefault="00223BFA" w:rsidP="00C453A1">
      <w:pPr>
        <w:pStyle w:val="Lgende"/>
        <w:keepNext/>
        <w:jc w:val="both"/>
        <w:rPr>
          <w:rFonts w:ascii="Arial" w:hAnsi="Arial" w:cs="Arial"/>
        </w:rPr>
      </w:pPr>
      <w:r w:rsidRPr="00B6647E">
        <w:rPr>
          <w:rFonts w:ascii="Arial" w:hAnsi="Arial" w:cs="Arial"/>
        </w:rPr>
        <w:t xml:space="preserve">Tableau </w:t>
      </w:r>
      <w:r w:rsidR="00E1150A">
        <w:rPr>
          <w:rFonts w:ascii="Arial" w:hAnsi="Arial" w:cs="Arial"/>
        </w:rPr>
        <w:t>102</w:t>
      </w:r>
      <w:r w:rsidR="00367774" w:rsidRPr="00B6647E">
        <w:rPr>
          <w:rFonts w:ascii="Arial" w:hAnsi="Arial" w:cs="Arial"/>
        </w:rPr>
        <w:t> :</w:t>
      </w:r>
      <w:r w:rsidRPr="00B6647E">
        <w:rPr>
          <w:rFonts w:ascii="Arial" w:hAnsi="Arial" w:cs="Arial"/>
        </w:rPr>
        <w:t xml:space="preserve"> Rendement du niébé en culture pure par </w:t>
      </w:r>
      <w:r w:rsidR="003E69E5" w:rsidRPr="00B6647E">
        <w:rPr>
          <w:rFonts w:ascii="Arial" w:hAnsi="Arial" w:cs="Arial"/>
        </w:rPr>
        <w:t>région</w:t>
      </w:r>
      <w:r w:rsidRPr="00B6647E">
        <w:rPr>
          <w:rFonts w:ascii="Arial" w:hAnsi="Arial" w:cs="Arial"/>
        </w:rPr>
        <w:t xml:space="preserve"> pendant les trois saisons</w:t>
      </w:r>
    </w:p>
    <w:p w:rsidR="003E69E5" w:rsidRPr="00B6647E" w:rsidRDefault="00AF0B79" w:rsidP="00C453A1">
      <w:pPr>
        <w:spacing w:line="240" w:lineRule="auto"/>
        <w:rPr>
          <w:lang w:eastAsia="fr-FR"/>
        </w:rPr>
      </w:pPr>
      <w:r w:rsidRPr="00B6647E">
        <w:rPr>
          <w:noProof/>
          <w:lang w:val="fr-FR" w:eastAsia="fr-FR"/>
        </w:rPr>
        <w:drawing>
          <wp:inline distT="0" distB="0" distL="0" distR="0">
            <wp:extent cx="3305175" cy="2914650"/>
            <wp:effectExtent l="19050" t="0" r="9525" b="0"/>
            <wp:docPr id="410"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5" cstate="print"/>
                    <a:srcRect/>
                    <a:stretch>
                      <a:fillRect/>
                    </a:stretch>
                  </pic:blipFill>
                  <pic:spPr bwMode="auto">
                    <a:xfrm>
                      <a:off x="0" y="0"/>
                      <a:ext cx="3305175" cy="2914650"/>
                    </a:xfrm>
                    <a:prstGeom prst="rect">
                      <a:avLst/>
                    </a:prstGeom>
                    <a:noFill/>
                    <a:ln w="9525">
                      <a:noFill/>
                      <a:miter lim="800000"/>
                      <a:headEnd/>
                      <a:tailEnd/>
                    </a:ln>
                  </pic:spPr>
                </pic:pic>
              </a:graphicData>
            </a:graphic>
          </wp:inline>
        </w:drawing>
      </w:r>
    </w:p>
    <w:p w:rsidR="003E69E5" w:rsidRPr="00B6647E" w:rsidRDefault="0061300C" w:rsidP="00C453A1">
      <w:pPr>
        <w:spacing w:line="240" w:lineRule="auto"/>
        <w:jc w:val="both"/>
        <w:rPr>
          <w:rFonts w:ascii="Arial" w:hAnsi="Arial" w:cs="Arial"/>
          <w:sz w:val="20"/>
          <w:szCs w:val="20"/>
          <w:lang w:eastAsia="fr-FR"/>
        </w:rPr>
      </w:pPr>
      <w:r w:rsidRPr="00B6647E">
        <w:rPr>
          <w:rFonts w:ascii="Arial" w:hAnsi="Arial" w:cs="Arial"/>
          <w:sz w:val="20"/>
          <w:szCs w:val="20"/>
          <w:lang w:eastAsia="fr-FR"/>
        </w:rPr>
        <w:t>Au plan</w:t>
      </w:r>
      <w:r w:rsidR="00F92249" w:rsidRPr="00B6647E">
        <w:rPr>
          <w:rFonts w:ascii="Arial" w:hAnsi="Arial" w:cs="Arial"/>
          <w:sz w:val="20"/>
          <w:szCs w:val="20"/>
          <w:lang w:eastAsia="fr-FR"/>
        </w:rPr>
        <w:t xml:space="preserve"> national</w:t>
      </w:r>
      <w:r w:rsidRPr="00B6647E">
        <w:rPr>
          <w:rFonts w:ascii="Arial" w:hAnsi="Arial" w:cs="Arial"/>
          <w:sz w:val="20"/>
          <w:szCs w:val="20"/>
          <w:lang w:eastAsia="fr-FR"/>
        </w:rPr>
        <w:t>, le rendement moyen du petit pois en culture pure de la saison A (1.291 kg/ha)</w:t>
      </w:r>
      <w:r w:rsidR="00F92249" w:rsidRPr="00B6647E">
        <w:rPr>
          <w:rFonts w:ascii="Arial" w:hAnsi="Arial" w:cs="Arial"/>
          <w:sz w:val="20"/>
          <w:szCs w:val="20"/>
          <w:lang w:eastAsia="fr-FR"/>
        </w:rPr>
        <w:t xml:space="preserve"> est </w:t>
      </w:r>
      <w:r w:rsidR="001D4807" w:rsidRPr="00B6647E">
        <w:rPr>
          <w:rFonts w:ascii="Arial" w:hAnsi="Arial" w:cs="Arial"/>
          <w:sz w:val="20"/>
          <w:szCs w:val="20"/>
          <w:lang w:eastAsia="fr-FR"/>
        </w:rPr>
        <w:t xml:space="preserve">supérieur à </w:t>
      </w:r>
      <w:r w:rsidR="00F92249" w:rsidRPr="00B6647E">
        <w:rPr>
          <w:rFonts w:ascii="Arial" w:hAnsi="Arial" w:cs="Arial"/>
          <w:sz w:val="20"/>
          <w:szCs w:val="20"/>
          <w:lang w:eastAsia="fr-FR"/>
        </w:rPr>
        <w:t>celui de la saison B (1.004 kg/ha) qui est à son tour plus élevé que celui enregistré au cours de la saison C. Trois régions naturelles (Bugesera, Bweru et Imbo) n’ont pas cultivé du petit pois en culture pure au cours des trois saisons.</w:t>
      </w:r>
    </w:p>
    <w:p w:rsidR="00223BFA" w:rsidRPr="00B6647E" w:rsidRDefault="00223BFA" w:rsidP="00C453A1">
      <w:pPr>
        <w:pStyle w:val="Lgende"/>
        <w:keepNext/>
        <w:jc w:val="both"/>
        <w:rPr>
          <w:rFonts w:ascii="Arial" w:hAnsi="Arial" w:cs="Arial"/>
        </w:rPr>
      </w:pPr>
      <w:r w:rsidRPr="00B6647E">
        <w:rPr>
          <w:rFonts w:ascii="Arial" w:hAnsi="Arial" w:cs="Arial"/>
        </w:rPr>
        <w:lastRenderedPageBreak/>
        <w:t xml:space="preserve">Tableau </w:t>
      </w:r>
      <w:r w:rsidR="00E1150A">
        <w:rPr>
          <w:rFonts w:ascii="Arial" w:hAnsi="Arial" w:cs="Arial"/>
        </w:rPr>
        <w:t>103</w:t>
      </w:r>
      <w:r w:rsidR="00367774" w:rsidRPr="00B6647E">
        <w:rPr>
          <w:rFonts w:ascii="Arial" w:hAnsi="Arial" w:cs="Arial"/>
        </w:rPr>
        <w:t> :</w:t>
      </w:r>
      <w:r w:rsidRPr="00B6647E">
        <w:rPr>
          <w:rFonts w:ascii="Arial" w:hAnsi="Arial" w:cs="Arial"/>
        </w:rPr>
        <w:t xml:space="preserve"> Rendement du </w:t>
      </w:r>
      <w:r w:rsidR="003E69E5" w:rsidRPr="00B6647E">
        <w:rPr>
          <w:rFonts w:ascii="Arial" w:hAnsi="Arial" w:cs="Arial"/>
        </w:rPr>
        <w:t>petit pois</w:t>
      </w:r>
      <w:r w:rsidRPr="00B6647E">
        <w:rPr>
          <w:rFonts w:ascii="Arial" w:hAnsi="Arial" w:cs="Arial"/>
        </w:rPr>
        <w:t xml:space="preserve"> en culture pure par </w:t>
      </w:r>
      <w:r w:rsidR="003E69E5" w:rsidRPr="00B6647E">
        <w:rPr>
          <w:rFonts w:ascii="Arial" w:hAnsi="Arial" w:cs="Arial"/>
        </w:rPr>
        <w:t>région</w:t>
      </w:r>
      <w:r w:rsidRPr="00B6647E">
        <w:rPr>
          <w:rFonts w:ascii="Arial" w:hAnsi="Arial" w:cs="Arial"/>
        </w:rPr>
        <w:t xml:space="preserve"> pendant les trois saisons</w:t>
      </w:r>
    </w:p>
    <w:p w:rsidR="003E69E5" w:rsidRPr="00B6647E" w:rsidRDefault="00AF0B79" w:rsidP="00C453A1">
      <w:pPr>
        <w:spacing w:line="240" w:lineRule="auto"/>
        <w:rPr>
          <w:lang w:eastAsia="fr-FR"/>
        </w:rPr>
      </w:pPr>
      <w:r w:rsidRPr="00B6647E">
        <w:rPr>
          <w:noProof/>
          <w:lang w:val="fr-FR" w:eastAsia="fr-FR"/>
        </w:rPr>
        <w:drawing>
          <wp:inline distT="0" distB="0" distL="0" distR="0">
            <wp:extent cx="3305175" cy="2914650"/>
            <wp:effectExtent l="19050" t="0" r="9525" b="0"/>
            <wp:docPr id="411"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6" cstate="print"/>
                    <a:srcRect/>
                    <a:stretch>
                      <a:fillRect/>
                    </a:stretch>
                  </pic:blipFill>
                  <pic:spPr bwMode="auto">
                    <a:xfrm>
                      <a:off x="0" y="0"/>
                      <a:ext cx="3305175" cy="2914650"/>
                    </a:xfrm>
                    <a:prstGeom prst="rect">
                      <a:avLst/>
                    </a:prstGeom>
                    <a:noFill/>
                    <a:ln w="9525">
                      <a:noFill/>
                      <a:miter lim="800000"/>
                      <a:headEnd/>
                      <a:tailEnd/>
                    </a:ln>
                  </pic:spPr>
                </pic:pic>
              </a:graphicData>
            </a:graphic>
          </wp:inline>
        </w:drawing>
      </w:r>
    </w:p>
    <w:p w:rsidR="003E69E5" w:rsidRPr="00B6647E" w:rsidRDefault="00FC44BC" w:rsidP="00C453A1">
      <w:pPr>
        <w:spacing w:line="240" w:lineRule="auto"/>
        <w:jc w:val="both"/>
        <w:rPr>
          <w:rFonts w:ascii="Arial" w:hAnsi="Arial" w:cs="Arial"/>
          <w:sz w:val="20"/>
          <w:szCs w:val="20"/>
          <w:lang w:eastAsia="fr-FR"/>
        </w:rPr>
      </w:pPr>
      <w:r w:rsidRPr="00B6647E">
        <w:rPr>
          <w:rFonts w:ascii="Arial" w:hAnsi="Arial" w:cs="Arial"/>
          <w:sz w:val="20"/>
          <w:szCs w:val="20"/>
          <w:lang w:eastAsia="fr-FR"/>
        </w:rPr>
        <w:t>La culture du pois cajan est pratiquement marginale au Burundi. L’enquête n’a pas estimé du pois cajan en culture pure pendant la saison A et les rendements enregistrés au cours des autres saisons sont faibles (313 kg/ha en saison B et 297 kg/ha au cours de la saison C).</w:t>
      </w:r>
    </w:p>
    <w:p w:rsidR="00223BFA" w:rsidRPr="00B6647E" w:rsidRDefault="00223BFA" w:rsidP="00223BFA">
      <w:pPr>
        <w:pStyle w:val="Lgende"/>
        <w:keepNext/>
        <w:jc w:val="both"/>
        <w:rPr>
          <w:rFonts w:ascii="Arial" w:hAnsi="Arial" w:cs="Arial"/>
        </w:rPr>
      </w:pPr>
      <w:r w:rsidRPr="00B6647E">
        <w:rPr>
          <w:rFonts w:ascii="Arial" w:hAnsi="Arial" w:cs="Arial"/>
        </w:rPr>
        <w:t xml:space="preserve">Tableau </w:t>
      </w:r>
      <w:r w:rsidR="00E1150A">
        <w:rPr>
          <w:rFonts w:ascii="Arial" w:hAnsi="Arial" w:cs="Arial"/>
        </w:rPr>
        <w:t>104</w:t>
      </w:r>
      <w:r w:rsidR="00367774" w:rsidRPr="00B6647E">
        <w:rPr>
          <w:rFonts w:ascii="Arial" w:hAnsi="Arial" w:cs="Arial"/>
        </w:rPr>
        <w:t> :</w:t>
      </w:r>
      <w:r w:rsidRPr="00B6647E">
        <w:rPr>
          <w:rFonts w:ascii="Arial" w:hAnsi="Arial" w:cs="Arial"/>
        </w:rPr>
        <w:t xml:space="preserve"> Rendement du </w:t>
      </w:r>
      <w:r w:rsidR="003E69E5" w:rsidRPr="00B6647E">
        <w:rPr>
          <w:rFonts w:ascii="Arial" w:hAnsi="Arial" w:cs="Arial"/>
        </w:rPr>
        <w:t>pois cajan</w:t>
      </w:r>
      <w:r w:rsidRPr="00B6647E">
        <w:rPr>
          <w:rFonts w:ascii="Arial" w:hAnsi="Arial" w:cs="Arial"/>
        </w:rPr>
        <w:t xml:space="preserve"> en culture pure par </w:t>
      </w:r>
      <w:r w:rsidR="003E69E5" w:rsidRPr="00B6647E">
        <w:rPr>
          <w:rFonts w:ascii="Arial" w:hAnsi="Arial" w:cs="Arial"/>
        </w:rPr>
        <w:t>région</w:t>
      </w:r>
      <w:r w:rsidRPr="00B6647E">
        <w:rPr>
          <w:rFonts w:ascii="Arial" w:hAnsi="Arial" w:cs="Arial"/>
        </w:rPr>
        <w:t xml:space="preserve"> pendant les trois saisons</w:t>
      </w:r>
    </w:p>
    <w:p w:rsidR="003E69E5" w:rsidRPr="00B6647E" w:rsidRDefault="00AF0B79" w:rsidP="003E69E5">
      <w:pPr>
        <w:rPr>
          <w:lang w:eastAsia="fr-FR"/>
        </w:rPr>
      </w:pPr>
      <w:r w:rsidRPr="00B6647E">
        <w:rPr>
          <w:noProof/>
          <w:lang w:val="fr-FR" w:eastAsia="fr-FR"/>
        </w:rPr>
        <w:drawing>
          <wp:inline distT="0" distB="0" distL="0" distR="0">
            <wp:extent cx="3305175" cy="2914650"/>
            <wp:effectExtent l="19050" t="0" r="9525" b="0"/>
            <wp:docPr id="412"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7" cstate="print"/>
                    <a:srcRect/>
                    <a:stretch>
                      <a:fillRect/>
                    </a:stretch>
                  </pic:blipFill>
                  <pic:spPr bwMode="auto">
                    <a:xfrm>
                      <a:off x="0" y="0"/>
                      <a:ext cx="3305175" cy="2914650"/>
                    </a:xfrm>
                    <a:prstGeom prst="rect">
                      <a:avLst/>
                    </a:prstGeom>
                    <a:noFill/>
                    <a:ln w="9525">
                      <a:noFill/>
                      <a:miter lim="800000"/>
                      <a:headEnd/>
                      <a:tailEnd/>
                    </a:ln>
                  </pic:spPr>
                </pic:pic>
              </a:graphicData>
            </a:graphic>
          </wp:inline>
        </w:drawing>
      </w:r>
    </w:p>
    <w:p w:rsidR="00AC7C2C" w:rsidRPr="00B6647E" w:rsidRDefault="00AC7C2C" w:rsidP="00FD5448">
      <w:pPr>
        <w:pStyle w:val="Paragraphedeliste"/>
        <w:spacing w:before="200" w:after="120" w:line="240" w:lineRule="auto"/>
        <w:ind w:left="0"/>
        <w:contextualSpacing w:val="0"/>
        <w:rPr>
          <w:rFonts w:ascii="Arial" w:hAnsi="Arial" w:cs="Arial"/>
          <w:b/>
          <w:sz w:val="20"/>
          <w:szCs w:val="20"/>
        </w:rPr>
      </w:pPr>
      <w:r w:rsidRPr="00B6647E">
        <w:rPr>
          <w:rFonts w:ascii="Arial" w:hAnsi="Arial" w:cs="Arial"/>
          <w:b/>
          <w:sz w:val="20"/>
          <w:szCs w:val="20"/>
        </w:rPr>
        <w:t xml:space="preserve">b) Rendements des </w:t>
      </w:r>
      <w:r w:rsidR="00FD5448" w:rsidRPr="00B6647E">
        <w:rPr>
          <w:rFonts w:ascii="Arial" w:hAnsi="Arial" w:cs="Arial"/>
          <w:b/>
          <w:sz w:val="20"/>
          <w:szCs w:val="20"/>
        </w:rPr>
        <w:t>légumineuses</w:t>
      </w:r>
      <w:r w:rsidRPr="00B6647E">
        <w:rPr>
          <w:rFonts w:ascii="Arial" w:hAnsi="Arial" w:cs="Arial"/>
          <w:b/>
          <w:sz w:val="20"/>
          <w:szCs w:val="20"/>
        </w:rPr>
        <w:t xml:space="preserve"> en cultures pures dans les provinces</w:t>
      </w:r>
    </w:p>
    <w:p w:rsidR="00E034E1" w:rsidRPr="00B6647E" w:rsidRDefault="00E034E1" w:rsidP="00DA1D35">
      <w:pPr>
        <w:pStyle w:val="Paragraphedeliste"/>
        <w:spacing w:after="0" w:line="240" w:lineRule="auto"/>
        <w:ind w:left="0"/>
        <w:jc w:val="both"/>
        <w:rPr>
          <w:rFonts w:ascii="Arial" w:hAnsi="Arial" w:cs="Arial"/>
          <w:sz w:val="20"/>
          <w:szCs w:val="20"/>
        </w:rPr>
      </w:pPr>
      <w:r w:rsidRPr="00B6647E">
        <w:rPr>
          <w:rFonts w:ascii="Arial" w:hAnsi="Arial" w:cs="Arial"/>
          <w:sz w:val="20"/>
          <w:szCs w:val="20"/>
        </w:rPr>
        <w:t xml:space="preserve">On note que toutes les provinces ont cultivé du haricot (nain ou volubile) au cours de la campagne agricole 2011-2012 sauf dans Mwaro en saison A et dans Bubanza Cibitoke au cours de la saison C. Mis à part Muyinga qui a enregistré un rendement du haricot (nain et volubile) de 800 kg/ha, les rendements les plus élevés </w:t>
      </w:r>
      <w:r w:rsidR="00DA1D35" w:rsidRPr="00B6647E">
        <w:rPr>
          <w:rFonts w:ascii="Arial" w:hAnsi="Arial" w:cs="Arial"/>
          <w:sz w:val="20"/>
          <w:szCs w:val="20"/>
        </w:rPr>
        <w:t>ont été estimés dans la province de Makamba (767 kg/ha) en saison A, dans Kayanza (768 kg/ha) pendant la saison B et dans Bururi (792 kg/ha) au cours de la saison C</w:t>
      </w:r>
      <w:r w:rsidRPr="00B6647E">
        <w:rPr>
          <w:rFonts w:ascii="Arial" w:hAnsi="Arial" w:cs="Arial"/>
          <w:sz w:val="20"/>
          <w:szCs w:val="20"/>
        </w:rPr>
        <w:t>.</w:t>
      </w:r>
    </w:p>
    <w:p w:rsidR="00E034E1" w:rsidRPr="00B6647E" w:rsidRDefault="00E034E1" w:rsidP="00AC7C2C">
      <w:pPr>
        <w:pStyle w:val="Paragraphedeliste"/>
        <w:spacing w:after="0" w:line="240" w:lineRule="auto"/>
        <w:ind w:left="0"/>
        <w:rPr>
          <w:rFonts w:ascii="Arial" w:hAnsi="Arial" w:cs="Arial"/>
          <w:sz w:val="20"/>
          <w:szCs w:val="20"/>
        </w:rPr>
      </w:pPr>
    </w:p>
    <w:p w:rsidR="00E034E1" w:rsidRPr="00B6647E" w:rsidRDefault="00E034E1" w:rsidP="00AC7C2C">
      <w:pPr>
        <w:pStyle w:val="Paragraphedeliste"/>
        <w:spacing w:after="0" w:line="240" w:lineRule="auto"/>
        <w:ind w:left="0"/>
        <w:rPr>
          <w:rFonts w:ascii="Arial" w:hAnsi="Arial" w:cs="Arial"/>
          <w:sz w:val="20"/>
          <w:szCs w:val="20"/>
        </w:rPr>
      </w:pPr>
    </w:p>
    <w:p w:rsidR="003E69E5" w:rsidRPr="00B6647E" w:rsidRDefault="003E69E5" w:rsidP="00913744">
      <w:pPr>
        <w:pStyle w:val="Lgende"/>
        <w:keepNext/>
        <w:jc w:val="both"/>
        <w:rPr>
          <w:rFonts w:ascii="Arial" w:hAnsi="Arial" w:cs="Arial"/>
        </w:rPr>
      </w:pPr>
      <w:r w:rsidRPr="00B6647E">
        <w:rPr>
          <w:rFonts w:ascii="Arial" w:hAnsi="Arial" w:cs="Arial"/>
        </w:rPr>
        <w:lastRenderedPageBreak/>
        <w:t xml:space="preserve">Tableau </w:t>
      </w:r>
      <w:r w:rsidR="00E1150A">
        <w:rPr>
          <w:rFonts w:ascii="Arial" w:hAnsi="Arial" w:cs="Arial"/>
        </w:rPr>
        <w:t>105</w:t>
      </w:r>
      <w:r w:rsidR="00367774" w:rsidRPr="00B6647E">
        <w:rPr>
          <w:rFonts w:ascii="Arial" w:hAnsi="Arial" w:cs="Arial"/>
        </w:rPr>
        <w:t> :</w:t>
      </w:r>
      <w:r w:rsidRPr="00B6647E">
        <w:rPr>
          <w:rFonts w:ascii="Arial" w:hAnsi="Arial" w:cs="Arial"/>
        </w:rPr>
        <w:t xml:space="preserve"> Rendement du haricot en culture pure par province pendant les trois saisons</w:t>
      </w:r>
    </w:p>
    <w:p w:rsidR="003E69E5" w:rsidRPr="00B6647E" w:rsidRDefault="00954607" w:rsidP="00C45DFB">
      <w:pPr>
        <w:keepNext/>
        <w:spacing w:after="120" w:line="240" w:lineRule="auto"/>
        <w:rPr>
          <w:lang w:eastAsia="fr-FR"/>
        </w:rPr>
      </w:pPr>
      <w:r w:rsidRPr="00B6647E">
        <w:rPr>
          <w:noProof/>
          <w:lang w:val="fr-FR" w:eastAsia="fr-FR"/>
        </w:rPr>
        <w:drawing>
          <wp:inline distT="0" distB="0" distL="0" distR="0">
            <wp:extent cx="3305175" cy="3867150"/>
            <wp:effectExtent l="19050" t="0" r="9525" b="0"/>
            <wp:docPr id="413"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8" cstate="print"/>
                    <a:srcRect/>
                    <a:stretch>
                      <a:fillRect/>
                    </a:stretch>
                  </pic:blipFill>
                  <pic:spPr bwMode="auto">
                    <a:xfrm>
                      <a:off x="0" y="0"/>
                      <a:ext cx="3305175" cy="3867150"/>
                    </a:xfrm>
                    <a:prstGeom prst="rect">
                      <a:avLst/>
                    </a:prstGeom>
                    <a:noFill/>
                    <a:ln w="9525">
                      <a:noFill/>
                      <a:miter lim="800000"/>
                      <a:headEnd/>
                      <a:tailEnd/>
                    </a:ln>
                  </pic:spPr>
                </pic:pic>
              </a:graphicData>
            </a:graphic>
          </wp:inline>
        </w:drawing>
      </w:r>
    </w:p>
    <w:p w:rsidR="00C45DFB" w:rsidRPr="00B6647E" w:rsidRDefault="00DA1D35" w:rsidP="00913744">
      <w:pPr>
        <w:spacing w:after="0" w:line="240" w:lineRule="auto"/>
        <w:jc w:val="both"/>
        <w:rPr>
          <w:rFonts w:ascii="Arial" w:hAnsi="Arial" w:cs="Arial"/>
          <w:sz w:val="20"/>
          <w:szCs w:val="20"/>
          <w:lang w:eastAsia="fr-FR"/>
        </w:rPr>
      </w:pPr>
      <w:r w:rsidRPr="00B6647E">
        <w:rPr>
          <w:rFonts w:ascii="Arial" w:hAnsi="Arial" w:cs="Arial"/>
          <w:sz w:val="20"/>
          <w:szCs w:val="20"/>
          <w:lang w:eastAsia="fr-FR"/>
        </w:rPr>
        <w:t xml:space="preserve">Le haricot nain n’a pas été enregistré par l’enquête en tant que culture pure dans les provinces de Bururi, Gitega, Muramvya et Mwaro pendant la saison A et dans Bubanza et Cibitoke au cours de la saison C. </w:t>
      </w:r>
    </w:p>
    <w:p w:rsidR="003E69E5" w:rsidRPr="00B6647E" w:rsidRDefault="003E69E5" w:rsidP="00913744">
      <w:pPr>
        <w:pStyle w:val="Lgende"/>
        <w:keepNext/>
        <w:jc w:val="both"/>
        <w:rPr>
          <w:rFonts w:ascii="Arial" w:hAnsi="Arial" w:cs="Arial"/>
        </w:rPr>
      </w:pPr>
      <w:r w:rsidRPr="00B6647E">
        <w:rPr>
          <w:rFonts w:ascii="Arial" w:hAnsi="Arial" w:cs="Arial"/>
        </w:rPr>
        <w:t xml:space="preserve">Tableau </w:t>
      </w:r>
      <w:r w:rsidR="00E1150A">
        <w:rPr>
          <w:rFonts w:ascii="Arial" w:hAnsi="Arial" w:cs="Arial"/>
        </w:rPr>
        <w:t>106</w:t>
      </w:r>
      <w:r w:rsidR="00367774" w:rsidRPr="00B6647E">
        <w:rPr>
          <w:rFonts w:ascii="Arial" w:hAnsi="Arial" w:cs="Arial"/>
        </w:rPr>
        <w:t> :</w:t>
      </w:r>
      <w:r w:rsidRPr="00B6647E">
        <w:rPr>
          <w:rFonts w:ascii="Arial" w:hAnsi="Arial" w:cs="Arial"/>
        </w:rPr>
        <w:t xml:space="preserve"> Rendement du haricot nain en culture pure par province pendant les trois saisons</w:t>
      </w:r>
    </w:p>
    <w:p w:rsidR="003E69E5" w:rsidRPr="00B6647E" w:rsidRDefault="00954607" w:rsidP="00913744">
      <w:pPr>
        <w:spacing w:after="0" w:line="240" w:lineRule="auto"/>
        <w:jc w:val="both"/>
        <w:rPr>
          <w:rFonts w:ascii="Arial" w:hAnsi="Arial" w:cs="Arial"/>
          <w:sz w:val="20"/>
          <w:szCs w:val="20"/>
          <w:lang w:eastAsia="fr-FR"/>
        </w:rPr>
      </w:pPr>
      <w:r w:rsidRPr="00B6647E">
        <w:rPr>
          <w:noProof/>
          <w:szCs w:val="20"/>
          <w:lang w:val="fr-FR" w:eastAsia="fr-FR"/>
        </w:rPr>
        <w:drawing>
          <wp:inline distT="0" distB="0" distL="0" distR="0">
            <wp:extent cx="3305175" cy="3867150"/>
            <wp:effectExtent l="19050" t="0" r="9525" b="0"/>
            <wp:docPr id="414"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9" cstate="print"/>
                    <a:srcRect/>
                    <a:stretch>
                      <a:fillRect/>
                    </a:stretch>
                  </pic:blipFill>
                  <pic:spPr bwMode="auto">
                    <a:xfrm>
                      <a:off x="0" y="0"/>
                      <a:ext cx="3305175" cy="3867150"/>
                    </a:xfrm>
                    <a:prstGeom prst="rect">
                      <a:avLst/>
                    </a:prstGeom>
                    <a:noFill/>
                    <a:ln w="9525">
                      <a:noFill/>
                      <a:miter lim="800000"/>
                      <a:headEnd/>
                      <a:tailEnd/>
                    </a:ln>
                  </pic:spPr>
                </pic:pic>
              </a:graphicData>
            </a:graphic>
          </wp:inline>
        </w:drawing>
      </w:r>
    </w:p>
    <w:p w:rsidR="00913744" w:rsidRPr="00B6647E" w:rsidRDefault="00913744" w:rsidP="00913744">
      <w:pPr>
        <w:spacing w:after="120" w:line="240" w:lineRule="auto"/>
        <w:jc w:val="both"/>
        <w:rPr>
          <w:rFonts w:ascii="Arial" w:hAnsi="Arial" w:cs="Arial"/>
          <w:sz w:val="20"/>
          <w:szCs w:val="20"/>
          <w:lang w:eastAsia="fr-FR"/>
        </w:rPr>
      </w:pPr>
      <w:r w:rsidRPr="00B6647E">
        <w:rPr>
          <w:rFonts w:ascii="Arial" w:hAnsi="Arial" w:cs="Arial"/>
          <w:sz w:val="20"/>
          <w:szCs w:val="20"/>
          <w:lang w:eastAsia="fr-FR"/>
        </w:rPr>
        <w:lastRenderedPageBreak/>
        <w:t>Toutes les provinces ont pratiqué cette culture en saison B. Dans les provinces où le haricot nain a été cultivé, les rendements varient entre 200 kg/ha (Bubanza) et 800 kg/ha (Kayanza, Makamba, et Muyinga) pendant la saison A. Au cours de la saison B, ils vont de 461 kg/ha (Bujumbura rural) à 757 kg/ha (Kayanza) et en C ces rendements varient de 645 kg/ha (Kayanza) à 800 kg/ha (Bujumbura rural).</w:t>
      </w:r>
    </w:p>
    <w:p w:rsidR="00C45DFB" w:rsidRPr="00B6647E" w:rsidRDefault="00453E65" w:rsidP="00C45DFB">
      <w:pPr>
        <w:spacing w:after="120" w:line="240" w:lineRule="auto"/>
        <w:jc w:val="both"/>
        <w:rPr>
          <w:rFonts w:ascii="Arial" w:hAnsi="Arial" w:cs="Arial"/>
          <w:sz w:val="20"/>
          <w:szCs w:val="20"/>
          <w:lang w:eastAsia="fr-FR"/>
        </w:rPr>
      </w:pPr>
      <w:r w:rsidRPr="00B6647E">
        <w:rPr>
          <w:rFonts w:ascii="Arial" w:hAnsi="Arial" w:cs="Arial"/>
          <w:sz w:val="20"/>
          <w:szCs w:val="20"/>
          <w:lang w:eastAsia="fr-FR"/>
        </w:rPr>
        <w:t xml:space="preserve">Le haricot volubile en culture pure qui a été cultivé dans toutes les provinces au cours de la saison B, ne l’a </w:t>
      </w:r>
      <w:r w:rsidR="008D258F" w:rsidRPr="00B6647E">
        <w:rPr>
          <w:rFonts w:ascii="Arial" w:hAnsi="Arial" w:cs="Arial"/>
          <w:sz w:val="20"/>
          <w:szCs w:val="20"/>
          <w:lang w:eastAsia="fr-FR"/>
        </w:rPr>
        <w:t xml:space="preserve">pas </w:t>
      </w:r>
      <w:r w:rsidRPr="00B6647E">
        <w:rPr>
          <w:rFonts w:ascii="Arial" w:hAnsi="Arial" w:cs="Arial"/>
          <w:sz w:val="20"/>
          <w:szCs w:val="20"/>
          <w:lang w:eastAsia="fr-FR"/>
        </w:rPr>
        <w:t xml:space="preserve">été dans deux provinces (Muyinga et Mwaro) </w:t>
      </w:r>
      <w:r w:rsidR="008D258F" w:rsidRPr="00B6647E">
        <w:rPr>
          <w:rFonts w:ascii="Arial" w:hAnsi="Arial" w:cs="Arial"/>
          <w:sz w:val="20"/>
          <w:szCs w:val="20"/>
          <w:lang w:eastAsia="fr-FR"/>
        </w:rPr>
        <w:t xml:space="preserve">en saison A et l’a été dans seulement six provinces (Bujumbura rural, Bururi, Makamba, Muramvya, Mwaro et Ngozi) pendant la saison C. </w:t>
      </w:r>
    </w:p>
    <w:p w:rsidR="003E69E5" w:rsidRPr="00B6647E" w:rsidRDefault="003E69E5" w:rsidP="00C45DFB">
      <w:pPr>
        <w:pStyle w:val="Lgende"/>
        <w:keepNext/>
        <w:jc w:val="both"/>
        <w:rPr>
          <w:rFonts w:ascii="Arial" w:hAnsi="Arial" w:cs="Arial"/>
        </w:rPr>
      </w:pPr>
      <w:r w:rsidRPr="00B6647E">
        <w:rPr>
          <w:rFonts w:ascii="Arial" w:hAnsi="Arial" w:cs="Arial"/>
        </w:rPr>
        <w:t xml:space="preserve">Tableau </w:t>
      </w:r>
      <w:r w:rsidR="00E1150A">
        <w:rPr>
          <w:rFonts w:ascii="Arial" w:hAnsi="Arial" w:cs="Arial"/>
        </w:rPr>
        <w:t>107</w:t>
      </w:r>
      <w:r w:rsidR="00367774" w:rsidRPr="00B6647E">
        <w:rPr>
          <w:rFonts w:ascii="Arial" w:hAnsi="Arial" w:cs="Arial"/>
        </w:rPr>
        <w:t> :</w:t>
      </w:r>
      <w:r w:rsidRPr="00B6647E">
        <w:rPr>
          <w:rFonts w:ascii="Arial" w:hAnsi="Arial" w:cs="Arial"/>
        </w:rPr>
        <w:t xml:space="preserve"> Rendement du haricot volubile en culture pure par province </w:t>
      </w:r>
      <w:r w:rsidR="00C45DFB" w:rsidRPr="00B6647E">
        <w:rPr>
          <w:rFonts w:ascii="Arial" w:hAnsi="Arial" w:cs="Arial"/>
        </w:rPr>
        <w:t>et par</w:t>
      </w:r>
      <w:r w:rsidRPr="00B6647E">
        <w:rPr>
          <w:rFonts w:ascii="Arial" w:hAnsi="Arial" w:cs="Arial"/>
        </w:rPr>
        <w:t xml:space="preserve"> saison</w:t>
      </w:r>
    </w:p>
    <w:p w:rsidR="003E69E5" w:rsidRPr="00B6647E" w:rsidRDefault="00954607" w:rsidP="00C45DFB">
      <w:pPr>
        <w:spacing w:after="0" w:line="240" w:lineRule="auto"/>
        <w:rPr>
          <w:lang w:eastAsia="fr-FR"/>
        </w:rPr>
      </w:pPr>
      <w:r w:rsidRPr="00B6647E">
        <w:rPr>
          <w:noProof/>
          <w:lang w:val="fr-FR" w:eastAsia="fr-FR"/>
        </w:rPr>
        <w:drawing>
          <wp:inline distT="0" distB="0" distL="0" distR="0">
            <wp:extent cx="3305175" cy="3867150"/>
            <wp:effectExtent l="19050" t="0" r="9525" b="0"/>
            <wp:docPr id="415"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0" cstate="print"/>
                    <a:srcRect/>
                    <a:stretch>
                      <a:fillRect/>
                    </a:stretch>
                  </pic:blipFill>
                  <pic:spPr bwMode="auto">
                    <a:xfrm>
                      <a:off x="0" y="0"/>
                      <a:ext cx="3305175" cy="3867150"/>
                    </a:xfrm>
                    <a:prstGeom prst="rect">
                      <a:avLst/>
                    </a:prstGeom>
                    <a:noFill/>
                    <a:ln w="9525">
                      <a:noFill/>
                      <a:miter lim="800000"/>
                      <a:headEnd/>
                      <a:tailEnd/>
                    </a:ln>
                  </pic:spPr>
                </pic:pic>
              </a:graphicData>
            </a:graphic>
          </wp:inline>
        </w:drawing>
      </w:r>
    </w:p>
    <w:p w:rsidR="00913744" w:rsidRPr="00B6647E" w:rsidRDefault="00913744" w:rsidP="00913744">
      <w:pPr>
        <w:spacing w:after="120" w:line="240" w:lineRule="auto"/>
        <w:jc w:val="both"/>
        <w:rPr>
          <w:rFonts w:ascii="Arial" w:hAnsi="Arial" w:cs="Arial"/>
          <w:sz w:val="20"/>
          <w:szCs w:val="20"/>
          <w:lang w:eastAsia="fr-FR"/>
        </w:rPr>
      </w:pPr>
      <w:r w:rsidRPr="00B6647E">
        <w:rPr>
          <w:rFonts w:ascii="Arial" w:hAnsi="Arial" w:cs="Arial"/>
          <w:sz w:val="20"/>
          <w:szCs w:val="20"/>
          <w:lang w:eastAsia="fr-FR"/>
        </w:rPr>
        <w:t>Les moyennes nationales de ces rendements de haricot volubile en culture pure sont relativement supérieures à celles du haricot nain au cours des trois saisons (706 kg/ha contre 648 kg/ha en saison A, 727 kg/ha contre 651 kg/ha au cours de la saison B et 788 kg/ha contre 711 kg/ha pendant la saison C).</w:t>
      </w:r>
    </w:p>
    <w:p w:rsidR="003C756C" w:rsidRPr="00B6647E" w:rsidRDefault="001D4807" w:rsidP="00C45DFB">
      <w:pPr>
        <w:spacing w:after="0" w:line="240" w:lineRule="auto"/>
        <w:jc w:val="both"/>
        <w:rPr>
          <w:rFonts w:ascii="Arial" w:hAnsi="Arial" w:cs="Arial"/>
          <w:sz w:val="20"/>
          <w:szCs w:val="20"/>
          <w:lang w:eastAsia="fr-FR"/>
        </w:rPr>
      </w:pPr>
      <w:r w:rsidRPr="00B6647E">
        <w:rPr>
          <w:rFonts w:ascii="Arial" w:hAnsi="Arial" w:cs="Arial"/>
          <w:sz w:val="20"/>
          <w:szCs w:val="20"/>
          <w:lang w:eastAsia="fr-FR"/>
        </w:rPr>
        <w:t xml:space="preserve">Le niébé en culture pure a des rendements globalement faibles. Ils ont été estimés à 421 kg/ha pendant la saison A, 514 kg/ha en saison B et 614 kg/ha dans la seule province de Mwaro qui a pratiqué cette culture au cours de la saison C. </w:t>
      </w:r>
    </w:p>
    <w:p w:rsidR="003C756C" w:rsidRPr="00B6647E" w:rsidRDefault="003C756C" w:rsidP="00C45DFB">
      <w:pPr>
        <w:spacing w:after="0" w:line="240" w:lineRule="auto"/>
        <w:jc w:val="both"/>
        <w:rPr>
          <w:rFonts w:ascii="Arial" w:hAnsi="Arial" w:cs="Arial"/>
          <w:sz w:val="20"/>
          <w:szCs w:val="20"/>
          <w:lang w:eastAsia="fr-FR"/>
        </w:rPr>
      </w:pPr>
    </w:p>
    <w:p w:rsidR="001D4807" w:rsidRPr="00B6647E" w:rsidRDefault="001D4807" w:rsidP="00C45DFB">
      <w:pPr>
        <w:spacing w:after="0" w:line="240" w:lineRule="auto"/>
        <w:jc w:val="both"/>
        <w:rPr>
          <w:rFonts w:ascii="Arial" w:hAnsi="Arial" w:cs="Arial"/>
          <w:sz w:val="20"/>
          <w:szCs w:val="20"/>
          <w:lang w:eastAsia="fr-FR"/>
        </w:rPr>
      </w:pPr>
      <w:r w:rsidRPr="00B6647E">
        <w:rPr>
          <w:rFonts w:ascii="Arial" w:hAnsi="Arial" w:cs="Arial"/>
          <w:sz w:val="20"/>
          <w:szCs w:val="20"/>
          <w:lang w:eastAsia="fr-FR"/>
        </w:rPr>
        <w:t xml:space="preserve">On note quatre provinces (Bubanza, Kirundo, Rutana et Ruyigi) qui </w:t>
      </w:r>
      <w:r w:rsidR="000360B9">
        <w:rPr>
          <w:rFonts w:ascii="Arial" w:hAnsi="Arial" w:cs="Arial"/>
          <w:sz w:val="20"/>
          <w:szCs w:val="20"/>
          <w:lang w:eastAsia="fr-FR"/>
        </w:rPr>
        <w:t xml:space="preserve">ont </w:t>
      </w:r>
      <w:r w:rsidRPr="00B6647E">
        <w:rPr>
          <w:rFonts w:ascii="Arial" w:hAnsi="Arial" w:cs="Arial"/>
          <w:sz w:val="20"/>
          <w:szCs w:val="20"/>
          <w:lang w:eastAsia="fr-FR"/>
        </w:rPr>
        <w:t>cultivé le niébé en culture pure au cours de la saison A et sept provinces (Bubanza, Cankuzo, Gitega, Karuzi, Muramvya, Mwaro et Rutana) pendant la saison B.</w:t>
      </w:r>
    </w:p>
    <w:p w:rsidR="00C45DFB" w:rsidRPr="00B6647E" w:rsidRDefault="00C45DFB" w:rsidP="00C45DFB">
      <w:pPr>
        <w:spacing w:after="0" w:line="240" w:lineRule="auto"/>
        <w:jc w:val="both"/>
        <w:rPr>
          <w:rFonts w:ascii="Arial" w:hAnsi="Arial" w:cs="Arial"/>
          <w:sz w:val="20"/>
          <w:szCs w:val="20"/>
          <w:lang w:eastAsia="fr-FR"/>
        </w:rPr>
      </w:pPr>
    </w:p>
    <w:p w:rsidR="003E69E5" w:rsidRPr="00B6647E" w:rsidRDefault="003E69E5" w:rsidP="00C45DFB">
      <w:pPr>
        <w:pStyle w:val="Lgende"/>
        <w:keepNext/>
        <w:jc w:val="both"/>
        <w:rPr>
          <w:rFonts w:ascii="Arial" w:hAnsi="Arial" w:cs="Arial"/>
        </w:rPr>
      </w:pPr>
      <w:r w:rsidRPr="00B6647E">
        <w:rPr>
          <w:rFonts w:ascii="Arial" w:hAnsi="Arial" w:cs="Arial"/>
        </w:rPr>
        <w:lastRenderedPageBreak/>
        <w:t xml:space="preserve">Tableau </w:t>
      </w:r>
      <w:r w:rsidR="00E1150A">
        <w:rPr>
          <w:rFonts w:ascii="Arial" w:hAnsi="Arial" w:cs="Arial"/>
        </w:rPr>
        <w:t>108</w:t>
      </w:r>
      <w:r w:rsidR="00367774" w:rsidRPr="00B6647E">
        <w:rPr>
          <w:rFonts w:ascii="Arial" w:hAnsi="Arial" w:cs="Arial"/>
        </w:rPr>
        <w:t> :</w:t>
      </w:r>
      <w:r w:rsidRPr="00B6647E">
        <w:rPr>
          <w:rFonts w:ascii="Arial" w:hAnsi="Arial" w:cs="Arial"/>
        </w:rPr>
        <w:t xml:space="preserve"> Rendement du niébé en culture pure par province pendant les trois saisons</w:t>
      </w:r>
    </w:p>
    <w:p w:rsidR="003E69E5" w:rsidRPr="00B6647E" w:rsidRDefault="00954607" w:rsidP="00C45DFB">
      <w:pPr>
        <w:spacing w:after="0" w:line="240" w:lineRule="auto"/>
        <w:rPr>
          <w:lang w:eastAsia="fr-FR"/>
        </w:rPr>
      </w:pPr>
      <w:r w:rsidRPr="00B6647E">
        <w:rPr>
          <w:noProof/>
          <w:lang w:val="fr-FR" w:eastAsia="fr-FR"/>
        </w:rPr>
        <w:drawing>
          <wp:inline distT="0" distB="0" distL="0" distR="0">
            <wp:extent cx="3305175" cy="3867150"/>
            <wp:effectExtent l="19050" t="0" r="9525" b="0"/>
            <wp:docPr id="416"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1" cstate="print"/>
                    <a:srcRect/>
                    <a:stretch>
                      <a:fillRect/>
                    </a:stretch>
                  </pic:blipFill>
                  <pic:spPr bwMode="auto">
                    <a:xfrm>
                      <a:off x="0" y="0"/>
                      <a:ext cx="3305175" cy="3867150"/>
                    </a:xfrm>
                    <a:prstGeom prst="rect">
                      <a:avLst/>
                    </a:prstGeom>
                    <a:noFill/>
                    <a:ln w="9525">
                      <a:noFill/>
                      <a:miter lim="800000"/>
                      <a:headEnd/>
                      <a:tailEnd/>
                    </a:ln>
                  </pic:spPr>
                </pic:pic>
              </a:graphicData>
            </a:graphic>
          </wp:inline>
        </w:drawing>
      </w:r>
    </w:p>
    <w:p w:rsidR="001D4807" w:rsidRPr="00B6647E" w:rsidRDefault="001D4807" w:rsidP="0053153C">
      <w:pPr>
        <w:spacing w:line="240" w:lineRule="auto"/>
        <w:jc w:val="both"/>
        <w:rPr>
          <w:rFonts w:ascii="Arial" w:hAnsi="Arial" w:cs="Arial"/>
          <w:sz w:val="20"/>
          <w:szCs w:val="20"/>
          <w:lang w:eastAsia="fr-FR"/>
        </w:rPr>
      </w:pPr>
      <w:r w:rsidRPr="00B6647E">
        <w:rPr>
          <w:rFonts w:ascii="Arial" w:hAnsi="Arial" w:cs="Arial"/>
          <w:sz w:val="20"/>
          <w:szCs w:val="20"/>
          <w:lang w:eastAsia="fr-FR"/>
        </w:rPr>
        <w:t>Au plan national, le rendement moyen du petit pois en culture pure de la saison A (1.291 kg/ha) est plus élevé que celui de la saison B (1.004 kg/ha) qui est à son tour supérieur à celui enregistré au cours de la saison C.</w:t>
      </w:r>
    </w:p>
    <w:p w:rsidR="003E69E5" w:rsidRPr="00B6647E" w:rsidRDefault="003E69E5" w:rsidP="00C45DFB">
      <w:pPr>
        <w:pStyle w:val="Lgende"/>
        <w:keepNext/>
        <w:jc w:val="both"/>
        <w:rPr>
          <w:rFonts w:ascii="Arial" w:hAnsi="Arial" w:cs="Arial"/>
        </w:rPr>
      </w:pPr>
      <w:r w:rsidRPr="00B6647E">
        <w:rPr>
          <w:rFonts w:ascii="Arial" w:hAnsi="Arial" w:cs="Arial"/>
        </w:rPr>
        <w:t xml:space="preserve">Tableau </w:t>
      </w:r>
      <w:r w:rsidR="00367774" w:rsidRPr="00B6647E">
        <w:rPr>
          <w:rFonts w:ascii="Arial" w:hAnsi="Arial" w:cs="Arial"/>
        </w:rPr>
        <w:t>10</w:t>
      </w:r>
      <w:r w:rsidR="00E1150A">
        <w:rPr>
          <w:rFonts w:ascii="Arial" w:hAnsi="Arial" w:cs="Arial"/>
        </w:rPr>
        <w:t>9</w:t>
      </w:r>
      <w:r w:rsidR="00367774" w:rsidRPr="00B6647E">
        <w:rPr>
          <w:rFonts w:ascii="Arial" w:hAnsi="Arial" w:cs="Arial"/>
        </w:rPr>
        <w:t> :</w:t>
      </w:r>
      <w:r w:rsidRPr="00B6647E">
        <w:rPr>
          <w:rFonts w:ascii="Arial" w:hAnsi="Arial" w:cs="Arial"/>
        </w:rPr>
        <w:t xml:space="preserve"> Rendement du petit pois en culture pure par province pendant les trois saisons</w:t>
      </w:r>
    </w:p>
    <w:p w:rsidR="003E69E5" w:rsidRPr="00B6647E" w:rsidRDefault="00954607" w:rsidP="00C45DFB">
      <w:pPr>
        <w:spacing w:after="0" w:line="240" w:lineRule="auto"/>
        <w:rPr>
          <w:lang w:eastAsia="fr-FR"/>
        </w:rPr>
      </w:pPr>
      <w:r w:rsidRPr="00B6647E">
        <w:rPr>
          <w:noProof/>
          <w:lang w:val="fr-FR" w:eastAsia="fr-FR"/>
        </w:rPr>
        <w:drawing>
          <wp:inline distT="0" distB="0" distL="0" distR="0">
            <wp:extent cx="3305175" cy="3867150"/>
            <wp:effectExtent l="19050" t="0" r="9525" b="0"/>
            <wp:docPr id="417"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2" cstate="print"/>
                    <a:srcRect/>
                    <a:stretch>
                      <a:fillRect/>
                    </a:stretch>
                  </pic:blipFill>
                  <pic:spPr bwMode="auto">
                    <a:xfrm>
                      <a:off x="0" y="0"/>
                      <a:ext cx="3305175" cy="3867150"/>
                    </a:xfrm>
                    <a:prstGeom prst="rect">
                      <a:avLst/>
                    </a:prstGeom>
                    <a:noFill/>
                    <a:ln w="9525">
                      <a:noFill/>
                      <a:miter lim="800000"/>
                      <a:headEnd/>
                      <a:tailEnd/>
                    </a:ln>
                  </pic:spPr>
                </pic:pic>
              </a:graphicData>
            </a:graphic>
          </wp:inline>
        </w:drawing>
      </w:r>
    </w:p>
    <w:p w:rsidR="003C756C" w:rsidRPr="00B6647E" w:rsidRDefault="003C756C" w:rsidP="003C756C">
      <w:pPr>
        <w:spacing w:line="240" w:lineRule="auto"/>
        <w:jc w:val="both"/>
        <w:rPr>
          <w:rFonts w:ascii="Arial" w:hAnsi="Arial" w:cs="Arial"/>
          <w:sz w:val="20"/>
          <w:szCs w:val="20"/>
          <w:lang w:eastAsia="fr-FR"/>
        </w:rPr>
      </w:pPr>
      <w:r w:rsidRPr="00B6647E">
        <w:rPr>
          <w:rFonts w:ascii="Arial" w:hAnsi="Arial" w:cs="Arial"/>
          <w:sz w:val="20"/>
          <w:szCs w:val="20"/>
          <w:lang w:eastAsia="fr-FR"/>
        </w:rPr>
        <w:lastRenderedPageBreak/>
        <w:t>On note que les provinces qui  n’ont pas cultivé du petit pois en culture pure au cours des trois saisons sont au nombre de douze provinces pendant la saison A, huit provinces en saison B et 13 provinces au cours de la saison C.</w:t>
      </w:r>
    </w:p>
    <w:p w:rsidR="0053153C" w:rsidRPr="00B6647E" w:rsidRDefault="0053153C" w:rsidP="00C45DFB">
      <w:pPr>
        <w:spacing w:after="0" w:line="240" w:lineRule="auto"/>
        <w:jc w:val="both"/>
        <w:rPr>
          <w:rFonts w:ascii="Arial" w:hAnsi="Arial" w:cs="Arial"/>
          <w:sz w:val="20"/>
          <w:szCs w:val="20"/>
          <w:lang w:eastAsia="fr-FR"/>
        </w:rPr>
      </w:pPr>
      <w:r w:rsidRPr="00B6647E">
        <w:rPr>
          <w:rFonts w:ascii="Arial" w:hAnsi="Arial" w:cs="Arial"/>
          <w:sz w:val="20"/>
          <w:szCs w:val="20"/>
          <w:lang w:eastAsia="fr-FR"/>
        </w:rPr>
        <w:t>Le pois cajan est une culture peu pratiquée dans le pays. L’enquête n’a pas e</w:t>
      </w:r>
      <w:r w:rsidR="000360B9">
        <w:rPr>
          <w:rFonts w:ascii="Arial" w:hAnsi="Arial" w:cs="Arial"/>
          <w:sz w:val="20"/>
          <w:szCs w:val="20"/>
          <w:lang w:eastAsia="fr-FR"/>
        </w:rPr>
        <w:t xml:space="preserve">nregistré </w:t>
      </w:r>
      <w:r w:rsidRPr="00B6647E">
        <w:rPr>
          <w:rFonts w:ascii="Arial" w:hAnsi="Arial" w:cs="Arial"/>
          <w:sz w:val="20"/>
          <w:szCs w:val="20"/>
          <w:lang w:eastAsia="fr-FR"/>
        </w:rPr>
        <w:t>du pois cajan en culture pure pendant la saison A et les moyennes nationales des rendements enregistrés au cours des autres saisons sont faibles (313 kg/ha en saison B et 297 kg/ha au cours de la saison C).</w:t>
      </w:r>
    </w:p>
    <w:p w:rsidR="003E69E5" w:rsidRPr="00B6647E" w:rsidRDefault="003E69E5" w:rsidP="00C45DFB">
      <w:pPr>
        <w:spacing w:after="0" w:line="240" w:lineRule="auto"/>
        <w:rPr>
          <w:lang w:eastAsia="fr-FR"/>
        </w:rPr>
      </w:pPr>
    </w:p>
    <w:p w:rsidR="003E69E5" w:rsidRPr="00B6647E" w:rsidRDefault="003E69E5" w:rsidP="00C45DFB">
      <w:pPr>
        <w:pStyle w:val="Lgende"/>
        <w:keepNext/>
        <w:jc w:val="both"/>
        <w:rPr>
          <w:rFonts w:ascii="Arial" w:hAnsi="Arial" w:cs="Arial"/>
        </w:rPr>
      </w:pPr>
      <w:r w:rsidRPr="00B6647E">
        <w:rPr>
          <w:rFonts w:ascii="Arial" w:hAnsi="Arial" w:cs="Arial"/>
        </w:rPr>
        <w:t xml:space="preserve">Tableau </w:t>
      </w:r>
      <w:r w:rsidR="00E1150A">
        <w:rPr>
          <w:rFonts w:ascii="Arial" w:hAnsi="Arial" w:cs="Arial"/>
        </w:rPr>
        <w:t>110</w:t>
      </w:r>
      <w:r w:rsidR="00367774" w:rsidRPr="00B6647E">
        <w:rPr>
          <w:rFonts w:ascii="Arial" w:hAnsi="Arial" w:cs="Arial"/>
        </w:rPr>
        <w:t> :</w:t>
      </w:r>
      <w:r w:rsidRPr="00B6647E">
        <w:rPr>
          <w:rFonts w:ascii="Arial" w:hAnsi="Arial" w:cs="Arial"/>
        </w:rPr>
        <w:t xml:space="preserve"> Rendement du pois cajan en culture pure par province pendant les trois saisons</w:t>
      </w:r>
    </w:p>
    <w:p w:rsidR="005400C7" w:rsidRPr="00B6647E" w:rsidRDefault="00954607" w:rsidP="00C45DFB">
      <w:pPr>
        <w:spacing w:after="0" w:line="240" w:lineRule="auto"/>
        <w:rPr>
          <w:lang w:eastAsia="fr-FR"/>
        </w:rPr>
      </w:pPr>
      <w:r w:rsidRPr="00B6647E">
        <w:rPr>
          <w:noProof/>
          <w:lang w:val="fr-FR" w:eastAsia="fr-FR"/>
        </w:rPr>
        <w:drawing>
          <wp:inline distT="0" distB="0" distL="0" distR="0">
            <wp:extent cx="3305175" cy="3867150"/>
            <wp:effectExtent l="19050" t="0" r="9525" b="0"/>
            <wp:docPr id="418"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3" cstate="print"/>
                    <a:srcRect/>
                    <a:stretch>
                      <a:fillRect/>
                    </a:stretch>
                  </pic:blipFill>
                  <pic:spPr bwMode="auto">
                    <a:xfrm>
                      <a:off x="0" y="0"/>
                      <a:ext cx="3305175" cy="3867150"/>
                    </a:xfrm>
                    <a:prstGeom prst="rect">
                      <a:avLst/>
                    </a:prstGeom>
                    <a:noFill/>
                    <a:ln w="9525">
                      <a:noFill/>
                      <a:miter lim="800000"/>
                      <a:headEnd/>
                      <a:tailEnd/>
                    </a:ln>
                  </pic:spPr>
                </pic:pic>
              </a:graphicData>
            </a:graphic>
          </wp:inline>
        </w:drawing>
      </w:r>
    </w:p>
    <w:p w:rsidR="000552AE" w:rsidRPr="00B6647E" w:rsidRDefault="000552AE" w:rsidP="00FD5448">
      <w:pPr>
        <w:pStyle w:val="Titre3"/>
        <w:keepNext w:val="0"/>
        <w:numPr>
          <w:ilvl w:val="2"/>
          <w:numId w:val="1"/>
        </w:numPr>
        <w:spacing w:before="200" w:after="120"/>
        <w:ind w:left="0" w:firstLine="0"/>
        <w:rPr>
          <w:rFonts w:cs="Arial"/>
          <w:szCs w:val="20"/>
        </w:rPr>
      </w:pPr>
      <w:bookmarkStart w:id="235" w:name="_Toc354313882"/>
      <w:r w:rsidRPr="00B6647E">
        <w:rPr>
          <w:rFonts w:cs="Arial"/>
          <w:szCs w:val="20"/>
        </w:rPr>
        <w:t>Productions</w:t>
      </w:r>
      <w:bookmarkEnd w:id="235"/>
    </w:p>
    <w:p w:rsidR="00A53539" w:rsidRPr="00B6647E" w:rsidRDefault="00422374" w:rsidP="00C45DFB">
      <w:pPr>
        <w:spacing w:after="120" w:line="240" w:lineRule="auto"/>
        <w:jc w:val="both"/>
        <w:rPr>
          <w:rFonts w:ascii="Arial" w:hAnsi="Arial" w:cs="Arial"/>
          <w:sz w:val="20"/>
          <w:szCs w:val="20"/>
          <w:lang w:eastAsia="fr-FR"/>
        </w:rPr>
      </w:pPr>
      <w:r w:rsidRPr="00B6647E">
        <w:rPr>
          <w:rFonts w:ascii="Arial" w:hAnsi="Arial" w:cs="Arial"/>
          <w:sz w:val="20"/>
          <w:szCs w:val="20"/>
          <w:lang w:eastAsia="fr-FR"/>
        </w:rPr>
        <w:t>La production totale de légumineuse</w:t>
      </w:r>
      <w:r w:rsidR="00A25522" w:rsidRPr="00B6647E">
        <w:rPr>
          <w:rFonts w:ascii="Arial" w:hAnsi="Arial" w:cs="Arial"/>
          <w:sz w:val="20"/>
          <w:szCs w:val="20"/>
          <w:lang w:eastAsia="fr-FR"/>
        </w:rPr>
        <w:t>s</w:t>
      </w:r>
      <w:r w:rsidRPr="00B6647E">
        <w:rPr>
          <w:rFonts w:ascii="Arial" w:hAnsi="Arial" w:cs="Arial"/>
          <w:sz w:val="20"/>
          <w:szCs w:val="20"/>
          <w:lang w:eastAsia="fr-FR"/>
        </w:rPr>
        <w:t xml:space="preserve"> pendant la campagne agricole 2011-2012 est estimée à 236.657 tonnes composées de 59.330 tonnes de la saison A (</w:t>
      </w:r>
      <w:r w:rsidR="00A61C5D" w:rsidRPr="00B6647E">
        <w:rPr>
          <w:rFonts w:ascii="Arial" w:hAnsi="Arial" w:cs="Arial"/>
          <w:sz w:val="20"/>
          <w:szCs w:val="20"/>
          <w:lang w:eastAsia="fr-FR"/>
        </w:rPr>
        <w:t>25,1%)</w:t>
      </w:r>
      <w:r w:rsidRPr="00B6647E">
        <w:rPr>
          <w:rFonts w:ascii="Arial" w:hAnsi="Arial" w:cs="Arial"/>
          <w:sz w:val="20"/>
          <w:szCs w:val="20"/>
          <w:lang w:eastAsia="fr-FR"/>
        </w:rPr>
        <w:t>, 160.583 tonnes de la saison B</w:t>
      </w:r>
      <w:r w:rsidR="00A61C5D" w:rsidRPr="00B6647E">
        <w:rPr>
          <w:rFonts w:ascii="Arial" w:hAnsi="Arial" w:cs="Arial"/>
          <w:sz w:val="20"/>
          <w:szCs w:val="20"/>
          <w:lang w:eastAsia="fr-FR"/>
        </w:rPr>
        <w:t xml:space="preserve"> (67,</w:t>
      </w:r>
      <w:r w:rsidR="00B312AE" w:rsidRPr="00B6647E">
        <w:rPr>
          <w:rFonts w:ascii="Arial" w:hAnsi="Arial" w:cs="Arial"/>
          <w:sz w:val="20"/>
          <w:szCs w:val="20"/>
          <w:lang w:eastAsia="fr-FR"/>
        </w:rPr>
        <w:t>8</w:t>
      </w:r>
      <w:r w:rsidR="00A61C5D" w:rsidRPr="00B6647E">
        <w:rPr>
          <w:rFonts w:ascii="Arial" w:hAnsi="Arial" w:cs="Arial"/>
          <w:sz w:val="20"/>
          <w:szCs w:val="20"/>
          <w:lang w:eastAsia="fr-FR"/>
        </w:rPr>
        <w:t>%)</w:t>
      </w:r>
      <w:r w:rsidRPr="00B6647E">
        <w:rPr>
          <w:rFonts w:ascii="Arial" w:hAnsi="Arial" w:cs="Arial"/>
          <w:sz w:val="20"/>
          <w:szCs w:val="20"/>
          <w:lang w:eastAsia="fr-FR"/>
        </w:rPr>
        <w:t xml:space="preserve"> et 16.745 tonnes produites au cours de la saison C</w:t>
      </w:r>
      <w:r w:rsidR="00A61C5D" w:rsidRPr="00B6647E">
        <w:rPr>
          <w:rFonts w:ascii="Arial" w:hAnsi="Arial" w:cs="Arial"/>
          <w:sz w:val="20"/>
          <w:szCs w:val="20"/>
          <w:lang w:eastAsia="fr-FR"/>
        </w:rPr>
        <w:t xml:space="preserve"> (7,1%)</w:t>
      </w:r>
      <w:r w:rsidR="00A53539" w:rsidRPr="00B6647E">
        <w:rPr>
          <w:rFonts w:ascii="Arial" w:hAnsi="Arial" w:cs="Arial"/>
          <w:sz w:val="20"/>
          <w:szCs w:val="20"/>
          <w:lang w:eastAsia="fr-FR"/>
        </w:rPr>
        <w:t>.</w:t>
      </w:r>
    </w:p>
    <w:p w:rsidR="00422374" w:rsidRPr="00B6647E" w:rsidRDefault="00A61C5D" w:rsidP="00C45DFB">
      <w:pPr>
        <w:spacing w:after="120" w:line="240" w:lineRule="auto"/>
        <w:jc w:val="both"/>
        <w:rPr>
          <w:rFonts w:ascii="Arial" w:hAnsi="Arial" w:cs="Arial"/>
          <w:sz w:val="20"/>
          <w:szCs w:val="20"/>
          <w:lang w:eastAsia="fr-FR"/>
        </w:rPr>
      </w:pPr>
      <w:r w:rsidRPr="00B6647E">
        <w:rPr>
          <w:rFonts w:ascii="Arial" w:hAnsi="Arial" w:cs="Arial"/>
          <w:sz w:val="20"/>
          <w:szCs w:val="20"/>
          <w:lang w:eastAsia="fr-FR"/>
        </w:rPr>
        <w:t>Cette production est constituée de 125.982 tonnes de haricot de haricot nain (</w:t>
      </w:r>
      <w:r w:rsidR="00A53539" w:rsidRPr="00B6647E">
        <w:rPr>
          <w:rFonts w:ascii="Arial" w:hAnsi="Arial" w:cs="Arial"/>
          <w:sz w:val="20"/>
          <w:szCs w:val="20"/>
          <w:lang w:eastAsia="fr-FR"/>
        </w:rPr>
        <w:t>53,2%</w:t>
      </w:r>
      <w:r w:rsidRPr="00B6647E">
        <w:rPr>
          <w:rFonts w:ascii="Arial" w:hAnsi="Arial" w:cs="Arial"/>
          <w:sz w:val="20"/>
          <w:szCs w:val="20"/>
          <w:lang w:eastAsia="fr-FR"/>
        </w:rPr>
        <w:t>), de 79.962 tonnes de haricot volubile (</w:t>
      </w:r>
      <w:r w:rsidR="00A53539" w:rsidRPr="00B6647E">
        <w:rPr>
          <w:rFonts w:ascii="Arial" w:hAnsi="Arial" w:cs="Arial"/>
          <w:sz w:val="20"/>
          <w:szCs w:val="20"/>
          <w:lang w:eastAsia="fr-FR"/>
        </w:rPr>
        <w:t>33,8%</w:t>
      </w:r>
      <w:r w:rsidRPr="00B6647E">
        <w:rPr>
          <w:rFonts w:ascii="Arial" w:hAnsi="Arial" w:cs="Arial"/>
          <w:sz w:val="20"/>
          <w:szCs w:val="20"/>
          <w:lang w:eastAsia="fr-FR"/>
        </w:rPr>
        <w:t>), de 5.859 tonnes de niébé</w:t>
      </w:r>
      <w:r w:rsidR="00A53539" w:rsidRPr="00B6647E">
        <w:rPr>
          <w:rFonts w:ascii="Arial" w:hAnsi="Arial" w:cs="Arial"/>
          <w:sz w:val="20"/>
          <w:szCs w:val="20"/>
          <w:lang w:eastAsia="fr-FR"/>
        </w:rPr>
        <w:t xml:space="preserve"> (2,5%)</w:t>
      </w:r>
      <w:r w:rsidRPr="00B6647E">
        <w:rPr>
          <w:rFonts w:ascii="Arial" w:hAnsi="Arial" w:cs="Arial"/>
          <w:sz w:val="20"/>
          <w:szCs w:val="20"/>
          <w:lang w:eastAsia="fr-FR"/>
        </w:rPr>
        <w:t>, 16.719 tonnes de petit pois (</w:t>
      </w:r>
      <w:r w:rsidR="00A53539" w:rsidRPr="00B6647E">
        <w:rPr>
          <w:rFonts w:ascii="Arial" w:hAnsi="Arial" w:cs="Arial"/>
          <w:sz w:val="20"/>
          <w:szCs w:val="20"/>
          <w:lang w:eastAsia="fr-FR"/>
        </w:rPr>
        <w:t>7,1</w:t>
      </w:r>
      <w:r w:rsidR="00B312AE" w:rsidRPr="00B6647E">
        <w:rPr>
          <w:rFonts w:ascii="Arial" w:hAnsi="Arial" w:cs="Arial"/>
          <w:sz w:val="20"/>
          <w:szCs w:val="20"/>
          <w:lang w:eastAsia="fr-FR"/>
        </w:rPr>
        <w:t>%)</w:t>
      </w:r>
      <w:r w:rsidRPr="00B6647E">
        <w:rPr>
          <w:rFonts w:ascii="Arial" w:hAnsi="Arial" w:cs="Arial"/>
          <w:sz w:val="20"/>
          <w:szCs w:val="20"/>
          <w:lang w:eastAsia="fr-FR"/>
        </w:rPr>
        <w:t xml:space="preserve"> et de 8.135 tonne de pois </w:t>
      </w:r>
      <w:r w:rsidR="00A53539" w:rsidRPr="00B6647E">
        <w:rPr>
          <w:rFonts w:ascii="Arial" w:hAnsi="Arial" w:cs="Arial"/>
          <w:sz w:val="20"/>
          <w:szCs w:val="20"/>
          <w:lang w:eastAsia="fr-FR"/>
        </w:rPr>
        <w:t>cajan (3</w:t>
      </w:r>
      <w:r w:rsidR="00B312AE" w:rsidRPr="00B6647E">
        <w:rPr>
          <w:rFonts w:ascii="Arial" w:hAnsi="Arial" w:cs="Arial"/>
          <w:sz w:val="20"/>
          <w:szCs w:val="20"/>
          <w:lang w:eastAsia="fr-FR"/>
        </w:rPr>
        <w:t>,</w:t>
      </w:r>
      <w:r w:rsidR="00A53539" w:rsidRPr="00B6647E">
        <w:rPr>
          <w:rFonts w:ascii="Arial" w:hAnsi="Arial" w:cs="Arial"/>
          <w:sz w:val="20"/>
          <w:szCs w:val="20"/>
          <w:lang w:eastAsia="fr-FR"/>
        </w:rPr>
        <w:t>4%</w:t>
      </w:r>
      <w:r w:rsidRPr="00B6647E">
        <w:rPr>
          <w:rFonts w:ascii="Arial" w:hAnsi="Arial" w:cs="Arial"/>
          <w:sz w:val="20"/>
          <w:szCs w:val="20"/>
          <w:lang w:eastAsia="fr-FR"/>
        </w:rPr>
        <w:t>).</w:t>
      </w:r>
    </w:p>
    <w:p w:rsidR="003C756C" w:rsidRPr="00B6647E" w:rsidRDefault="003C756C">
      <w:pPr>
        <w:rPr>
          <w:rFonts w:ascii="Arial" w:hAnsi="Arial" w:cs="Arial"/>
          <w:b/>
          <w:sz w:val="20"/>
          <w:szCs w:val="20"/>
          <w:lang w:eastAsia="fr-FR"/>
        </w:rPr>
      </w:pPr>
      <w:r w:rsidRPr="00B6647E">
        <w:rPr>
          <w:rFonts w:ascii="Arial" w:hAnsi="Arial" w:cs="Arial"/>
          <w:b/>
          <w:sz w:val="20"/>
          <w:szCs w:val="20"/>
          <w:lang w:eastAsia="fr-FR"/>
        </w:rPr>
        <w:br w:type="page"/>
      </w:r>
    </w:p>
    <w:p w:rsidR="00422374" w:rsidRPr="00B6647E" w:rsidRDefault="00A25522" w:rsidP="00C45DFB">
      <w:pPr>
        <w:spacing w:after="120" w:line="240" w:lineRule="auto"/>
        <w:jc w:val="both"/>
        <w:rPr>
          <w:rFonts w:ascii="Arial" w:hAnsi="Arial" w:cs="Arial"/>
          <w:b/>
          <w:sz w:val="20"/>
          <w:szCs w:val="20"/>
          <w:lang w:eastAsia="fr-FR"/>
        </w:rPr>
      </w:pPr>
      <w:r w:rsidRPr="00B6647E">
        <w:rPr>
          <w:rFonts w:ascii="Arial" w:hAnsi="Arial" w:cs="Arial"/>
          <w:b/>
          <w:sz w:val="20"/>
          <w:szCs w:val="20"/>
          <w:lang w:eastAsia="fr-FR"/>
        </w:rPr>
        <w:lastRenderedPageBreak/>
        <w:t xml:space="preserve">Graphique </w:t>
      </w:r>
      <w:r w:rsidR="006F5A28" w:rsidRPr="00B6647E">
        <w:rPr>
          <w:rFonts w:ascii="Arial" w:hAnsi="Arial" w:cs="Arial"/>
          <w:b/>
          <w:sz w:val="20"/>
          <w:szCs w:val="20"/>
          <w:lang w:eastAsia="fr-FR"/>
        </w:rPr>
        <w:t>1</w:t>
      </w:r>
      <w:r w:rsidR="007F30DD">
        <w:rPr>
          <w:rFonts w:ascii="Arial" w:hAnsi="Arial" w:cs="Arial"/>
          <w:b/>
          <w:sz w:val="20"/>
          <w:szCs w:val="20"/>
          <w:lang w:eastAsia="fr-FR"/>
        </w:rPr>
        <w:t>7</w:t>
      </w:r>
      <w:r w:rsidRPr="00B6647E">
        <w:rPr>
          <w:rFonts w:ascii="Arial" w:hAnsi="Arial" w:cs="Arial"/>
          <w:b/>
          <w:sz w:val="20"/>
          <w:szCs w:val="20"/>
          <w:lang w:eastAsia="fr-FR"/>
        </w:rPr>
        <w:t xml:space="preserve"> : Production de légumineuses par </w:t>
      </w:r>
      <w:r w:rsidR="00C73CF3" w:rsidRPr="00B6647E">
        <w:rPr>
          <w:rFonts w:ascii="Arial" w:hAnsi="Arial" w:cs="Arial"/>
          <w:b/>
          <w:sz w:val="20"/>
          <w:szCs w:val="20"/>
          <w:lang w:eastAsia="fr-FR"/>
        </w:rPr>
        <w:t>région naturelle</w:t>
      </w:r>
      <w:r w:rsidRPr="00B6647E">
        <w:rPr>
          <w:rFonts w:ascii="Arial" w:hAnsi="Arial" w:cs="Arial"/>
          <w:b/>
          <w:sz w:val="20"/>
          <w:szCs w:val="20"/>
          <w:lang w:eastAsia="fr-FR"/>
        </w:rPr>
        <w:t xml:space="preserve"> (tonnes)</w:t>
      </w:r>
    </w:p>
    <w:p w:rsidR="00A25522" w:rsidRPr="00B6647E" w:rsidRDefault="00A25522" w:rsidP="00C45DFB">
      <w:pPr>
        <w:spacing w:after="120" w:line="240" w:lineRule="auto"/>
        <w:jc w:val="both"/>
        <w:rPr>
          <w:rFonts w:ascii="Arial" w:hAnsi="Arial" w:cs="Arial"/>
          <w:sz w:val="20"/>
          <w:szCs w:val="20"/>
          <w:lang w:eastAsia="fr-FR"/>
        </w:rPr>
      </w:pPr>
      <w:r w:rsidRPr="00B6647E">
        <w:rPr>
          <w:noProof/>
          <w:szCs w:val="20"/>
          <w:lang w:val="fr-FR" w:eastAsia="fr-FR"/>
        </w:rPr>
        <w:drawing>
          <wp:inline distT="0" distB="0" distL="0" distR="0">
            <wp:extent cx="5711899" cy="3234927"/>
            <wp:effectExtent l="19050" t="0" r="3101" b="0"/>
            <wp:docPr id="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cstate="print"/>
                    <a:srcRect/>
                    <a:stretch>
                      <a:fillRect/>
                    </a:stretch>
                  </pic:blipFill>
                  <pic:spPr bwMode="auto">
                    <a:xfrm>
                      <a:off x="0" y="0"/>
                      <a:ext cx="5710555" cy="3234166"/>
                    </a:xfrm>
                    <a:prstGeom prst="rect">
                      <a:avLst/>
                    </a:prstGeom>
                    <a:noFill/>
                    <a:ln w="9525">
                      <a:noFill/>
                      <a:miter lim="800000"/>
                      <a:headEnd/>
                      <a:tailEnd/>
                    </a:ln>
                  </pic:spPr>
                </pic:pic>
              </a:graphicData>
            </a:graphic>
          </wp:inline>
        </w:drawing>
      </w:r>
    </w:p>
    <w:p w:rsidR="00422374" w:rsidRPr="00B6647E" w:rsidRDefault="00422374" w:rsidP="00FD5448">
      <w:pPr>
        <w:pStyle w:val="Paragraphedeliste"/>
        <w:spacing w:before="200" w:after="120" w:line="240" w:lineRule="auto"/>
        <w:ind w:left="0"/>
        <w:contextualSpacing w:val="0"/>
        <w:rPr>
          <w:rFonts w:ascii="Arial" w:hAnsi="Arial" w:cs="Arial"/>
          <w:b/>
          <w:sz w:val="20"/>
          <w:szCs w:val="20"/>
        </w:rPr>
      </w:pPr>
      <w:r w:rsidRPr="00B6647E">
        <w:rPr>
          <w:rFonts w:ascii="Arial" w:hAnsi="Arial" w:cs="Arial"/>
          <w:b/>
          <w:sz w:val="20"/>
          <w:szCs w:val="20"/>
        </w:rPr>
        <w:t>a) Productions des légumineuses dans les régions naturelles</w:t>
      </w:r>
    </w:p>
    <w:p w:rsidR="00CD2881" w:rsidRPr="00B6647E" w:rsidRDefault="00CD2881" w:rsidP="00C45DFB">
      <w:pPr>
        <w:pStyle w:val="Paragraphedeliste"/>
        <w:spacing w:before="120" w:after="120" w:line="240" w:lineRule="auto"/>
        <w:ind w:left="0"/>
        <w:contextualSpacing w:val="0"/>
        <w:jc w:val="both"/>
        <w:rPr>
          <w:rFonts w:ascii="Arial" w:hAnsi="Arial" w:cs="Arial"/>
          <w:sz w:val="20"/>
          <w:szCs w:val="20"/>
        </w:rPr>
      </w:pPr>
      <w:r w:rsidRPr="00B6647E">
        <w:rPr>
          <w:rFonts w:ascii="Arial" w:hAnsi="Arial" w:cs="Arial"/>
          <w:sz w:val="20"/>
          <w:szCs w:val="20"/>
        </w:rPr>
        <w:t>La production des légumineuses au cours de la saison B estimée à 160.583 tonnes  représente 67,8% de l’ensemble de la production des légumineuses de la campagne agricole.</w:t>
      </w:r>
    </w:p>
    <w:p w:rsidR="00422374" w:rsidRPr="00B6647E" w:rsidRDefault="00B5714F" w:rsidP="00C45DFB">
      <w:pPr>
        <w:pStyle w:val="Paragraphedeliste"/>
        <w:spacing w:before="120" w:after="120" w:line="240" w:lineRule="auto"/>
        <w:ind w:left="0"/>
        <w:contextualSpacing w:val="0"/>
        <w:jc w:val="both"/>
        <w:rPr>
          <w:rFonts w:ascii="Arial" w:hAnsi="Arial" w:cs="Arial"/>
          <w:sz w:val="20"/>
          <w:szCs w:val="20"/>
        </w:rPr>
      </w:pPr>
      <w:r w:rsidRPr="00B6647E">
        <w:rPr>
          <w:rFonts w:ascii="Arial" w:hAnsi="Arial" w:cs="Arial"/>
          <w:sz w:val="20"/>
          <w:szCs w:val="20"/>
        </w:rPr>
        <w:t>La</w:t>
      </w:r>
      <w:r w:rsidR="00CD2881" w:rsidRPr="00B6647E">
        <w:rPr>
          <w:rFonts w:ascii="Arial" w:hAnsi="Arial" w:cs="Arial"/>
          <w:sz w:val="20"/>
          <w:szCs w:val="20"/>
        </w:rPr>
        <w:t xml:space="preserve"> région naturelle de Kirimiro </w:t>
      </w:r>
      <w:r w:rsidRPr="00B6647E">
        <w:rPr>
          <w:rFonts w:ascii="Arial" w:hAnsi="Arial" w:cs="Arial"/>
          <w:sz w:val="20"/>
          <w:szCs w:val="20"/>
        </w:rPr>
        <w:t>a eu la plus grande production de légumineuses de toute la campagne agricole 2011-2012 (60.785 tonnes, soit 25,7% du total des trois saisons). Viennent ensuite dans l’ordre Buyenzi (33.405 tonnes (14,1%), Bugesera (29.197 tonnes, soit 12,3%), Bweru (24.097 tonnes, soit 10,2%). Les plus faibles productions ont été enregistrées dans les régions de Buragane (3.804 tonnes, soit 1,6%) et Bututsi (6.282 tonnes, soit 2,7%).</w:t>
      </w:r>
    </w:p>
    <w:p w:rsidR="00E52C5E" w:rsidRPr="00B6647E" w:rsidRDefault="00E725C5" w:rsidP="00C45DFB">
      <w:pPr>
        <w:spacing w:after="0" w:line="240" w:lineRule="auto"/>
        <w:rPr>
          <w:rFonts w:ascii="Arial" w:hAnsi="Arial" w:cs="Arial"/>
          <w:b/>
          <w:sz w:val="20"/>
          <w:szCs w:val="20"/>
          <w:lang w:eastAsia="fr-FR"/>
        </w:rPr>
      </w:pPr>
      <w:r w:rsidRPr="00B6647E">
        <w:rPr>
          <w:rFonts w:ascii="Arial" w:hAnsi="Arial" w:cs="Arial"/>
          <w:b/>
          <w:sz w:val="20"/>
          <w:szCs w:val="20"/>
          <w:lang w:eastAsia="fr-FR"/>
        </w:rPr>
        <w:t xml:space="preserve">Tableau </w:t>
      </w:r>
      <w:r w:rsidR="00367774" w:rsidRPr="00B6647E">
        <w:rPr>
          <w:rFonts w:ascii="Arial" w:hAnsi="Arial" w:cs="Arial"/>
          <w:b/>
          <w:sz w:val="20"/>
          <w:szCs w:val="20"/>
          <w:lang w:eastAsia="fr-FR"/>
        </w:rPr>
        <w:t>1</w:t>
      </w:r>
      <w:r w:rsidR="00E1150A">
        <w:rPr>
          <w:rFonts w:ascii="Arial" w:hAnsi="Arial" w:cs="Arial"/>
          <w:b/>
          <w:sz w:val="20"/>
          <w:szCs w:val="20"/>
          <w:lang w:eastAsia="fr-FR"/>
        </w:rPr>
        <w:t>11</w:t>
      </w:r>
      <w:r w:rsidRPr="00B6647E">
        <w:rPr>
          <w:rFonts w:ascii="Arial" w:hAnsi="Arial" w:cs="Arial"/>
          <w:b/>
          <w:sz w:val="20"/>
          <w:szCs w:val="20"/>
          <w:lang w:eastAsia="fr-FR"/>
        </w:rPr>
        <w:t xml:space="preserve"> : </w:t>
      </w:r>
      <w:r w:rsidR="00E52C5E" w:rsidRPr="00B6647E">
        <w:rPr>
          <w:rFonts w:ascii="Arial" w:hAnsi="Arial" w:cs="Arial"/>
          <w:b/>
          <w:sz w:val="20"/>
          <w:szCs w:val="20"/>
          <w:lang w:eastAsia="fr-FR"/>
        </w:rPr>
        <w:t>Production totale des légumineuses par région et par saison</w:t>
      </w:r>
    </w:p>
    <w:p w:rsidR="00E725C5" w:rsidRPr="00B6647E" w:rsidRDefault="002B2638" w:rsidP="00125A22">
      <w:pPr>
        <w:spacing w:before="120" w:after="120" w:line="240" w:lineRule="auto"/>
        <w:jc w:val="both"/>
        <w:rPr>
          <w:rFonts w:ascii="Arial" w:hAnsi="Arial" w:cs="Arial"/>
          <w:lang w:eastAsia="fr-FR"/>
        </w:rPr>
      </w:pPr>
      <w:r w:rsidRPr="00B6647E">
        <w:rPr>
          <w:noProof/>
          <w:lang w:val="fr-FR" w:eastAsia="fr-FR"/>
        </w:rPr>
        <w:drawing>
          <wp:inline distT="0" distB="0" distL="0" distR="0">
            <wp:extent cx="4181475" cy="2914650"/>
            <wp:effectExtent l="19050" t="0" r="9525" b="0"/>
            <wp:docPr id="419"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5" cstate="print"/>
                    <a:srcRect/>
                    <a:stretch>
                      <a:fillRect/>
                    </a:stretch>
                  </pic:blipFill>
                  <pic:spPr bwMode="auto">
                    <a:xfrm>
                      <a:off x="0" y="0"/>
                      <a:ext cx="4181475" cy="2914650"/>
                    </a:xfrm>
                    <a:prstGeom prst="rect">
                      <a:avLst/>
                    </a:prstGeom>
                    <a:noFill/>
                    <a:ln w="9525">
                      <a:noFill/>
                      <a:miter lim="800000"/>
                      <a:headEnd/>
                      <a:tailEnd/>
                    </a:ln>
                  </pic:spPr>
                </pic:pic>
              </a:graphicData>
            </a:graphic>
          </wp:inline>
        </w:drawing>
      </w:r>
    </w:p>
    <w:p w:rsidR="00E725C5" w:rsidRPr="00B6647E" w:rsidRDefault="00B5714F" w:rsidP="00DA0026">
      <w:pPr>
        <w:spacing w:line="240" w:lineRule="auto"/>
        <w:jc w:val="both"/>
        <w:rPr>
          <w:rFonts w:ascii="Arial" w:hAnsi="Arial" w:cs="Arial"/>
          <w:sz w:val="20"/>
          <w:szCs w:val="20"/>
          <w:lang w:eastAsia="fr-FR"/>
        </w:rPr>
      </w:pPr>
      <w:r w:rsidRPr="00B6647E">
        <w:rPr>
          <w:rFonts w:ascii="Arial" w:hAnsi="Arial" w:cs="Arial"/>
          <w:sz w:val="20"/>
          <w:szCs w:val="20"/>
          <w:lang w:eastAsia="fr-FR"/>
        </w:rPr>
        <w:t xml:space="preserve">La production de haricot </w:t>
      </w:r>
      <w:r w:rsidR="009B7F41" w:rsidRPr="00B6647E">
        <w:rPr>
          <w:rFonts w:ascii="Arial" w:hAnsi="Arial" w:cs="Arial"/>
          <w:sz w:val="20"/>
          <w:szCs w:val="20"/>
          <w:lang w:eastAsia="fr-FR"/>
        </w:rPr>
        <w:t xml:space="preserve">(nain et volubile) qui est estimée à </w:t>
      </w:r>
      <w:r w:rsidR="00FD33E3" w:rsidRPr="00B6647E">
        <w:rPr>
          <w:rFonts w:ascii="Arial" w:hAnsi="Arial" w:cs="Arial"/>
          <w:sz w:val="20"/>
          <w:szCs w:val="20"/>
          <w:lang w:eastAsia="fr-FR"/>
        </w:rPr>
        <w:t>205.944 tonnes représente</w:t>
      </w:r>
      <w:r w:rsidRPr="00B6647E">
        <w:rPr>
          <w:rFonts w:ascii="Arial" w:hAnsi="Arial" w:cs="Arial"/>
          <w:sz w:val="20"/>
          <w:szCs w:val="20"/>
          <w:lang w:eastAsia="fr-FR"/>
        </w:rPr>
        <w:t xml:space="preserve"> </w:t>
      </w:r>
      <w:r w:rsidR="00FD33E3" w:rsidRPr="00B6647E">
        <w:rPr>
          <w:rFonts w:ascii="Arial" w:hAnsi="Arial" w:cs="Arial"/>
          <w:sz w:val="20"/>
          <w:szCs w:val="20"/>
          <w:lang w:eastAsia="fr-FR"/>
        </w:rPr>
        <w:t xml:space="preserve">87% de l’ensemble de la production des légumineuses des trois saisons. </w:t>
      </w:r>
      <w:r w:rsidR="00DF3E02" w:rsidRPr="00B6647E">
        <w:rPr>
          <w:rFonts w:ascii="Arial" w:hAnsi="Arial" w:cs="Arial"/>
          <w:sz w:val="20"/>
          <w:szCs w:val="20"/>
          <w:lang w:eastAsia="fr-FR"/>
        </w:rPr>
        <w:t>Le haricot</w:t>
      </w:r>
      <w:r w:rsidR="00FD33E3" w:rsidRPr="00B6647E">
        <w:rPr>
          <w:rFonts w:ascii="Arial" w:hAnsi="Arial" w:cs="Arial"/>
          <w:sz w:val="20"/>
          <w:szCs w:val="20"/>
          <w:lang w:eastAsia="fr-FR"/>
        </w:rPr>
        <w:t xml:space="preserve"> a été essentiellement produite au cours de la saison B (140.005 tonnes, soit</w:t>
      </w:r>
      <w:r w:rsidR="000360B9">
        <w:rPr>
          <w:rFonts w:ascii="Arial" w:hAnsi="Arial" w:cs="Arial"/>
          <w:sz w:val="20"/>
          <w:szCs w:val="20"/>
          <w:lang w:eastAsia="fr-FR"/>
        </w:rPr>
        <w:t xml:space="preserve"> </w:t>
      </w:r>
      <w:r w:rsidR="00FD33E3" w:rsidRPr="00B6647E">
        <w:rPr>
          <w:rFonts w:ascii="Arial" w:hAnsi="Arial" w:cs="Arial"/>
          <w:sz w:val="20"/>
          <w:szCs w:val="20"/>
          <w:lang w:eastAsia="fr-FR"/>
        </w:rPr>
        <w:t xml:space="preserve">68% de la production </w:t>
      </w:r>
      <w:r w:rsidR="00DF3E02" w:rsidRPr="00B6647E">
        <w:rPr>
          <w:rFonts w:ascii="Arial" w:hAnsi="Arial" w:cs="Arial"/>
          <w:sz w:val="20"/>
          <w:szCs w:val="20"/>
          <w:lang w:eastAsia="fr-FR"/>
        </w:rPr>
        <w:t xml:space="preserve">totale </w:t>
      </w:r>
      <w:r w:rsidR="00FD33E3" w:rsidRPr="00B6647E">
        <w:rPr>
          <w:rFonts w:ascii="Arial" w:hAnsi="Arial" w:cs="Arial"/>
          <w:sz w:val="20"/>
          <w:szCs w:val="20"/>
          <w:lang w:eastAsia="fr-FR"/>
        </w:rPr>
        <w:t>de haricot</w:t>
      </w:r>
      <w:r w:rsidR="00DF3E02" w:rsidRPr="00B6647E">
        <w:rPr>
          <w:rFonts w:ascii="Arial" w:hAnsi="Arial" w:cs="Arial"/>
          <w:sz w:val="20"/>
          <w:szCs w:val="20"/>
          <w:lang w:eastAsia="fr-FR"/>
        </w:rPr>
        <w:t xml:space="preserve"> et 59,2% de l’ensemble des légumineuses</w:t>
      </w:r>
      <w:r w:rsidR="00FD33E3" w:rsidRPr="00B6647E">
        <w:rPr>
          <w:rFonts w:ascii="Arial" w:hAnsi="Arial" w:cs="Arial"/>
          <w:sz w:val="20"/>
          <w:szCs w:val="20"/>
          <w:lang w:eastAsia="fr-FR"/>
        </w:rPr>
        <w:t>)</w:t>
      </w:r>
      <w:r w:rsidR="00DF3E02" w:rsidRPr="00B6647E">
        <w:rPr>
          <w:rFonts w:ascii="Arial" w:hAnsi="Arial" w:cs="Arial"/>
          <w:sz w:val="20"/>
          <w:szCs w:val="20"/>
          <w:lang w:eastAsia="fr-FR"/>
        </w:rPr>
        <w:t>.</w:t>
      </w:r>
    </w:p>
    <w:p w:rsidR="00DF3E02" w:rsidRPr="00B6647E" w:rsidRDefault="00DF3E02" w:rsidP="00DA0026">
      <w:pPr>
        <w:spacing w:line="240" w:lineRule="auto"/>
        <w:jc w:val="both"/>
        <w:rPr>
          <w:rFonts w:ascii="Arial" w:hAnsi="Arial" w:cs="Arial"/>
          <w:sz w:val="20"/>
          <w:szCs w:val="20"/>
          <w:lang w:eastAsia="fr-FR"/>
        </w:rPr>
      </w:pPr>
      <w:r w:rsidRPr="00B6647E">
        <w:rPr>
          <w:rFonts w:ascii="Arial" w:hAnsi="Arial" w:cs="Arial"/>
          <w:sz w:val="20"/>
          <w:szCs w:val="20"/>
          <w:lang w:eastAsia="fr-FR"/>
        </w:rPr>
        <w:lastRenderedPageBreak/>
        <w:t xml:space="preserve">Sur la production totale de haricot, </w:t>
      </w:r>
      <w:r w:rsidR="009B7F41" w:rsidRPr="00B6647E">
        <w:rPr>
          <w:rFonts w:ascii="Arial" w:hAnsi="Arial" w:cs="Arial"/>
          <w:sz w:val="20"/>
          <w:szCs w:val="20"/>
          <w:lang w:eastAsia="fr-FR"/>
        </w:rPr>
        <w:t xml:space="preserve">la région naturelle de </w:t>
      </w:r>
      <w:r w:rsidRPr="00B6647E">
        <w:rPr>
          <w:rFonts w:ascii="Arial" w:hAnsi="Arial" w:cs="Arial"/>
          <w:sz w:val="20"/>
          <w:szCs w:val="20"/>
          <w:lang w:eastAsia="fr-FR"/>
        </w:rPr>
        <w:t>Kirimiro a produit 47.648 tonnes (23,1%), Buyenzi en a récolté 30.535 tonnes (14,8%). On a estimé à 28.818 tonnes (14%) la production de Bugesera et à 23.777 tonnes (11,5%) celle de Bweru.</w:t>
      </w:r>
    </w:p>
    <w:p w:rsidR="00E725C5" w:rsidRPr="00B6647E" w:rsidRDefault="00E725C5" w:rsidP="00DA0026">
      <w:pPr>
        <w:spacing w:line="240" w:lineRule="auto"/>
        <w:rPr>
          <w:rFonts w:ascii="Arial" w:hAnsi="Arial" w:cs="Arial"/>
          <w:b/>
          <w:sz w:val="20"/>
          <w:szCs w:val="20"/>
          <w:lang w:eastAsia="fr-FR"/>
        </w:rPr>
      </w:pPr>
      <w:r w:rsidRPr="00B6647E">
        <w:rPr>
          <w:rFonts w:ascii="Arial" w:hAnsi="Arial" w:cs="Arial"/>
          <w:b/>
          <w:sz w:val="20"/>
          <w:szCs w:val="20"/>
          <w:lang w:eastAsia="fr-FR"/>
        </w:rPr>
        <w:t xml:space="preserve">Tableau </w:t>
      </w:r>
      <w:r w:rsidR="00367774" w:rsidRPr="00B6647E">
        <w:rPr>
          <w:rFonts w:ascii="Arial" w:hAnsi="Arial" w:cs="Arial"/>
          <w:b/>
          <w:sz w:val="20"/>
          <w:szCs w:val="20"/>
          <w:lang w:eastAsia="fr-FR"/>
        </w:rPr>
        <w:t>1</w:t>
      </w:r>
      <w:r w:rsidR="00E1150A">
        <w:rPr>
          <w:rFonts w:ascii="Arial" w:hAnsi="Arial" w:cs="Arial"/>
          <w:b/>
          <w:sz w:val="20"/>
          <w:szCs w:val="20"/>
          <w:lang w:eastAsia="fr-FR"/>
        </w:rPr>
        <w:t>12</w:t>
      </w:r>
      <w:r w:rsidRPr="00B6647E">
        <w:rPr>
          <w:rFonts w:ascii="Arial" w:hAnsi="Arial" w:cs="Arial"/>
          <w:b/>
          <w:sz w:val="20"/>
          <w:szCs w:val="20"/>
          <w:lang w:eastAsia="fr-FR"/>
        </w:rPr>
        <w:t> : Production totale de haricot par région et par saison</w:t>
      </w:r>
    </w:p>
    <w:p w:rsidR="00E725C5" w:rsidRPr="00B6647E" w:rsidRDefault="002B2638" w:rsidP="00DA0026">
      <w:pPr>
        <w:spacing w:line="240" w:lineRule="auto"/>
        <w:jc w:val="both"/>
        <w:rPr>
          <w:rFonts w:ascii="Arial" w:hAnsi="Arial" w:cs="Arial"/>
          <w:sz w:val="20"/>
          <w:szCs w:val="20"/>
          <w:lang w:eastAsia="fr-FR"/>
        </w:rPr>
      </w:pPr>
      <w:r w:rsidRPr="00B6647E">
        <w:rPr>
          <w:noProof/>
          <w:szCs w:val="20"/>
          <w:lang w:val="fr-FR" w:eastAsia="fr-FR"/>
        </w:rPr>
        <w:drawing>
          <wp:inline distT="0" distB="0" distL="0" distR="0">
            <wp:extent cx="4181475" cy="2914650"/>
            <wp:effectExtent l="19050" t="0" r="9525" b="0"/>
            <wp:docPr id="420"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6" cstate="print"/>
                    <a:srcRect/>
                    <a:stretch>
                      <a:fillRect/>
                    </a:stretch>
                  </pic:blipFill>
                  <pic:spPr bwMode="auto">
                    <a:xfrm>
                      <a:off x="0" y="0"/>
                      <a:ext cx="4181475" cy="2914650"/>
                    </a:xfrm>
                    <a:prstGeom prst="rect">
                      <a:avLst/>
                    </a:prstGeom>
                    <a:noFill/>
                    <a:ln w="9525">
                      <a:noFill/>
                      <a:miter lim="800000"/>
                      <a:headEnd/>
                      <a:tailEnd/>
                    </a:ln>
                  </pic:spPr>
                </pic:pic>
              </a:graphicData>
            </a:graphic>
          </wp:inline>
        </w:drawing>
      </w:r>
    </w:p>
    <w:p w:rsidR="0022020F" w:rsidRPr="00B6647E" w:rsidRDefault="0022020F" w:rsidP="00DA0026">
      <w:pPr>
        <w:spacing w:line="240" w:lineRule="auto"/>
        <w:jc w:val="both"/>
        <w:rPr>
          <w:rFonts w:ascii="Arial" w:hAnsi="Arial" w:cs="Arial"/>
          <w:sz w:val="20"/>
          <w:szCs w:val="20"/>
          <w:lang w:eastAsia="fr-FR"/>
        </w:rPr>
      </w:pPr>
      <w:r w:rsidRPr="00B6647E">
        <w:rPr>
          <w:rFonts w:ascii="Arial" w:hAnsi="Arial" w:cs="Arial"/>
          <w:sz w:val="20"/>
          <w:szCs w:val="20"/>
          <w:lang w:eastAsia="fr-FR"/>
        </w:rPr>
        <w:t xml:space="preserve">La production totale de haricot nain a été estimée à 125.982 tonnes, soit 61,2% de la production totale de haricot et 53,2% du total des légumineuses de toute la campagne agricole. La saison B a produit 82.589 tonnes de haricot nain, soit 65,6% de l’ensemble du haricot et 34,9% de </w:t>
      </w:r>
      <w:r w:rsidR="004E7E31" w:rsidRPr="00B6647E">
        <w:rPr>
          <w:rFonts w:ascii="Arial" w:hAnsi="Arial" w:cs="Arial"/>
          <w:sz w:val="20"/>
          <w:szCs w:val="20"/>
          <w:lang w:eastAsia="fr-FR"/>
        </w:rPr>
        <w:t>toutes les légumineuses</w:t>
      </w:r>
      <w:r w:rsidRPr="00B6647E">
        <w:rPr>
          <w:rFonts w:ascii="Arial" w:hAnsi="Arial" w:cs="Arial"/>
          <w:sz w:val="20"/>
          <w:szCs w:val="20"/>
          <w:lang w:eastAsia="fr-FR"/>
        </w:rPr>
        <w:t>.</w:t>
      </w:r>
      <w:r w:rsidR="004E7E31" w:rsidRPr="00B6647E">
        <w:rPr>
          <w:rFonts w:ascii="Arial" w:hAnsi="Arial" w:cs="Arial"/>
          <w:sz w:val="20"/>
          <w:szCs w:val="20"/>
          <w:lang w:eastAsia="fr-FR"/>
        </w:rPr>
        <w:t xml:space="preserve"> Les productions de haricot nain les plus élevées ont été enregistrées dans Bugesera (27.731 tonnes, soit 22%), Bweru (19.646 tonnes, soit 15,6%), Kirimiro (19.369 tonnes, soit 15,4%).</w:t>
      </w:r>
    </w:p>
    <w:p w:rsidR="00E725C5" w:rsidRPr="00B6647E" w:rsidRDefault="00E725C5" w:rsidP="00DA0026">
      <w:pPr>
        <w:spacing w:line="240" w:lineRule="auto"/>
        <w:rPr>
          <w:rFonts w:ascii="Arial" w:hAnsi="Arial" w:cs="Arial"/>
          <w:b/>
          <w:sz w:val="20"/>
          <w:szCs w:val="20"/>
          <w:lang w:eastAsia="fr-FR"/>
        </w:rPr>
      </w:pPr>
      <w:r w:rsidRPr="00B6647E">
        <w:rPr>
          <w:rFonts w:ascii="Arial" w:hAnsi="Arial" w:cs="Arial"/>
          <w:b/>
          <w:sz w:val="20"/>
          <w:szCs w:val="20"/>
          <w:lang w:eastAsia="fr-FR"/>
        </w:rPr>
        <w:t xml:space="preserve">Tableau </w:t>
      </w:r>
      <w:r w:rsidR="00367774" w:rsidRPr="00B6647E">
        <w:rPr>
          <w:rFonts w:ascii="Arial" w:hAnsi="Arial" w:cs="Arial"/>
          <w:b/>
          <w:sz w:val="20"/>
          <w:szCs w:val="20"/>
          <w:lang w:eastAsia="fr-FR"/>
        </w:rPr>
        <w:t>1</w:t>
      </w:r>
      <w:r w:rsidR="00E1150A">
        <w:rPr>
          <w:rFonts w:ascii="Arial" w:hAnsi="Arial" w:cs="Arial"/>
          <w:b/>
          <w:sz w:val="20"/>
          <w:szCs w:val="20"/>
          <w:lang w:eastAsia="fr-FR"/>
        </w:rPr>
        <w:t>13</w:t>
      </w:r>
      <w:r w:rsidRPr="00B6647E">
        <w:rPr>
          <w:rFonts w:ascii="Arial" w:hAnsi="Arial" w:cs="Arial"/>
          <w:b/>
          <w:sz w:val="20"/>
          <w:szCs w:val="20"/>
          <w:lang w:eastAsia="fr-FR"/>
        </w:rPr>
        <w:t> : Production totale de haricot nain par région et par saison</w:t>
      </w:r>
    </w:p>
    <w:p w:rsidR="00E725C5" w:rsidRPr="00B6647E" w:rsidRDefault="002B2638" w:rsidP="00DA0026">
      <w:pPr>
        <w:spacing w:line="240" w:lineRule="auto"/>
        <w:rPr>
          <w:lang w:eastAsia="fr-FR"/>
        </w:rPr>
      </w:pPr>
      <w:r w:rsidRPr="00B6647E">
        <w:rPr>
          <w:noProof/>
          <w:lang w:val="fr-FR" w:eastAsia="fr-FR"/>
        </w:rPr>
        <w:drawing>
          <wp:inline distT="0" distB="0" distL="0" distR="0">
            <wp:extent cx="4181475" cy="2914650"/>
            <wp:effectExtent l="19050" t="0" r="9525" b="0"/>
            <wp:docPr id="421"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7" cstate="print"/>
                    <a:srcRect/>
                    <a:stretch>
                      <a:fillRect/>
                    </a:stretch>
                  </pic:blipFill>
                  <pic:spPr bwMode="auto">
                    <a:xfrm>
                      <a:off x="0" y="0"/>
                      <a:ext cx="4181475" cy="2914650"/>
                    </a:xfrm>
                    <a:prstGeom prst="rect">
                      <a:avLst/>
                    </a:prstGeom>
                    <a:noFill/>
                    <a:ln w="9525">
                      <a:noFill/>
                      <a:miter lim="800000"/>
                      <a:headEnd/>
                      <a:tailEnd/>
                    </a:ln>
                  </pic:spPr>
                </pic:pic>
              </a:graphicData>
            </a:graphic>
          </wp:inline>
        </w:drawing>
      </w:r>
    </w:p>
    <w:p w:rsidR="00062B7C" w:rsidRPr="00B6647E" w:rsidRDefault="00CC0F44" w:rsidP="00DA0026">
      <w:pPr>
        <w:spacing w:line="240" w:lineRule="auto"/>
        <w:jc w:val="both"/>
        <w:rPr>
          <w:rFonts w:ascii="Arial" w:hAnsi="Arial" w:cs="Arial"/>
          <w:sz w:val="20"/>
          <w:szCs w:val="20"/>
          <w:lang w:eastAsia="fr-FR"/>
        </w:rPr>
      </w:pPr>
      <w:r w:rsidRPr="00B6647E">
        <w:rPr>
          <w:rFonts w:ascii="Arial" w:hAnsi="Arial" w:cs="Arial"/>
          <w:sz w:val="20"/>
          <w:szCs w:val="20"/>
          <w:lang w:eastAsia="fr-FR"/>
        </w:rPr>
        <w:t xml:space="preserve">La </w:t>
      </w:r>
      <w:r w:rsidR="00062B7C" w:rsidRPr="00B6647E">
        <w:rPr>
          <w:rFonts w:ascii="Arial" w:hAnsi="Arial" w:cs="Arial"/>
          <w:sz w:val="20"/>
          <w:szCs w:val="20"/>
          <w:lang w:eastAsia="fr-FR"/>
        </w:rPr>
        <w:t>production</w:t>
      </w:r>
      <w:r w:rsidRPr="00B6647E">
        <w:rPr>
          <w:rFonts w:ascii="Arial" w:hAnsi="Arial" w:cs="Arial"/>
          <w:sz w:val="20"/>
          <w:szCs w:val="20"/>
          <w:lang w:eastAsia="fr-FR"/>
        </w:rPr>
        <w:t xml:space="preserve"> totale du haricot volubile </w:t>
      </w:r>
      <w:r w:rsidR="00062B7C" w:rsidRPr="00B6647E">
        <w:rPr>
          <w:rFonts w:ascii="Arial" w:hAnsi="Arial" w:cs="Arial"/>
          <w:sz w:val="20"/>
          <w:szCs w:val="20"/>
          <w:lang w:eastAsia="fr-FR"/>
        </w:rPr>
        <w:t>(79</w:t>
      </w:r>
      <w:r w:rsidRPr="00B6647E">
        <w:rPr>
          <w:rFonts w:ascii="Arial" w:hAnsi="Arial" w:cs="Arial"/>
          <w:sz w:val="20"/>
          <w:szCs w:val="20"/>
          <w:lang w:eastAsia="fr-FR"/>
        </w:rPr>
        <w:t>.</w:t>
      </w:r>
      <w:r w:rsidR="00062B7C" w:rsidRPr="00B6647E">
        <w:rPr>
          <w:rFonts w:ascii="Arial" w:hAnsi="Arial" w:cs="Arial"/>
          <w:sz w:val="20"/>
          <w:szCs w:val="20"/>
          <w:lang w:eastAsia="fr-FR"/>
        </w:rPr>
        <w:t>962 tonnes</w:t>
      </w:r>
      <w:r w:rsidRPr="00B6647E">
        <w:rPr>
          <w:rFonts w:ascii="Arial" w:hAnsi="Arial" w:cs="Arial"/>
          <w:sz w:val="20"/>
          <w:szCs w:val="20"/>
          <w:lang w:eastAsia="fr-FR"/>
        </w:rPr>
        <w:t>) représente 3</w:t>
      </w:r>
      <w:r w:rsidR="00062B7C" w:rsidRPr="00B6647E">
        <w:rPr>
          <w:rFonts w:ascii="Arial" w:hAnsi="Arial" w:cs="Arial"/>
          <w:sz w:val="20"/>
          <w:szCs w:val="20"/>
          <w:lang w:eastAsia="fr-FR"/>
        </w:rPr>
        <w:t>8</w:t>
      </w:r>
      <w:r w:rsidRPr="00B6647E">
        <w:rPr>
          <w:rFonts w:ascii="Arial" w:hAnsi="Arial" w:cs="Arial"/>
          <w:sz w:val="20"/>
          <w:szCs w:val="20"/>
          <w:lang w:eastAsia="fr-FR"/>
        </w:rPr>
        <w:t>,</w:t>
      </w:r>
      <w:r w:rsidR="00062B7C" w:rsidRPr="00B6647E">
        <w:rPr>
          <w:rFonts w:ascii="Arial" w:hAnsi="Arial" w:cs="Arial"/>
          <w:sz w:val="20"/>
          <w:szCs w:val="20"/>
          <w:lang w:eastAsia="fr-FR"/>
        </w:rPr>
        <w:t>8</w:t>
      </w:r>
      <w:r w:rsidRPr="00B6647E">
        <w:rPr>
          <w:rFonts w:ascii="Arial" w:hAnsi="Arial" w:cs="Arial"/>
          <w:sz w:val="20"/>
          <w:szCs w:val="20"/>
          <w:lang w:eastAsia="fr-FR"/>
        </w:rPr>
        <w:t xml:space="preserve">% de la </w:t>
      </w:r>
      <w:r w:rsidR="00062B7C" w:rsidRPr="00B6647E">
        <w:rPr>
          <w:rFonts w:ascii="Arial" w:hAnsi="Arial" w:cs="Arial"/>
          <w:sz w:val="20"/>
          <w:szCs w:val="20"/>
          <w:lang w:eastAsia="fr-FR"/>
        </w:rPr>
        <w:t>production</w:t>
      </w:r>
      <w:r w:rsidRPr="00B6647E">
        <w:rPr>
          <w:rFonts w:ascii="Arial" w:hAnsi="Arial" w:cs="Arial"/>
          <w:sz w:val="20"/>
          <w:szCs w:val="20"/>
          <w:lang w:eastAsia="fr-FR"/>
        </w:rPr>
        <w:t xml:space="preserve"> totale du haricot (nain et volubile) et </w:t>
      </w:r>
      <w:r w:rsidR="00062B7C" w:rsidRPr="00B6647E">
        <w:rPr>
          <w:rFonts w:ascii="Arial" w:hAnsi="Arial" w:cs="Arial"/>
          <w:sz w:val="20"/>
          <w:szCs w:val="20"/>
          <w:lang w:eastAsia="fr-FR"/>
        </w:rPr>
        <w:t>33,8</w:t>
      </w:r>
      <w:r w:rsidRPr="00B6647E">
        <w:rPr>
          <w:rFonts w:ascii="Arial" w:hAnsi="Arial" w:cs="Arial"/>
          <w:sz w:val="20"/>
          <w:szCs w:val="20"/>
          <w:lang w:eastAsia="fr-FR"/>
        </w:rPr>
        <w:t xml:space="preserve">% de la </w:t>
      </w:r>
      <w:r w:rsidR="00062B7C" w:rsidRPr="00B6647E">
        <w:rPr>
          <w:rFonts w:ascii="Arial" w:hAnsi="Arial" w:cs="Arial"/>
          <w:sz w:val="20"/>
          <w:szCs w:val="20"/>
          <w:lang w:eastAsia="fr-FR"/>
        </w:rPr>
        <w:t>production</w:t>
      </w:r>
      <w:r w:rsidRPr="00B6647E">
        <w:rPr>
          <w:rFonts w:ascii="Arial" w:hAnsi="Arial" w:cs="Arial"/>
          <w:sz w:val="20"/>
          <w:szCs w:val="20"/>
          <w:lang w:eastAsia="fr-FR"/>
        </w:rPr>
        <w:t xml:space="preserve"> totale de la campagne agricole 2011-2012.</w:t>
      </w:r>
    </w:p>
    <w:p w:rsidR="00CC0F44" w:rsidRPr="00B6647E" w:rsidRDefault="00CC0F44" w:rsidP="00DA0026">
      <w:pPr>
        <w:spacing w:line="240" w:lineRule="auto"/>
        <w:jc w:val="both"/>
        <w:rPr>
          <w:rFonts w:ascii="Arial" w:hAnsi="Arial" w:cs="Arial"/>
          <w:sz w:val="20"/>
          <w:szCs w:val="20"/>
          <w:lang w:eastAsia="fr-FR"/>
        </w:rPr>
      </w:pPr>
      <w:r w:rsidRPr="00B6647E">
        <w:rPr>
          <w:rFonts w:ascii="Arial" w:hAnsi="Arial" w:cs="Arial"/>
          <w:sz w:val="20"/>
          <w:szCs w:val="20"/>
          <w:lang w:eastAsia="fr-FR"/>
        </w:rPr>
        <w:t xml:space="preserve"> Les régions naturelles de Kirimiro (</w:t>
      </w:r>
      <w:r w:rsidR="007C5E15" w:rsidRPr="00B6647E">
        <w:rPr>
          <w:rFonts w:ascii="Arial" w:hAnsi="Arial" w:cs="Arial"/>
          <w:sz w:val="20"/>
          <w:szCs w:val="20"/>
          <w:lang w:eastAsia="fr-FR"/>
        </w:rPr>
        <w:t>28</w:t>
      </w:r>
      <w:r w:rsidRPr="00B6647E">
        <w:rPr>
          <w:rFonts w:ascii="Arial" w:hAnsi="Arial" w:cs="Arial"/>
          <w:sz w:val="20"/>
          <w:szCs w:val="20"/>
          <w:lang w:eastAsia="fr-FR"/>
        </w:rPr>
        <w:t>.2</w:t>
      </w:r>
      <w:r w:rsidR="007C5E15" w:rsidRPr="00B6647E">
        <w:rPr>
          <w:rFonts w:ascii="Arial" w:hAnsi="Arial" w:cs="Arial"/>
          <w:sz w:val="20"/>
          <w:szCs w:val="20"/>
          <w:lang w:eastAsia="fr-FR"/>
        </w:rPr>
        <w:t>79</w:t>
      </w:r>
      <w:r w:rsidRPr="00B6647E">
        <w:rPr>
          <w:rFonts w:ascii="Arial" w:hAnsi="Arial" w:cs="Arial"/>
          <w:sz w:val="20"/>
          <w:szCs w:val="20"/>
          <w:lang w:eastAsia="fr-FR"/>
        </w:rPr>
        <w:t xml:space="preserve"> </w:t>
      </w:r>
      <w:r w:rsidR="007C5E15" w:rsidRPr="00B6647E">
        <w:rPr>
          <w:rFonts w:ascii="Arial" w:hAnsi="Arial" w:cs="Arial"/>
          <w:sz w:val="20"/>
          <w:szCs w:val="20"/>
          <w:lang w:eastAsia="fr-FR"/>
        </w:rPr>
        <w:t>tonnes</w:t>
      </w:r>
      <w:r w:rsidRPr="00B6647E">
        <w:rPr>
          <w:rFonts w:ascii="Arial" w:hAnsi="Arial" w:cs="Arial"/>
          <w:sz w:val="20"/>
          <w:szCs w:val="20"/>
          <w:lang w:eastAsia="fr-FR"/>
        </w:rPr>
        <w:t>, soit 3</w:t>
      </w:r>
      <w:r w:rsidR="007C5E15" w:rsidRPr="00B6647E">
        <w:rPr>
          <w:rFonts w:ascii="Arial" w:hAnsi="Arial" w:cs="Arial"/>
          <w:sz w:val="20"/>
          <w:szCs w:val="20"/>
          <w:lang w:eastAsia="fr-FR"/>
        </w:rPr>
        <w:t>5</w:t>
      </w:r>
      <w:r w:rsidRPr="00B6647E">
        <w:rPr>
          <w:rFonts w:ascii="Arial" w:hAnsi="Arial" w:cs="Arial"/>
          <w:sz w:val="20"/>
          <w:szCs w:val="20"/>
          <w:lang w:eastAsia="fr-FR"/>
        </w:rPr>
        <w:t>,</w:t>
      </w:r>
      <w:r w:rsidR="007C5E15" w:rsidRPr="00B6647E">
        <w:rPr>
          <w:rFonts w:ascii="Arial" w:hAnsi="Arial" w:cs="Arial"/>
          <w:sz w:val="20"/>
          <w:szCs w:val="20"/>
          <w:lang w:eastAsia="fr-FR"/>
        </w:rPr>
        <w:t>4</w:t>
      </w:r>
      <w:r w:rsidRPr="00B6647E">
        <w:rPr>
          <w:rFonts w:ascii="Arial" w:hAnsi="Arial" w:cs="Arial"/>
          <w:sz w:val="20"/>
          <w:szCs w:val="20"/>
          <w:lang w:eastAsia="fr-FR"/>
        </w:rPr>
        <w:t>% du tot</w:t>
      </w:r>
      <w:r w:rsidR="007C5E15" w:rsidRPr="00B6647E">
        <w:rPr>
          <w:rFonts w:ascii="Arial" w:hAnsi="Arial" w:cs="Arial"/>
          <w:sz w:val="20"/>
          <w:szCs w:val="20"/>
          <w:lang w:eastAsia="fr-FR"/>
        </w:rPr>
        <w:t>al de la campagne) et Buyenzi (16.510</w:t>
      </w:r>
      <w:r w:rsidRPr="00B6647E">
        <w:rPr>
          <w:rFonts w:ascii="Arial" w:hAnsi="Arial" w:cs="Arial"/>
          <w:sz w:val="20"/>
          <w:szCs w:val="20"/>
          <w:lang w:eastAsia="fr-FR"/>
        </w:rPr>
        <w:t xml:space="preserve"> </w:t>
      </w:r>
      <w:r w:rsidR="007C5E15" w:rsidRPr="00B6647E">
        <w:rPr>
          <w:rFonts w:ascii="Arial" w:hAnsi="Arial" w:cs="Arial"/>
          <w:sz w:val="20"/>
          <w:szCs w:val="20"/>
          <w:lang w:eastAsia="fr-FR"/>
        </w:rPr>
        <w:t>tonnes</w:t>
      </w:r>
      <w:r w:rsidRPr="00B6647E">
        <w:rPr>
          <w:rFonts w:ascii="Arial" w:hAnsi="Arial" w:cs="Arial"/>
          <w:sz w:val="20"/>
          <w:szCs w:val="20"/>
          <w:lang w:eastAsia="fr-FR"/>
        </w:rPr>
        <w:t xml:space="preserve">, soit 20,6%) ont </w:t>
      </w:r>
      <w:r w:rsidR="007C5E15" w:rsidRPr="00B6647E">
        <w:rPr>
          <w:rFonts w:ascii="Arial" w:hAnsi="Arial" w:cs="Arial"/>
          <w:sz w:val="20"/>
          <w:szCs w:val="20"/>
          <w:lang w:eastAsia="fr-FR"/>
        </w:rPr>
        <w:t>eu</w:t>
      </w:r>
      <w:r w:rsidRPr="00B6647E">
        <w:rPr>
          <w:rFonts w:ascii="Arial" w:hAnsi="Arial" w:cs="Arial"/>
          <w:sz w:val="20"/>
          <w:szCs w:val="20"/>
          <w:lang w:eastAsia="fr-FR"/>
        </w:rPr>
        <w:t xml:space="preserve"> les plus grandes </w:t>
      </w:r>
      <w:r w:rsidR="007C5E15" w:rsidRPr="00B6647E">
        <w:rPr>
          <w:rFonts w:ascii="Arial" w:hAnsi="Arial" w:cs="Arial"/>
          <w:sz w:val="20"/>
          <w:szCs w:val="20"/>
          <w:lang w:eastAsia="fr-FR"/>
        </w:rPr>
        <w:t>productions</w:t>
      </w:r>
      <w:r w:rsidRPr="00B6647E">
        <w:rPr>
          <w:rFonts w:ascii="Arial" w:hAnsi="Arial" w:cs="Arial"/>
          <w:sz w:val="20"/>
          <w:szCs w:val="20"/>
          <w:lang w:eastAsia="fr-FR"/>
        </w:rPr>
        <w:t xml:space="preserve"> de haricot volubile. Au cours de la </w:t>
      </w:r>
      <w:r w:rsidRPr="00B6647E">
        <w:rPr>
          <w:rFonts w:ascii="Arial" w:hAnsi="Arial" w:cs="Arial"/>
          <w:sz w:val="20"/>
          <w:szCs w:val="20"/>
          <w:lang w:eastAsia="fr-FR"/>
        </w:rPr>
        <w:lastRenderedPageBreak/>
        <w:t xml:space="preserve">saison B, cette </w:t>
      </w:r>
      <w:r w:rsidR="007C5E15" w:rsidRPr="00B6647E">
        <w:rPr>
          <w:rFonts w:ascii="Arial" w:hAnsi="Arial" w:cs="Arial"/>
          <w:sz w:val="20"/>
          <w:szCs w:val="20"/>
          <w:lang w:eastAsia="fr-FR"/>
        </w:rPr>
        <w:t>production</w:t>
      </w:r>
      <w:r w:rsidRPr="00B6647E">
        <w:rPr>
          <w:rFonts w:ascii="Arial" w:hAnsi="Arial" w:cs="Arial"/>
          <w:sz w:val="20"/>
          <w:szCs w:val="20"/>
          <w:lang w:eastAsia="fr-FR"/>
        </w:rPr>
        <w:t xml:space="preserve"> est </w:t>
      </w:r>
      <w:r w:rsidR="007C5E15" w:rsidRPr="00B6647E">
        <w:rPr>
          <w:rFonts w:ascii="Arial" w:hAnsi="Arial" w:cs="Arial"/>
          <w:sz w:val="20"/>
          <w:szCs w:val="20"/>
          <w:lang w:eastAsia="fr-FR"/>
        </w:rPr>
        <w:t>57.416</w:t>
      </w:r>
      <w:r w:rsidRPr="00B6647E">
        <w:rPr>
          <w:rFonts w:ascii="Arial" w:hAnsi="Arial" w:cs="Arial"/>
          <w:sz w:val="20"/>
          <w:szCs w:val="20"/>
          <w:lang w:eastAsia="fr-FR"/>
        </w:rPr>
        <w:t xml:space="preserve"> </w:t>
      </w:r>
      <w:r w:rsidR="007C5E15" w:rsidRPr="00B6647E">
        <w:rPr>
          <w:rFonts w:ascii="Arial" w:hAnsi="Arial" w:cs="Arial"/>
          <w:sz w:val="20"/>
          <w:szCs w:val="20"/>
          <w:lang w:eastAsia="fr-FR"/>
        </w:rPr>
        <w:t>tonnes</w:t>
      </w:r>
      <w:r w:rsidRPr="00B6647E">
        <w:rPr>
          <w:rFonts w:ascii="Arial" w:hAnsi="Arial" w:cs="Arial"/>
          <w:sz w:val="20"/>
          <w:szCs w:val="20"/>
          <w:lang w:eastAsia="fr-FR"/>
        </w:rPr>
        <w:t xml:space="preserve"> (</w:t>
      </w:r>
      <w:r w:rsidR="007C5E15" w:rsidRPr="00B6647E">
        <w:rPr>
          <w:rFonts w:ascii="Arial" w:hAnsi="Arial" w:cs="Arial"/>
          <w:sz w:val="20"/>
          <w:szCs w:val="20"/>
          <w:lang w:eastAsia="fr-FR"/>
        </w:rPr>
        <w:t>71,8</w:t>
      </w:r>
      <w:r w:rsidRPr="00B6647E">
        <w:rPr>
          <w:rFonts w:ascii="Arial" w:hAnsi="Arial" w:cs="Arial"/>
          <w:sz w:val="20"/>
          <w:szCs w:val="20"/>
          <w:lang w:eastAsia="fr-FR"/>
        </w:rPr>
        <w:t xml:space="preserve">%). En saison A, </w:t>
      </w:r>
      <w:r w:rsidR="007C5E15" w:rsidRPr="00B6647E">
        <w:rPr>
          <w:rFonts w:ascii="Arial" w:hAnsi="Arial" w:cs="Arial"/>
          <w:sz w:val="20"/>
          <w:szCs w:val="20"/>
          <w:lang w:eastAsia="fr-FR"/>
        </w:rPr>
        <w:t>la</w:t>
      </w:r>
      <w:r w:rsidRPr="00B6647E">
        <w:rPr>
          <w:rFonts w:ascii="Arial" w:hAnsi="Arial" w:cs="Arial"/>
          <w:sz w:val="20"/>
          <w:szCs w:val="20"/>
          <w:lang w:eastAsia="fr-FR"/>
        </w:rPr>
        <w:t xml:space="preserve"> </w:t>
      </w:r>
      <w:r w:rsidR="007C5E15" w:rsidRPr="00B6647E">
        <w:rPr>
          <w:rFonts w:ascii="Arial" w:hAnsi="Arial" w:cs="Arial"/>
          <w:sz w:val="20"/>
          <w:szCs w:val="20"/>
          <w:lang w:eastAsia="fr-FR"/>
        </w:rPr>
        <w:t>production</w:t>
      </w:r>
      <w:r w:rsidRPr="00B6647E">
        <w:rPr>
          <w:rFonts w:ascii="Arial" w:hAnsi="Arial" w:cs="Arial"/>
          <w:sz w:val="20"/>
          <w:szCs w:val="20"/>
          <w:lang w:eastAsia="fr-FR"/>
        </w:rPr>
        <w:t xml:space="preserve"> de haricot volubile a été estimée à </w:t>
      </w:r>
      <w:r w:rsidR="007C5E15" w:rsidRPr="00B6647E">
        <w:rPr>
          <w:rFonts w:ascii="Arial" w:hAnsi="Arial" w:cs="Arial"/>
          <w:sz w:val="20"/>
          <w:szCs w:val="20"/>
          <w:lang w:eastAsia="fr-FR"/>
        </w:rPr>
        <w:t>19.017 tonnes</w:t>
      </w:r>
      <w:r w:rsidRPr="00B6647E">
        <w:rPr>
          <w:rFonts w:ascii="Arial" w:hAnsi="Arial" w:cs="Arial"/>
          <w:sz w:val="20"/>
          <w:szCs w:val="20"/>
          <w:lang w:eastAsia="fr-FR"/>
        </w:rPr>
        <w:t xml:space="preserve"> (2</w:t>
      </w:r>
      <w:r w:rsidR="007C5E15" w:rsidRPr="00B6647E">
        <w:rPr>
          <w:rFonts w:ascii="Arial" w:hAnsi="Arial" w:cs="Arial"/>
          <w:sz w:val="20"/>
          <w:szCs w:val="20"/>
          <w:lang w:eastAsia="fr-FR"/>
        </w:rPr>
        <w:t>3</w:t>
      </w:r>
      <w:r w:rsidRPr="00B6647E">
        <w:rPr>
          <w:rFonts w:ascii="Arial" w:hAnsi="Arial" w:cs="Arial"/>
          <w:sz w:val="20"/>
          <w:szCs w:val="20"/>
          <w:lang w:eastAsia="fr-FR"/>
        </w:rPr>
        <w:t>,</w:t>
      </w:r>
      <w:r w:rsidR="007C5E15" w:rsidRPr="00B6647E">
        <w:rPr>
          <w:rFonts w:ascii="Arial" w:hAnsi="Arial" w:cs="Arial"/>
          <w:sz w:val="20"/>
          <w:szCs w:val="20"/>
          <w:lang w:eastAsia="fr-FR"/>
        </w:rPr>
        <w:t>8</w:t>
      </w:r>
      <w:r w:rsidRPr="00B6647E">
        <w:rPr>
          <w:rFonts w:ascii="Arial" w:hAnsi="Arial" w:cs="Arial"/>
          <w:sz w:val="20"/>
          <w:szCs w:val="20"/>
          <w:lang w:eastAsia="fr-FR"/>
        </w:rPr>
        <w:t xml:space="preserve">%) et pendant la saison C à </w:t>
      </w:r>
      <w:r w:rsidR="007C5E15" w:rsidRPr="00B6647E">
        <w:rPr>
          <w:rFonts w:ascii="Arial" w:hAnsi="Arial" w:cs="Arial"/>
          <w:sz w:val="20"/>
          <w:szCs w:val="20"/>
          <w:lang w:eastAsia="fr-FR"/>
        </w:rPr>
        <w:t>3</w:t>
      </w:r>
      <w:r w:rsidRPr="00B6647E">
        <w:rPr>
          <w:rFonts w:ascii="Arial" w:hAnsi="Arial" w:cs="Arial"/>
          <w:sz w:val="20"/>
          <w:szCs w:val="20"/>
          <w:lang w:eastAsia="fr-FR"/>
        </w:rPr>
        <w:t>.</w:t>
      </w:r>
      <w:r w:rsidR="007C5E15" w:rsidRPr="00B6647E">
        <w:rPr>
          <w:rFonts w:ascii="Arial" w:hAnsi="Arial" w:cs="Arial"/>
          <w:sz w:val="20"/>
          <w:szCs w:val="20"/>
          <w:lang w:eastAsia="fr-FR"/>
        </w:rPr>
        <w:t>529</w:t>
      </w:r>
      <w:r w:rsidRPr="00B6647E">
        <w:rPr>
          <w:rFonts w:ascii="Arial" w:hAnsi="Arial" w:cs="Arial"/>
          <w:sz w:val="20"/>
          <w:szCs w:val="20"/>
          <w:lang w:eastAsia="fr-FR"/>
        </w:rPr>
        <w:t xml:space="preserve"> </w:t>
      </w:r>
      <w:r w:rsidR="007C5E15" w:rsidRPr="00B6647E">
        <w:rPr>
          <w:rFonts w:ascii="Arial" w:hAnsi="Arial" w:cs="Arial"/>
          <w:sz w:val="20"/>
          <w:szCs w:val="20"/>
          <w:lang w:eastAsia="fr-FR"/>
        </w:rPr>
        <w:t>tonnes</w:t>
      </w:r>
      <w:r w:rsidRPr="00B6647E">
        <w:rPr>
          <w:rFonts w:ascii="Arial" w:hAnsi="Arial" w:cs="Arial"/>
          <w:sz w:val="20"/>
          <w:szCs w:val="20"/>
          <w:lang w:eastAsia="fr-FR"/>
        </w:rPr>
        <w:t xml:space="preserve"> (</w:t>
      </w:r>
      <w:r w:rsidR="007C5E15" w:rsidRPr="00B6647E">
        <w:rPr>
          <w:rFonts w:ascii="Arial" w:hAnsi="Arial" w:cs="Arial"/>
          <w:sz w:val="20"/>
          <w:szCs w:val="20"/>
          <w:lang w:eastAsia="fr-FR"/>
        </w:rPr>
        <w:t>4,4</w:t>
      </w:r>
      <w:r w:rsidRPr="00B6647E">
        <w:rPr>
          <w:rFonts w:ascii="Arial" w:hAnsi="Arial" w:cs="Arial"/>
          <w:sz w:val="20"/>
          <w:szCs w:val="20"/>
          <w:lang w:eastAsia="fr-FR"/>
        </w:rPr>
        <w:t>%).</w:t>
      </w:r>
    </w:p>
    <w:p w:rsidR="00E725C5" w:rsidRPr="00B6647E" w:rsidRDefault="00E725C5" w:rsidP="00DA0026">
      <w:pPr>
        <w:spacing w:line="240" w:lineRule="auto"/>
        <w:rPr>
          <w:rFonts w:ascii="Arial" w:hAnsi="Arial" w:cs="Arial"/>
          <w:b/>
          <w:sz w:val="20"/>
          <w:szCs w:val="20"/>
          <w:lang w:eastAsia="fr-FR"/>
        </w:rPr>
      </w:pPr>
      <w:r w:rsidRPr="00B6647E">
        <w:rPr>
          <w:rFonts w:ascii="Arial" w:hAnsi="Arial" w:cs="Arial"/>
          <w:b/>
          <w:sz w:val="20"/>
          <w:szCs w:val="20"/>
          <w:lang w:eastAsia="fr-FR"/>
        </w:rPr>
        <w:t xml:space="preserve">Tableau </w:t>
      </w:r>
      <w:r w:rsidR="00367774" w:rsidRPr="00B6647E">
        <w:rPr>
          <w:rFonts w:ascii="Arial" w:hAnsi="Arial" w:cs="Arial"/>
          <w:b/>
          <w:sz w:val="20"/>
          <w:szCs w:val="20"/>
          <w:lang w:eastAsia="fr-FR"/>
        </w:rPr>
        <w:t>1</w:t>
      </w:r>
      <w:r w:rsidR="00E1150A">
        <w:rPr>
          <w:rFonts w:ascii="Arial" w:hAnsi="Arial" w:cs="Arial"/>
          <w:b/>
          <w:sz w:val="20"/>
          <w:szCs w:val="20"/>
          <w:lang w:eastAsia="fr-FR"/>
        </w:rPr>
        <w:t>14</w:t>
      </w:r>
      <w:r w:rsidRPr="00B6647E">
        <w:rPr>
          <w:rFonts w:ascii="Arial" w:hAnsi="Arial" w:cs="Arial"/>
          <w:b/>
          <w:sz w:val="20"/>
          <w:szCs w:val="20"/>
          <w:lang w:eastAsia="fr-FR"/>
        </w:rPr>
        <w:t> : Production totale de haricot volubile par région et par saison</w:t>
      </w:r>
    </w:p>
    <w:p w:rsidR="00E725C5" w:rsidRPr="00B6647E" w:rsidRDefault="002B2638" w:rsidP="00DA0026">
      <w:pPr>
        <w:spacing w:line="240" w:lineRule="auto"/>
        <w:rPr>
          <w:lang w:eastAsia="fr-FR"/>
        </w:rPr>
      </w:pPr>
      <w:r w:rsidRPr="00B6647E">
        <w:rPr>
          <w:noProof/>
          <w:lang w:val="fr-FR" w:eastAsia="fr-FR"/>
        </w:rPr>
        <w:drawing>
          <wp:inline distT="0" distB="0" distL="0" distR="0">
            <wp:extent cx="4181475" cy="2914650"/>
            <wp:effectExtent l="19050" t="0" r="9525" b="0"/>
            <wp:docPr id="422"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8" cstate="print"/>
                    <a:srcRect/>
                    <a:stretch>
                      <a:fillRect/>
                    </a:stretch>
                  </pic:blipFill>
                  <pic:spPr bwMode="auto">
                    <a:xfrm>
                      <a:off x="0" y="0"/>
                      <a:ext cx="4181475" cy="2914650"/>
                    </a:xfrm>
                    <a:prstGeom prst="rect">
                      <a:avLst/>
                    </a:prstGeom>
                    <a:noFill/>
                    <a:ln w="9525">
                      <a:noFill/>
                      <a:miter lim="800000"/>
                      <a:headEnd/>
                      <a:tailEnd/>
                    </a:ln>
                  </pic:spPr>
                </pic:pic>
              </a:graphicData>
            </a:graphic>
          </wp:inline>
        </w:drawing>
      </w:r>
    </w:p>
    <w:p w:rsidR="007859AF" w:rsidRPr="00B6647E" w:rsidRDefault="007859AF" w:rsidP="00DA0026">
      <w:pPr>
        <w:spacing w:line="240" w:lineRule="auto"/>
        <w:jc w:val="both"/>
        <w:rPr>
          <w:rFonts w:ascii="Arial" w:hAnsi="Arial" w:cs="Arial"/>
          <w:sz w:val="20"/>
          <w:szCs w:val="20"/>
          <w:lang w:eastAsia="fr-FR"/>
        </w:rPr>
      </w:pPr>
      <w:r w:rsidRPr="00B6647E">
        <w:rPr>
          <w:rFonts w:ascii="Arial" w:hAnsi="Arial" w:cs="Arial"/>
          <w:sz w:val="20"/>
          <w:szCs w:val="20"/>
          <w:lang w:eastAsia="fr-FR"/>
        </w:rPr>
        <w:t>La production totale de niébé au cours de la campagne agricole 2011-20122 est estimée à 5.859 tonnes, soit 2,5% de la production totale des légumineuses. Le niébé a été cultivé principalement en saison B (4.568 tonnes) et dans les régions naturelles de Kirimiro (2.646 tonnes) et Imbo (2.491 tonnes).</w:t>
      </w:r>
    </w:p>
    <w:p w:rsidR="00E725C5" w:rsidRPr="00B6647E" w:rsidRDefault="00367774" w:rsidP="00DA0026">
      <w:pPr>
        <w:spacing w:line="240" w:lineRule="auto"/>
        <w:rPr>
          <w:rFonts w:ascii="Arial" w:hAnsi="Arial" w:cs="Arial"/>
          <w:b/>
          <w:sz w:val="20"/>
          <w:szCs w:val="20"/>
          <w:lang w:eastAsia="fr-FR"/>
        </w:rPr>
      </w:pPr>
      <w:r w:rsidRPr="00B6647E">
        <w:rPr>
          <w:rFonts w:ascii="Arial" w:hAnsi="Arial" w:cs="Arial"/>
          <w:b/>
          <w:sz w:val="20"/>
          <w:szCs w:val="20"/>
          <w:lang w:eastAsia="fr-FR"/>
        </w:rPr>
        <w:t>Tableau 1</w:t>
      </w:r>
      <w:r w:rsidR="00E1150A">
        <w:rPr>
          <w:rFonts w:ascii="Arial" w:hAnsi="Arial" w:cs="Arial"/>
          <w:b/>
          <w:sz w:val="20"/>
          <w:szCs w:val="20"/>
          <w:lang w:eastAsia="fr-FR"/>
        </w:rPr>
        <w:t>15</w:t>
      </w:r>
      <w:r w:rsidR="00E725C5" w:rsidRPr="00B6647E">
        <w:rPr>
          <w:rFonts w:ascii="Arial" w:hAnsi="Arial" w:cs="Arial"/>
          <w:b/>
          <w:sz w:val="20"/>
          <w:szCs w:val="20"/>
          <w:lang w:eastAsia="fr-FR"/>
        </w:rPr>
        <w:t> : Production totale de niébé par région et par saison</w:t>
      </w:r>
    </w:p>
    <w:p w:rsidR="00E725C5" w:rsidRPr="00B6647E" w:rsidRDefault="002B2638" w:rsidP="00DA0026">
      <w:pPr>
        <w:spacing w:line="240" w:lineRule="auto"/>
        <w:rPr>
          <w:lang w:eastAsia="fr-FR"/>
        </w:rPr>
      </w:pPr>
      <w:r w:rsidRPr="00B6647E">
        <w:rPr>
          <w:noProof/>
          <w:lang w:val="fr-FR" w:eastAsia="fr-FR"/>
        </w:rPr>
        <w:drawing>
          <wp:inline distT="0" distB="0" distL="0" distR="0">
            <wp:extent cx="4181475" cy="2914650"/>
            <wp:effectExtent l="19050" t="0" r="9525" b="0"/>
            <wp:docPr id="423"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9" cstate="print"/>
                    <a:srcRect/>
                    <a:stretch>
                      <a:fillRect/>
                    </a:stretch>
                  </pic:blipFill>
                  <pic:spPr bwMode="auto">
                    <a:xfrm>
                      <a:off x="0" y="0"/>
                      <a:ext cx="4181475" cy="2914650"/>
                    </a:xfrm>
                    <a:prstGeom prst="rect">
                      <a:avLst/>
                    </a:prstGeom>
                    <a:noFill/>
                    <a:ln w="9525">
                      <a:noFill/>
                      <a:miter lim="800000"/>
                      <a:headEnd/>
                      <a:tailEnd/>
                    </a:ln>
                  </pic:spPr>
                </pic:pic>
              </a:graphicData>
            </a:graphic>
          </wp:inline>
        </w:drawing>
      </w:r>
    </w:p>
    <w:p w:rsidR="007859AF" w:rsidRPr="00B6647E" w:rsidRDefault="007859AF" w:rsidP="00DA0026">
      <w:pPr>
        <w:spacing w:line="240" w:lineRule="auto"/>
        <w:jc w:val="both"/>
        <w:rPr>
          <w:rFonts w:ascii="Arial" w:hAnsi="Arial" w:cs="Arial"/>
          <w:sz w:val="20"/>
          <w:szCs w:val="20"/>
          <w:lang w:eastAsia="fr-FR"/>
        </w:rPr>
      </w:pPr>
      <w:r w:rsidRPr="00B6647E">
        <w:rPr>
          <w:rFonts w:ascii="Arial" w:hAnsi="Arial" w:cs="Arial"/>
          <w:sz w:val="20"/>
          <w:szCs w:val="20"/>
          <w:lang w:eastAsia="fr-FR"/>
        </w:rPr>
        <w:t xml:space="preserve">La production du petit pois est estimée à 16.719 tonnes sur toute la campagne (7,1% de la production totale des légumineuses). Cette culture a été principalement cultivée en saison B (10.558 tonnes) et pendant la saison A (5.786 tonnes). Au niveau des régions naturelles, Kirimiro (6.553 tonnes), Mugamba (4.690 tonnes) et Buyenzi (2.867 tonnes) </w:t>
      </w:r>
      <w:r w:rsidR="008449F8" w:rsidRPr="00B6647E">
        <w:rPr>
          <w:rFonts w:ascii="Arial" w:hAnsi="Arial" w:cs="Arial"/>
          <w:sz w:val="20"/>
          <w:szCs w:val="20"/>
          <w:lang w:eastAsia="fr-FR"/>
        </w:rPr>
        <w:t xml:space="preserve">et Buyogoma (1.146 tonnes) </w:t>
      </w:r>
      <w:r w:rsidRPr="00B6647E">
        <w:rPr>
          <w:rFonts w:ascii="Arial" w:hAnsi="Arial" w:cs="Arial"/>
          <w:sz w:val="20"/>
          <w:szCs w:val="20"/>
          <w:lang w:eastAsia="fr-FR"/>
        </w:rPr>
        <w:t xml:space="preserve">ont </w:t>
      </w:r>
      <w:r w:rsidR="008449F8" w:rsidRPr="00B6647E">
        <w:rPr>
          <w:rFonts w:ascii="Arial" w:hAnsi="Arial" w:cs="Arial"/>
          <w:sz w:val="20"/>
          <w:szCs w:val="20"/>
          <w:lang w:eastAsia="fr-FR"/>
        </w:rPr>
        <w:t xml:space="preserve">produit 91,2% </w:t>
      </w:r>
      <w:r w:rsidRPr="00B6647E">
        <w:rPr>
          <w:rFonts w:ascii="Arial" w:hAnsi="Arial" w:cs="Arial"/>
          <w:sz w:val="20"/>
          <w:szCs w:val="20"/>
          <w:lang w:eastAsia="fr-FR"/>
        </w:rPr>
        <w:t xml:space="preserve">de la </w:t>
      </w:r>
      <w:r w:rsidR="008449F8" w:rsidRPr="00B6647E">
        <w:rPr>
          <w:rFonts w:ascii="Arial" w:hAnsi="Arial" w:cs="Arial"/>
          <w:sz w:val="20"/>
          <w:szCs w:val="20"/>
          <w:lang w:eastAsia="fr-FR"/>
        </w:rPr>
        <w:t>production totale</w:t>
      </w:r>
      <w:r w:rsidRPr="00B6647E">
        <w:rPr>
          <w:rFonts w:ascii="Arial" w:hAnsi="Arial" w:cs="Arial"/>
          <w:sz w:val="20"/>
          <w:szCs w:val="20"/>
          <w:lang w:eastAsia="fr-FR"/>
        </w:rPr>
        <w:t xml:space="preserve"> du petit pois</w:t>
      </w:r>
      <w:r w:rsidR="008449F8" w:rsidRPr="00B6647E">
        <w:rPr>
          <w:rFonts w:ascii="Arial" w:hAnsi="Arial" w:cs="Arial"/>
          <w:sz w:val="20"/>
          <w:szCs w:val="20"/>
          <w:lang w:eastAsia="fr-FR"/>
        </w:rPr>
        <w:t xml:space="preserve"> au cours de toute la campagne agricole.</w:t>
      </w:r>
    </w:p>
    <w:p w:rsidR="003C756C" w:rsidRPr="00B6647E" w:rsidRDefault="003C756C" w:rsidP="00DA0026">
      <w:pPr>
        <w:spacing w:line="240" w:lineRule="auto"/>
        <w:rPr>
          <w:rFonts w:ascii="Arial" w:hAnsi="Arial" w:cs="Arial"/>
          <w:b/>
          <w:sz w:val="20"/>
          <w:szCs w:val="20"/>
          <w:lang w:eastAsia="fr-FR"/>
        </w:rPr>
      </w:pPr>
    </w:p>
    <w:p w:rsidR="00E725C5" w:rsidRPr="00B6647E" w:rsidRDefault="00E725C5" w:rsidP="00DA0026">
      <w:pPr>
        <w:spacing w:line="240" w:lineRule="auto"/>
        <w:rPr>
          <w:rFonts w:ascii="Arial" w:hAnsi="Arial" w:cs="Arial"/>
          <w:b/>
          <w:sz w:val="20"/>
          <w:szCs w:val="20"/>
          <w:lang w:eastAsia="fr-FR"/>
        </w:rPr>
      </w:pPr>
      <w:r w:rsidRPr="00B6647E">
        <w:rPr>
          <w:rFonts w:ascii="Arial" w:hAnsi="Arial" w:cs="Arial"/>
          <w:b/>
          <w:sz w:val="20"/>
          <w:szCs w:val="20"/>
          <w:lang w:eastAsia="fr-FR"/>
        </w:rPr>
        <w:lastRenderedPageBreak/>
        <w:t xml:space="preserve">Tableau </w:t>
      </w:r>
      <w:r w:rsidR="00367774" w:rsidRPr="00B6647E">
        <w:rPr>
          <w:rFonts w:ascii="Arial" w:hAnsi="Arial" w:cs="Arial"/>
          <w:b/>
          <w:sz w:val="20"/>
          <w:szCs w:val="20"/>
          <w:lang w:eastAsia="fr-FR"/>
        </w:rPr>
        <w:t>1</w:t>
      </w:r>
      <w:r w:rsidR="00E1150A">
        <w:rPr>
          <w:rFonts w:ascii="Arial" w:hAnsi="Arial" w:cs="Arial"/>
          <w:b/>
          <w:sz w:val="20"/>
          <w:szCs w:val="20"/>
          <w:lang w:eastAsia="fr-FR"/>
        </w:rPr>
        <w:t>16</w:t>
      </w:r>
      <w:r w:rsidRPr="00B6647E">
        <w:rPr>
          <w:rFonts w:ascii="Arial" w:hAnsi="Arial" w:cs="Arial"/>
          <w:b/>
          <w:sz w:val="20"/>
          <w:szCs w:val="20"/>
          <w:lang w:eastAsia="fr-FR"/>
        </w:rPr>
        <w:t> : Production totale de petit pois par région et par saison</w:t>
      </w:r>
    </w:p>
    <w:p w:rsidR="00E725C5" w:rsidRPr="00B6647E" w:rsidRDefault="002B2638" w:rsidP="00DA0026">
      <w:pPr>
        <w:spacing w:line="240" w:lineRule="auto"/>
        <w:rPr>
          <w:lang w:eastAsia="fr-FR"/>
        </w:rPr>
      </w:pPr>
      <w:r w:rsidRPr="00B6647E">
        <w:rPr>
          <w:noProof/>
          <w:lang w:val="fr-FR" w:eastAsia="fr-FR"/>
        </w:rPr>
        <w:drawing>
          <wp:inline distT="0" distB="0" distL="0" distR="0">
            <wp:extent cx="4181475" cy="2914650"/>
            <wp:effectExtent l="19050" t="0" r="9525" b="0"/>
            <wp:docPr id="424"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0" cstate="print"/>
                    <a:srcRect/>
                    <a:stretch>
                      <a:fillRect/>
                    </a:stretch>
                  </pic:blipFill>
                  <pic:spPr bwMode="auto">
                    <a:xfrm>
                      <a:off x="0" y="0"/>
                      <a:ext cx="4181475" cy="2914650"/>
                    </a:xfrm>
                    <a:prstGeom prst="rect">
                      <a:avLst/>
                    </a:prstGeom>
                    <a:noFill/>
                    <a:ln w="9525">
                      <a:noFill/>
                      <a:miter lim="800000"/>
                      <a:headEnd/>
                      <a:tailEnd/>
                    </a:ln>
                  </pic:spPr>
                </pic:pic>
              </a:graphicData>
            </a:graphic>
          </wp:inline>
        </w:drawing>
      </w:r>
    </w:p>
    <w:p w:rsidR="007859AF" w:rsidRPr="00B6647E" w:rsidRDefault="007859AF" w:rsidP="00F01970">
      <w:pPr>
        <w:spacing w:after="120" w:line="240" w:lineRule="auto"/>
        <w:jc w:val="both"/>
        <w:rPr>
          <w:rFonts w:ascii="Arial" w:hAnsi="Arial" w:cs="Arial"/>
          <w:sz w:val="20"/>
          <w:szCs w:val="20"/>
        </w:rPr>
      </w:pPr>
      <w:r w:rsidRPr="00B6647E">
        <w:rPr>
          <w:rFonts w:ascii="Arial" w:hAnsi="Arial" w:cs="Arial"/>
          <w:sz w:val="20"/>
          <w:szCs w:val="20"/>
        </w:rPr>
        <w:t xml:space="preserve">La </w:t>
      </w:r>
      <w:r w:rsidR="00492EA3" w:rsidRPr="00B6647E">
        <w:rPr>
          <w:rFonts w:ascii="Arial" w:hAnsi="Arial" w:cs="Arial"/>
          <w:sz w:val="20"/>
          <w:szCs w:val="20"/>
        </w:rPr>
        <w:t xml:space="preserve">production </w:t>
      </w:r>
      <w:r w:rsidRPr="00B6647E">
        <w:rPr>
          <w:rFonts w:ascii="Arial" w:hAnsi="Arial" w:cs="Arial"/>
          <w:sz w:val="20"/>
          <w:szCs w:val="20"/>
        </w:rPr>
        <w:t xml:space="preserve">du pois cajan a été estimée à </w:t>
      </w:r>
      <w:r w:rsidR="00492EA3" w:rsidRPr="00B6647E">
        <w:rPr>
          <w:rFonts w:ascii="Arial" w:hAnsi="Arial" w:cs="Arial"/>
          <w:sz w:val="20"/>
          <w:szCs w:val="20"/>
        </w:rPr>
        <w:t>8</w:t>
      </w:r>
      <w:r w:rsidRPr="00B6647E">
        <w:rPr>
          <w:rFonts w:ascii="Arial" w:hAnsi="Arial" w:cs="Arial"/>
          <w:sz w:val="20"/>
          <w:szCs w:val="20"/>
        </w:rPr>
        <w:t>.</w:t>
      </w:r>
      <w:r w:rsidR="00492EA3" w:rsidRPr="00B6647E">
        <w:rPr>
          <w:rFonts w:ascii="Arial" w:hAnsi="Arial" w:cs="Arial"/>
          <w:sz w:val="20"/>
          <w:szCs w:val="20"/>
        </w:rPr>
        <w:t>135</w:t>
      </w:r>
      <w:r w:rsidRPr="00B6647E">
        <w:rPr>
          <w:rFonts w:ascii="Arial" w:hAnsi="Arial" w:cs="Arial"/>
          <w:sz w:val="20"/>
          <w:szCs w:val="20"/>
        </w:rPr>
        <w:t xml:space="preserve"> </w:t>
      </w:r>
      <w:r w:rsidR="00492EA3" w:rsidRPr="00B6647E">
        <w:rPr>
          <w:rFonts w:ascii="Arial" w:hAnsi="Arial" w:cs="Arial"/>
          <w:sz w:val="20"/>
          <w:szCs w:val="20"/>
        </w:rPr>
        <w:t>tonnes</w:t>
      </w:r>
      <w:r w:rsidRPr="00B6647E">
        <w:rPr>
          <w:rFonts w:ascii="Arial" w:hAnsi="Arial" w:cs="Arial"/>
          <w:sz w:val="20"/>
          <w:szCs w:val="20"/>
        </w:rPr>
        <w:t xml:space="preserve"> (</w:t>
      </w:r>
      <w:r w:rsidR="00492EA3" w:rsidRPr="00B6647E">
        <w:rPr>
          <w:rFonts w:ascii="Arial" w:hAnsi="Arial" w:cs="Arial"/>
          <w:sz w:val="20"/>
          <w:szCs w:val="20"/>
        </w:rPr>
        <w:t>3</w:t>
      </w:r>
      <w:r w:rsidRPr="00B6647E">
        <w:rPr>
          <w:rFonts w:ascii="Arial" w:hAnsi="Arial" w:cs="Arial"/>
          <w:sz w:val="20"/>
          <w:szCs w:val="20"/>
        </w:rPr>
        <w:t>,</w:t>
      </w:r>
      <w:r w:rsidR="00492EA3" w:rsidRPr="00B6647E">
        <w:rPr>
          <w:rFonts w:ascii="Arial" w:hAnsi="Arial" w:cs="Arial"/>
          <w:sz w:val="20"/>
          <w:szCs w:val="20"/>
        </w:rPr>
        <w:t>4</w:t>
      </w:r>
      <w:r w:rsidRPr="00B6647E">
        <w:rPr>
          <w:rFonts w:ascii="Arial" w:hAnsi="Arial" w:cs="Arial"/>
          <w:sz w:val="20"/>
          <w:szCs w:val="20"/>
        </w:rPr>
        <w:t xml:space="preserve">% de la </w:t>
      </w:r>
      <w:r w:rsidR="00492EA3" w:rsidRPr="00B6647E">
        <w:rPr>
          <w:rFonts w:ascii="Arial" w:hAnsi="Arial" w:cs="Arial"/>
          <w:sz w:val="20"/>
          <w:szCs w:val="20"/>
        </w:rPr>
        <w:t>production</w:t>
      </w:r>
      <w:r w:rsidRPr="00B6647E">
        <w:rPr>
          <w:rFonts w:ascii="Arial" w:hAnsi="Arial" w:cs="Arial"/>
          <w:sz w:val="20"/>
          <w:szCs w:val="20"/>
        </w:rPr>
        <w:t xml:space="preserve"> totale des légumineuses). </w:t>
      </w:r>
      <w:r w:rsidR="00492EA3" w:rsidRPr="00B6647E">
        <w:rPr>
          <w:rFonts w:ascii="Arial" w:hAnsi="Arial" w:cs="Arial"/>
          <w:sz w:val="20"/>
          <w:szCs w:val="20"/>
        </w:rPr>
        <w:t xml:space="preserve">Cette production </w:t>
      </w:r>
      <w:r w:rsidRPr="00B6647E">
        <w:rPr>
          <w:rFonts w:ascii="Arial" w:hAnsi="Arial" w:cs="Arial"/>
          <w:sz w:val="20"/>
          <w:szCs w:val="20"/>
        </w:rPr>
        <w:t xml:space="preserve">a été principalement </w:t>
      </w:r>
      <w:r w:rsidR="00492EA3" w:rsidRPr="00B6647E">
        <w:rPr>
          <w:rFonts w:ascii="Arial" w:hAnsi="Arial" w:cs="Arial"/>
          <w:sz w:val="20"/>
          <w:szCs w:val="20"/>
        </w:rPr>
        <w:t>estimée</w:t>
      </w:r>
      <w:r w:rsidRPr="00B6647E">
        <w:rPr>
          <w:rFonts w:ascii="Arial" w:hAnsi="Arial" w:cs="Arial"/>
          <w:sz w:val="20"/>
          <w:szCs w:val="20"/>
        </w:rPr>
        <w:t xml:space="preserve"> au cours de la saison </w:t>
      </w:r>
      <w:r w:rsidR="00492EA3" w:rsidRPr="00B6647E">
        <w:rPr>
          <w:rFonts w:ascii="Arial" w:hAnsi="Arial" w:cs="Arial"/>
          <w:sz w:val="20"/>
          <w:szCs w:val="20"/>
        </w:rPr>
        <w:t>B</w:t>
      </w:r>
      <w:r w:rsidRPr="00B6647E">
        <w:rPr>
          <w:rFonts w:ascii="Arial" w:hAnsi="Arial" w:cs="Arial"/>
          <w:sz w:val="20"/>
          <w:szCs w:val="20"/>
        </w:rPr>
        <w:t xml:space="preserve"> (</w:t>
      </w:r>
      <w:r w:rsidR="00492EA3" w:rsidRPr="00B6647E">
        <w:rPr>
          <w:rFonts w:ascii="Arial" w:hAnsi="Arial" w:cs="Arial"/>
          <w:sz w:val="20"/>
          <w:szCs w:val="20"/>
        </w:rPr>
        <w:t>5</w:t>
      </w:r>
      <w:r w:rsidRPr="00B6647E">
        <w:rPr>
          <w:rFonts w:ascii="Arial" w:hAnsi="Arial" w:cs="Arial"/>
          <w:sz w:val="20"/>
          <w:szCs w:val="20"/>
        </w:rPr>
        <w:t>.</w:t>
      </w:r>
      <w:r w:rsidR="00492EA3" w:rsidRPr="00B6647E">
        <w:rPr>
          <w:rFonts w:ascii="Arial" w:hAnsi="Arial" w:cs="Arial"/>
          <w:sz w:val="20"/>
          <w:szCs w:val="20"/>
        </w:rPr>
        <w:t>451 tonnes</w:t>
      </w:r>
      <w:r w:rsidRPr="00B6647E">
        <w:rPr>
          <w:rFonts w:ascii="Arial" w:hAnsi="Arial" w:cs="Arial"/>
          <w:sz w:val="20"/>
          <w:szCs w:val="20"/>
        </w:rPr>
        <w:t xml:space="preserve">) et pendant la saison </w:t>
      </w:r>
      <w:r w:rsidR="00492EA3" w:rsidRPr="00B6647E">
        <w:rPr>
          <w:rFonts w:ascii="Arial" w:hAnsi="Arial" w:cs="Arial"/>
          <w:sz w:val="20"/>
          <w:szCs w:val="20"/>
        </w:rPr>
        <w:t>C</w:t>
      </w:r>
      <w:r w:rsidRPr="00B6647E">
        <w:rPr>
          <w:rFonts w:ascii="Arial" w:hAnsi="Arial" w:cs="Arial"/>
          <w:sz w:val="20"/>
          <w:szCs w:val="20"/>
        </w:rPr>
        <w:t xml:space="preserve"> (</w:t>
      </w:r>
      <w:r w:rsidR="00492EA3" w:rsidRPr="00B6647E">
        <w:rPr>
          <w:rFonts w:ascii="Arial" w:hAnsi="Arial" w:cs="Arial"/>
          <w:sz w:val="20"/>
          <w:szCs w:val="20"/>
        </w:rPr>
        <w:t>2</w:t>
      </w:r>
      <w:r w:rsidRPr="00B6647E">
        <w:rPr>
          <w:rFonts w:ascii="Arial" w:hAnsi="Arial" w:cs="Arial"/>
          <w:sz w:val="20"/>
          <w:szCs w:val="20"/>
        </w:rPr>
        <w:t>.</w:t>
      </w:r>
      <w:r w:rsidR="00492EA3" w:rsidRPr="00B6647E">
        <w:rPr>
          <w:rFonts w:ascii="Arial" w:hAnsi="Arial" w:cs="Arial"/>
          <w:sz w:val="20"/>
          <w:szCs w:val="20"/>
        </w:rPr>
        <w:t>532</w:t>
      </w:r>
      <w:r w:rsidRPr="00B6647E">
        <w:rPr>
          <w:rFonts w:ascii="Arial" w:hAnsi="Arial" w:cs="Arial"/>
          <w:sz w:val="20"/>
          <w:szCs w:val="20"/>
        </w:rPr>
        <w:t xml:space="preserve"> </w:t>
      </w:r>
      <w:r w:rsidR="00492EA3" w:rsidRPr="00B6647E">
        <w:rPr>
          <w:rFonts w:ascii="Arial" w:hAnsi="Arial" w:cs="Arial"/>
          <w:sz w:val="20"/>
          <w:szCs w:val="20"/>
        </w:rPr>
        <w:t>tonnes</w:t>
      </w:r>
      <w:r w:rsidRPr="00B6647E">
        <w:rPr>
          <w:rFonts w:ascii="Arial" w:hAnsi="Arial" w:cs="Arial"/>
          <w:sz w:val="20"/>
          <w:szCs w:val="20"/>
        </w:rPr>
        <w:t>). Les régions naturelles de Kirimiro (</w:t>
      </w:r>
      <w:r w:rsidR="00492EA3" w:rsidRPr="00B6647E">
        <w:rPr>
          <w:rFonts w:ascii="Arial" w:hAnsi="Arial" w:cs="Arial"/>
          <w:sz w:val="20"/>
          <w:szCs w:val="20"/>
        </w:rPr>
        <w:t>3.938 tonnes</w:t>
      </w:r>
      <w:r w:rsidRPr="00B6647E">
        <w:rPr>
          <w:rFonts w:ascii="Arial" w:hAnsi="Arial" w:cs="Arial"/>
          <w:sz w:val="20"/>
          <w:szCs w:val="20"/>
        </w:rPr>
        <w:t>), Moso (</w:t>
      </w:r>
      <w:r w:rsidR="00492EA3" w:rsidRPr="00B6647E">
        <w:rPr>
          <w:rFonts w:ascii="Arial" w:hAnsi="Arial" w:cs="Arial"/>
          <w:sz w:val="20"/>
          <w:szCs w:val="20"/>
        </w:rPr>
        <w:t>2.768 tonnes) et Buyogoma (1.320</w:t>
      </w:r>
      <w:r w:rsidRPr="00B6647E">
        <w:rPr>
          <w:rFonts w:ascii="Arial" w:hAnsi="Arial" w:cs="Arial"/>
          <w:sz w:val="20"/>
          <w:szCs w:val="20"/>
        </w:rPr>
        <w:t xml:space="preserve"> </w:t>
      </w:r>
      <w:r w:rsidR="00492EA3" w:rsidRPr="00B6647E">
        <w:rPr>
          <w:rFonts w:ascii="Arial" w:hAnsi="Arial" w:cs="Arial"/>
          <w:sz w:val="20"/>
          <w:szCs w:val="20"/>
        </w:rPr>
        <w:t>tonnes</w:t>
      </w:r>
      <w:r w:rsidRPr="00B6647E">
        <w:rPr>
          <w:rFonts w:ascii="Arial" w:hAnsi="Arial" w:cs="Arial"/>
          <w:sz w:val="20"/>
          <w:szCs w:val="20"/>
        </w:rPr>
        <w:t xml:space="preserve">) ont </w:t>
      </w:r>
      <w:r w:rsidR="00492EA3" w:rsidRPr="00B6647E">
        <w:rPr>
          <w:rFonts w:ascii="Arial" w:hAnsi="Arial" w:cs="Arial"/>
          <w:sz w:val="20"/>
          <w:szCs w:val="20"/>
        </w:rPr>
        <w:t>produit</w:t>
      </w:r>
      <w:r w:rsidRPr="00B6647E">
        <w:rPr>
          <w:rFonts w:ascii="Arial" w:hAnsi="Arial" w:cs="Arial"/>
          <w:sz w:val="20"/>
          <w:szCs w:val="20"/>
        </w:rPr>
        <w:t xml:space="preserve"> </w:t>
      </w:r>
      <w:r w:rsidR="00DA0026" w:rsidRPr="00B6647E">
        <w:rPr>
          <w:rFonts w:ascii="Arial" w:hAnsi="Arial" w:cs="Arial"/>
          <w:sz w:val="20"/>
          <w:szCs w:val="20"/>
        </w:rPr>
        <w:t>la quasi-totalité (</w:t>
      </w:r>
      <w:r w:rsidRPr="00B6647E">
        <w:rPr>
          <w:rFonts w:ascii="Arial" w:hAnsi="Arial" w:cs="Arial"/>
          <w:sz w:val="20"/>
          <w:szCs w:val="20"/>
        </w:rPr>
        <w:t>9</w:t>
      </w:r>
      <w:r w:rsidR="00492EA3" w:rsidRPr="00B6647E">
        <w:rPr>
          <w:rFonts w:ascii="Arial" w:hAnsi="Arial" w:cs="Arial"/>
          <w:sz w:val="20"/>
          <w:szCs w:val="20"/>
        </w:rPr>
        <w:t>8</w:t>
      </w:r>
      <w:r w:rsidRPr="00B6647E">
        <w:rPr>
          <w:rFonts w:ascii="Arial" w:hAnsi="Arial" w:cs="Arial"/>
          <w:sz w:val="20"/>
          <w:szCs w:val="20"/>
        </w:rPr>
        <w:t>,</w:t>
      </w:r>
      <w:r w:rsidR="00492EA3" w:rsidRPr="00B6647E">
        <w:rPr>
          <w:rFonts w:ascii="Arial" w:hAnsi="Arial" w:cs="Arial"/>
          <w:sz w:val="20"/>
          <w:szCs w:val="20"/>
        </w:rPr>
        <w:t>7</w:t>
      </w:r>
      <w:r w:rsidRPr="00B6647E">
        <w:rPr>
          <w:rFonts w:ascii="Arial" w:hAnsi="Arial" w:cs="Arial"/>
          <w:sz w:val="20"/>
          <w:szCs w:val="20"/>
        </w:rPr>
        <w:t>%</w:t>
      </w:r>
      <w:r w:rsidR="00DA0026" w:rsidRPr="00B6647E">
        <w:rPr>
          <w:rFonts w:ascii="Arial" w:hAnsi="Arial" w:cs="Arial"/>
          <w:sz w:val="20"/>
          <w:szCs w:val="20"/>
        </w:rPr>
        <w:t>)</w:t>
      </w:r>
      <w:r w:rsidRPr="00B6647E">
        <w:rPr>
          <w:rFonts w:ascii="Arial" w:hAnsi="Arial" w:cs="Arial"/>
          <w:sz w:val="20"/>
          <w:szCs w:val="20"/>
        </w:rPr>
        <w:t xml:space="preserve"> de la </w:t>
      </w:r>
      <w:r w:rsidR="00492EA3" w:rsidRPr="00B6647E">
        <w:rPr>
          <w:rFonts w:ascii="Arial" w:hAnsi="Arial" w:cs="Arial"/>
          <w:sz w:val="20"/>
          <w:szCs w:val="20"/>
        </w:rPr>
        <w:t>production</w:t>
      </w:r>
      <w:r w:rsidRPr="00B6647E">
        <w:rPr>
          <w:rFonts w:ascii="Arial" w:hAnsi="Arial" w:cs="Arial"/>
          <w:sz w:val="20"/>
          <w:szCs w:val="20"/>
        </w:rPr>
        <w:t xml:space="preserve"> totale du pois cajan.</w:t>
      </w:r>
    </w:p>
    <w:p w:rsidR="00E725C5" w:rsidRPr="00B6647E" w:rsidRDefault="00367774" w:rsidP="00F01970">
      <w:pPr>
        <w:spacing w:after="120" w:line="240" w:lineRule="auto"/>
        <w:rPr>
          <w:rFonts w:ascii="Arial" w:hAnsi="Arial" w:cs="Arial"/>
          <w:b/>
          <w:sz w:val="20"/>
          <w:szCs w:val="20"/>
          <w:lang w:eastAsia="fr-FR"/>
        </w:rPr>
      </w:pPr>
      <w:r w:rsidRPr="00B6647E">
        <w:rPr>
          <w:rFonts w:ascii="Arial" w:hAnsi="Arial" w:cs="Arial"/>
          <w:b/>
          <w:sz w:val="20"/>
          <w:szCs w:val="20"/>
          <w:lang w:eastAsia="fr-FR"/>
        </w:rPr>
        <w:t>Tableau 1</w:t>
      </w:r>
      <w:r w:rsidR="00E1150A">
        <w:rPr>
          <w:rFonts w:ascii="Arial" w:hAnsi="Arial" w:cs="Arial"/>
          <w:b/>
          <w:sz w:val="20"/>
          <w:szCs w:val="20"/>
          <w:lang w:eastAsia="fr-FR"/>
        </w:rPr>
        <w:t>17</w:t>
      </w:r>
      <w:r w:rsidR="00E725C5" w:rsidRPr="00B6647E">
        <w:rPr>
          <w:rFonts w:ascii="Arial" w:hAnsi="Arial" w:cs="Arial"/>
          <w:b/>
          <w:sz w:val="20"/>
          <w:szCs w:val="20"/>
          <w:lang w:eastAsia="fr-FR"/>
        </w:rPr>
        <w:t> : Production totale de pois cajan par région et par saison</w:t>
      </w:r>
    </w:p>
    <w:p w:rsidR="00E725C5" w:rsidRPr="00B6647E" w:rsidRDefault="002B2638" w:rsidP="00F01970">
      <w:pPr>
        <w:spacing w:after="0" w:line="240" w:lineRule="auto"/>
        <w:rPr>
          <w:lang w:eastAsia="fr-FR"/>
        </w:rPr>
      </w:pPr>
      <w:r w:rsidRPr="00B6647E">
        <w:rPr>
          <w:noProof/>
          <w:lang w:val="fr-FR" w:eastAsia="fr-FR"/>
        </w:rPr>
        <w:drawing>
          <wp:inline distT="0" distB="0" distL="0" distR="0">
            <wp:extent cx="4181475" cy="2914650"/>
            <wp:effectExtent l="19050" t="0" r="9525" b="0"/>
            <wp:docPr id="425"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1" cstate="print"/>
                    <a:srcRect/>
                    <a:stretch>
                      <a:fillRect/>
                    </a:stretch>
                  </pic:blipFill>
                  <pic:spPr bwMode="auto">
                    <a:xfrm>
                      <a:off x="0" y="0"/>
                      <a:ext cx="4181475" cy="2914650"/>
                    </a:xfrm>
                    <a:prstGeom prst="rect">
                      <a:avLst/>
                    </a:prstGeom>
                    <a:noFill/>
                    <a:ln w="9525">
                      <a:noFill/>
                      <a:miter lim="800000"/>
                      <a:headEnd/>
                      <a:tailEnd/>
                    </a:ln>
                  </pic:spPr>
                </pic:pic>
              </a:graphicData>
            </a:graphic>
          </wp:inline>
        </w:drawing>
      </w:r>
    </w:p>
    <w:p w:rsidR="00422374" w:rsidRPr="00B6647E" w:rsidRDefault="00422374" w:rsidP="00FD5448">
      <w:pPr>
        <w:pStyle w:val="Paragraphedeliste"/>
        <w:spacing w:before="200" w:after="120" w:line="240" w:lineRule="auto"/>
        <w:ind w:left="0"/>
        <w:contextualSpacing w:val="0"/>
        <w:rPr>
          <w:rFonts w:ascii="Arial" w:hAnsi="Arial" w:cs="Arial"/>
          <w:b/>
          <w:sz w:val="20"/>
          <w:szCs w:val="20"/>
        </w:rPr>
      </w:pPr>
      <w:r w:rsidRPr="00B6647E">
        <w:rPr>
          <w:rFonts w:ascii="Arial" w:hAnsi="Arial" w:cs="Arial"/>
          <w:b/>
          <w:sz w:val="20"/>
          <w:szCs w:val="20"/>
        </w:rPr>
        <w:t>b) Productions des légumineuses dans les provinces</w:t>
      </w:r>
    </w:p>
    <w:p w:rsidR="00A25522" w:rsidRPr="00B6647E" w:rsidRDefault="00D91F94" w:rsidP="00A25522">
      <w:pPr>
        <w:pStyle w:val="Paragraphedeliste"/>
        <w:spacing w:after="0" w:line="240" w:lineRule="auto"/>
        <w:ind w:left="0"/>
        <w:jc w:val="both"/>
        <w:rPr>
          <w:rFonts w:ascii="Arial" w:hAnsi="Arial" w:cs="Arial"/>
          <w:sz w:val="20"/>
          <w:szCs w:val="20"/>
        </w:rPr>
      </w:pPr>
      <w:r w:rsidRPr="00B6647E">
        <w:rPr>
          <w:rFonts w:ascii="Arial" w:hAnsi="Arial" w:cs="Arial"/>
          <w:sz w:val="20"/>
          <w:szCs w:val="20"/>
        </w:rPr>
        <w:t xml:space="preserve">C’est </w:t>
      </w:r>
      <w:r w:rsidR="00A25522" w:rsidRPr="00B6647E">
        <w:rPr>
          <w:rFonts w:ascii="Arial" w:hAnsi="Arial" w:cs="Arial"/>
          <w:sz w:val="20"/>
          <w:szCs w:val="20"/>
        </w:rPr>
        <w:t xml:space="preserve">Kirundo </w:t>
      </w:r>
      <w:r w:rsidRPr="00B6647E">
        <w:rPr>
          <w:rFonts w:ascii="Arial" w:hAnsi="Arial" w:cs="Arial"/>
          <w:sz w:val="20"/>
          <w:szCs w:val="20"/>
        </w:rPr>
        <w:t xml:space="preserve">qui </w:t>
      </w:r>
      <w:r w:rsidR="00A25522" w:rsidRPr="00B6647E">
        <w:rPr>
          <w:rFonts w:ascii="Arial" w:hAnsi="Arial" w:cs="Arial"/>
          <w:sz w:val="20"/>
          <w:szCs w:val="20"/>
        </w:rPr>
        <w:t xml:space="preserve">a la production de </w:t>
      </w:r>
      <w:r w:rsidRPr="00B6647E">
        <w:rPr>
          <w:rFonts w:ascii="Arial" w:hAnsi="Arial" w:cs="Arial"/>
          <w:sz w:val="20"/>
          <w:szCs w:val="20"/>
        </w:rPr>
        <w:t>légumineuses</w:t>
      </w:r>
      <w:r w:rsidR="00A25522" w:rsidRPr="00B6647E">
        <w:rPr>
          <w:rFonts w:ascii="Arial" w:hAnsi="Arial" w:cs="Arial"/>
          <w:sz w:val="20"/>
          <w:szCs w:val="20"/>
        </w:rPr>
        <w:t xml:space="preserve"> la plus élevée, soit </w:t>
      </w:r>
      <w:r w:rsidRPr="00B6647E">
        <w:rPr>
          <w:rFonts w:ascii="Arial" w:hAnsi="Arial" w:cs="Arial"/>
          <w:sz w:val="20"/>
          <w:szCs w:val="20"/>
        </w:rPr>
        <w:t>42</w:t>
      </w:r>
      <w:r w:rsidR="00A25522" w:rsidRPr="00B6647E">
        <w:rPr>
          <w:rFonts w:ascii="Arial" w:hAnsi="Arial" w:cs="Arial"/>
          <w:sz w:val="20"/>
          <w:szCs w:val="20"/>
        </w:rPr>
        <w:t>.</w:t>
      </w:r>
      <w:r w:rsidRPr="00B6647E">
        <w:rPr>
          <w:rFonts w:ascii="Arial" w:hAnsi="Arial" w:cs="Arial"/>
          <w:sz w:val="20"/>
          <w:szCs w:val="20"/>
        </w:rPr>
        <w:t>375</w:t>
      </w:r>
      <w:r w:rsidR="00A25522" w:rsidRPr="00B6647E">
        <w:rPr>
          <w:rFonts w:ascii="Arial" w:hAnsi="Arial" w:cs="Arial"/>
          <w:sz w:val="20"/>
          <w:szCs w:val="20"/>
        </w:rPr>
        <w:t xml:space="preserve"> tonnes représentant 1</w:t>
      </w:r>
      <w:r w:rsidRPr="00B6647E">
        <w:rPr>
          <w:rFonts w:ascii="Arial" w:hAnsi="Arial" w:cs="Arial"/>
          <w:sz w:val="20"/>
          <w:szCs w:val="20"/>
        </w:rPr>
        <w:t>7</w:t>
      </w:r>
      <w:r w:rsidR="00A25522" w:rsidRPr="00B6647E">
        <w:rPr>
          <w:rFonts w:ascii="Arial" w:hAnsi="Arial" w:cs="Arial"/>
          <w:sz w:val="20"/>
          <w:szCs w:val="20"/>
        </w:rPr>
        <w:t>,</w:t>
      </w:r>
      <w:r w:rsidRPr="00B6647E">
        <w:rPr>
          <w:rFonts w:ascii="Arial" w:hAnsi="Arial" w:cs="Arial"/>
          <w:sz w:val="20"/>
          <w:szCs w:val="20"/>
        </w:rPr>
        <w:t>9</w:t>
      </w:r>
      <w:r w:rsidR="00A25522" w:rsidRPr="00B6647E">
        <w:rPr>
          <w:rFonts w:ascii="Arial" w:hAnsi="Arial" w:cs="Arial"/>
          <w:sz w:val="20"/>
          <w:szCs w:val="20"/>
        </w:rPr>
        <w:t xml:space="preserve">% de la production totale de </w:t>
      </w:r>
      <w:r w:rsidRPr="00B6647E">
        <w:rPr>
          <w:rFonts w:ascii="Arial" w:hAnsi="Arial" w:cs="Arial"/>
          <w:sz w:val="20"/>
          <w:szCs w:val="20"/>
        </w:rPr>
        <w:t>légumineuses</w:t>
      </w:r>
      <w:r w:rsidR="00A25522" w:rsidRPr="00B6647E">
        <w:rPr>
          <w:rFonts w:ascii="Arial" w:hAnsi="Arial" w:cs="Arial"/>
          <w:sz w:val="20"/>
          <w:szCs w:val="20"/>
        </w:rPr>
        <w:t>.</w:t>
      </w:r>
    </w:p>
    <w:p w:rsidR="00A25522" w:rsidRPr="00B6647E" w:rsidRDefault="00A25522" w:rsidP="00422374">
      <w:pPr>
        <w:pStyle w:val="Paragraphedeliste"/>
        <w:spacing w:after="0" w:line="240" w:lineRule="auto"/>
        <w:ind w:left="0"/>
        <w:rPr>
          <w:rFonts w:ascii="Arial" w:hAnsi="Arial" w:cs="Arial"/>
          <w:sz w:val="20"/>
          <w:szCs w:val="20"/>
        </w:rPr>
      </w:pPr>
    </w:p>
    <w:p w:rsidR="003C756C" w:rsidRPr="00B6647E" w:rsidRDefault="003C756C" w:rsidP="00367774">
      <w:pPr>
        <w:spacing w:line="240" w:lineRule="auto"/>
        <w:rPr>
          <w:rFonts w:ascii="Arial" w:hAnsi="Arial" w:cs="Arial"/>
          <w:b/>
          <w:sz w:val="20"/>
          <w:szCs w:val="20"/>
          <w:lang w:eastAsia="fr-FR"/>
        </w:rPr>
      </w:pPr>
    </w:p>
    <w:p w:rsidR="003C756C" w:rsidRPr="00B6647E" w:rsidRDefault="003C756C" w:rsidP="00367774">
      <w:pPr>
        <w:spacing w:line="240" w:lineRule="auto"/>
        <w:rPr>
          <w:rFonts w:ascii="Arial" w:hAnsi="Arial" w:cs="Arial"/>
          <w:b/>
          <w:sz w:val="20"/>
          <w:szCs w:val="20"/>
          <w:lang w:eastAsia="fr-FR"/>
        </w:rPr>
      </w:pPr>
    </w:p>
    <w:p w:rsidR="003C756C" w:rsidRPr="00B6647E" w:rsidRDefault="003C756C" w:rsidP="00367774">
      <w:pPr>
        <w:spacing w:line="240" w:lineRule="auto"/>
        <w:rPr>
          <w:rFonts w:ascii="Arial" w:hAnsi="Arial" w:cs="Arial"/>
          <w:b/>
          <w:sz w:val="20"/>
          <w:szCs w:val="20"/>
          <w:lang w:eastAsia="fr-FR"/>
        </w:rPr>
      </w:pPr>
    </w:p>
    <w:p w:rsidR="00E725C5" w:rsidRPr="00B6647E" w:rsidRDefault="00E725C5" w:rsidP="00367774">
      <w:pPr>
        <w:spacing w:line="240" w:lineRule="auto"/>
        <w:rPr>
          <w:rFonts w:ascii="Arial" w:hAnsi="Arial" w:cs="Arial"/>
          <w:b/>
          <w:sz w:val="20"/>
          <w:szCs w:val="20"/>
          <w:lang w:eastAsia="fr-FR"/>
        </w:rPr>
      </w:pPr>
      <w:r w:rsidRPr="00B6647E">
        <w:rPr>
          <w:rFonts w:ascii="Arial" w:hAnsi="Arial" w:cs="Arial"/>
          <w:b/>
          <w:sz w:val="20"/>
          <w:szCs w:val="20"/>
          <w:lang w:eastAsia="fr-FR"/>
        </w:rPr>
        <w:lastRenderedPageBreak/>
        <w:t xml:space="preserve">Tableau </w:t>
      </w:r>
      <w:r w:rsidR="00367774" w:rsidRPr="00B6647E">
        <w:rPr>
          <w:rFonts w:ascii="Arial" w:hAnsi="Arial" w:cs="Arial"/>
          <w:b/>
          <w:sz w:val="20"/>
          <w:szCs w:val="20"/>
          <w:lang w:eastAsia="fr-FR"/>
        </w:rPr>
        <w:t>1</w:t>
      </w:r>
      <w:r w:rsidR="00E1150A">
        <w:rPr>
          <w:rFonts w:ascii="Arial" w:hAnsi="Arial" w:cs="Arial"/>
          <w:b/>
          <w:sz w:val="20"/>
          <w:szCs w:val="20"/>
          <w:lang w:eastAsia="fr-FR"/>
        </w:rPr>
        <w:t>18</w:t>
      </w:r>
      <w:r w:rsidRPr="00B6647E">
        <w:rPr>
          <w:rFonts w:ascii="Arial" w:hAnsi="Arial" w:cs="Arial"/>
          <w:b/>
          <w:sz w:val="20"/>
          <w:szCs w:val="20"/>
          <w:lang w:eastAsia="fr-FR"/>
        </w:rPr>
        <w:t> : Production totale des légumineuses par province et par saison</w:t>
      </w:r>
    </w:p>
    <w:p w:rsidR="00E725C5" w:rsidRPr="00B6647E" w:rsidRDefault="000F02C1" w:rsidP="00260A34">
      <w:pPr>
        <w:spacing w:line="240" w:lineRule="auto"/>
        <w:rPr>
          <w:lang w:eastAsia="fr-FR"/>
        </w:rPr>
      </w:pPr>
      <w:r w:rsidRPr="00B6647E">
        <w:rPr>
          <w:noProof/>
          <w:lang w:val="fr-FR" w:eastAsia="fr-FR"/>
        </w:rPr>
        <w:drawing>
          <wp:inline distT="0" distB="0" distL="0" distR="0">
            <wp:extent cx="4067175" cy="3867150"/>
            <wp:effectExtent l="19050" t="0" r="9525" b="0"/>
            <wp:docPr id="426"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2" cstate="print"/>
                    <a:srcRect/>
                    <a:stretch>
                      <a:fillRect/>
                    </a:stretch>
                  </pic:blipFill>
                  <pic:spPr bwMode="auto">
                    <a:xfrm>
                      <a:off x="0" y="0"/>
                      <a:ext cx="4067175" cy="3867150"/>
                    </a:xfrm>
                    <a:prstGeom prst="rect">
                      <a:avLst/>
                    </a:prstGeom>
                    <a:noFill/>
                    <a:ln w="9525">
                      <a:noFill/>
                      <a:miter lim="800000"/>
                      <a:headEnd/>
                      <a:tailEnd/>
                    </a:ln>
                  </pic:spPr>
                </pic:pic>
              </a:graphicData>
            </a:graphic>
          </wp:inline>
        </w:drawing>
      </w:r>
    </w:p>
    <w:p w:rsidR="00F01970" w:rsidRPr="00B6647E" w:rsidRDefault="00F01970" w:rsidP="00F01970">
      <w:pPr>
        <w:pStyle w:val="Paragraphedeliste"/>
        <w:spacing w:after="0" w:line="240" w:lineRule="auto"/>
        <w:ind w:left="0"/>
        <w:jc w:val="both"/>
        <w:rPr>
          <w:rFonts w:ascii="Arial" w:hAnsi="Arial" w:cs="Arial"/>
          <w:sz w:val="20"/>
          <w:szCs w:val="20"/>
        </w:rPr>
      </w:pPr>
      <w:r w:rsidRPr="00B6647E">
        <w:rPr>
          <w:rFonts w:ascii="Arial" w:hAnsi="Arial" w:cs="Arial"/>
          <w:sz w:val="20"/>
          <w:szCs w:val="20"/>
        </w:rPr>
        <w:t>Ensuite viennent dans l’ordre Gitega (25.240 tonnes, soit 10,7%), Kayanza (18.269 tonnes, soit 7,7%), Ngozi (17.774 tonnes, soit 7,5%), Ruyigi (17.671 tonnes, soit 7,4%), Karuzi (17.225 tonnes, soit 7,3%). A l’opposé les provinces de Bubanza (5 ?725 tonnes), Bujumbura rural (8.500 tonnes), Bururi (9.997 tonnes), Cankuzo (7.475 tonnes), Cibitoke (5.707 tonnes), Makamba (9.889 tonnes) ont produit chacune moins de 10.000 tonnes de céréales</w:t>
      </w:r>
    </w:p>
    <w:p w:rsidR="003C756C" w:rsidRPr="00B6647E" w:rsidRDefault="003C756C" w:rsidP="00260A34">
      <w:pPr>
        <w:spacing w:line="240" w:lineRule="auto"/>
        <w:jc w:val="both"/>
        <w:rPr>
          <w:rFonts w:ascii="Arial" w:hAnsi="Arial" w:cs="Arial"/>
          <w:sz w:val="20"/>
          <w:szCs w:val="20"/>
          <w:lang w:eastAsia="fr-FR"/>
        </w:rPr>
      </w:pPr>
    </w:p>
    <w:p w:rsidR="00C45DFB" w:rsidRPr="00B6647E" w:rsidRDefault="000C607E" w:rsidP="00260A34">
      <w:pPr>
        <w:spacing w:line="240" w:lineRule="auto"/>
        <w:jc w:val="both"/>
        <w:rPr>
          <w:rFonts w:ascii="Arial" w:hAnsi="Arial" w:cs="Arial"/>
          <w:sz w:val="20"/>
          <w:szCs w:val="20"/>
          <w:lang w:eastAsia="fr-FR"/>
        </w:rPr>
      </w:pPr>
      <w:r w:rsidRPr="00B6647E">
        <w:rPr>
          <w:rFonts w:ascii="Arial" w:hAnsi="Arial" w:cs="Arial"/>
          <w:sz w:val="20"/>
          <w:szCs w:val="20"/>
          <w:lang w:eastAsia="fr-FR"/>
        </w:rPr>
        <w:t xml:space="preserve">La production totale du haricot (nain et volubile) a été estimée à 205.944 tonnes correspondant à 87% de la production totale des légumineuses. </w:t>
      </w:r>
    </w:p>
    <w:p w:rsidR="00C45DFB" w:rsidRPr="00B6647E" w:rsidRDefault="00471B41" w:rsidP="00260A34">
      <w:pPr>
        <w:spacing w:line="240" w:lineRule="auto"/>
        <w:jc w:val="both"/>
        <w:rPr>
          <w:rFonts w:ascii="Arial" w:hAnsi="Arial" w:cs="Arial"/>
          <w:sz w:val="20"/>
          <w:szCs w:val="20"/>
          <w:lang w:eastAsia="fr-FR"/>
        </w:rPr>
      </w:pPr>
      <w:r w:rsidRPr="00B6647E">
        <w:rPr>
          <w:rFonts w:ascii="Arial" w:hAnsi="Arial" w:cs="Arial"/>
          <w:sz w:val="20"/>
          <w:szCs w:val="20"/>
          <w:lang w:eastAsia="fr-FR"/>
        </w:rPr>
        <w:t>La structure de la production du haricot</w:t>
      </w:r>
      <w:r w:rsidR="000C607E" w:rsidRPr="00B6647E">
        <w:rPr>
          <w:rFonts w:ascii="Arial" w:hAnsi="Arial" w:cs="Arial"/>
          <w:sz w:val="20"/>
          <w:szCs w:val="20"/>
          <w:lang w:eastAsia="fr-FR"/>
        </w:rPr>
        <w:t xml:space="preserve"> </w:t>
      </w:r>
      <w:r w:rsidRPr="00B6647E">
        <w:rPr>
          <w:rFonts w:ascii="Arial" w:hAnsi="Arial" w:cs="Arial"/>
          <w:sz w:val="20"/>
          <w:szCs w:val="20"/>
          <w:lang w:eastAsia="fr-FR"/>
        </w:rPr>
        <w:t>dans les provinces est globalement la même que celle de toutes les légumineuses, confirmant ainsi l’importance du haricot dans cette production et particulièrement au cours de la saison B</w:t>
      </w:r>
      <w:r w:rsidR="000C607E" w:rsidRPr="00B6647E">
        <w:rPr>
          <w:rFonts w:ascii="Arial" w:hAnsi="Arial" w:cs="Arial"/>
          <w:sz w:val="20"/>
          <w:szCs w:val="20"/>
          <w:lang w:eastAsia="fr-FR"/>
        </w:rPr>
        <w:t xml:space="preserve"> (140.005 tonnes, soit 68% de la production cumulée des trois saisons). </w:t>
      </w:r>
    </w:p>
    <w:p w:rsidR="00E725C5" w:rsidRPr="00B6647E" w:rsidRDefault="000C607E" w:rsidP="00260A34">
      <w:pPr>
        <w:spacing w:line="240" w:lineRule="auto"/>
        <w:jc w:val="both"/>
        <w:rPr>
          <w:rFonts w:ascii="Arial" w:hAnsi="Arial" w:cs="Arial"/>
          <w:sz w:val="20"/>
          <w:szCs w:val="20"/>
          <w:lang w:eastAsia="fr-FR"/>
        </w:rPr>
      </w:pPr>
      <w:r w:rsidRPr="00B6647E">
        <w:rPr>
          <w:rFonts w:ascii="Arial" w:hAnsi="Arial" w:cs="Arial"/>
          <w:sz w:val="20"/>
          <w:szCs w:val="20"/>
          <w:lang w:eastAsia="fr-FR"/>
        </w:rPr>
        <w:t xml:space="preserve">Les productions les plus élevées du haricot ont été estimées dans les provinces de Kirundo (41.933 tonnes), Gitega (19.153 tonnes), Ngozi (16.927 tonnes), Muyinga (16.536 tonnes), Karuzi (14.590 tonnes), Kayanza </w:t>
      </w:r>
      <w:r w:rsidR="009618B5" w:rsidRPr="00B6647E">
        <w:rPr>
          <w:rFonts w:ascii="Arial" w:hAnsi="Arial" w:cs="Arial"/>
          <w:sz w:val="20"/>
          <w:szCs w:val="20"/>
          <w:lang w:eastAsia="fr-FR"/>
        </w:rPr>
        <w:t xml:space="preserve">(14.264 tonnes) </w:t>
      </w:r>
      <w:r w:rsidRPr="00B6647E">
        <w:rPr>
          <w:rFonts w:ascii="Arial" w:hAnsi="Arial" w:cs="Arial"/>
          <w:sz w:val="20"/>
          <w:szCs w:val="20"/>
          <w:lang w:eastAsia="fr-FR"/>
        </w:rPr>
        <w:t>et Ruyigi</w:t>
      </w:r>
      <w:r w:rsidR="009618B5" w:rsidRPr="00B6647E">
        <w:rPr>
          <w:rFonts w:ascii="Arial" w:hAnsi="Arial" w:cs="Arial"/>
          <w:sz w:val="20"/>
          <w:szCs w:val="20"/>
          <w:lang w:eastAsia="fr-FR"/>
        </w:rPr>
        <w:t xml:space="preserve"> (14.186 tonnes).</w:t>
      </w:r>
    </w:p>
    <w:p w:rsidR="003C756C" w:rsidRPr="00B6647E" w:rsidRDefault="003C756C">
      <w:pPr>
        <w:rPr>
          <w:rFonts w:ascii="Arial" w:hAnsi="Arial" w:cs="Arial"/>
          <w:b/>
          <w:sz w:val="20"/>
          <w:szCs w:val="20"/>
          <w:lang w:eastAsia="fr-FR"/>
        </w:rPr>
      </w:pPr>
      <w:r w:rsidRPr="00B6647E">
        <w:rPr>
          <w:rFonts w:ascii="Arial" w:hAnsi="Arial" w:cs="Arial"/>
          <w:b/>
          <w:sz w:val="20"/>
          <w:szCs w:val="20"/>
          <w:lang w:eastAsia="fr-FR"/>
        </w:rPr>
        <w:br w:type="page"/>
      </w:r>
    </w:p>
    <w:p w:rsidR="00E725C5" w:rsidRPr="00B6647E" w:rsidRDefault="00E725C5" w:rsidP="003C756C">
      <w:pPr>
        <w:spacing w:after="0" w:line="240" w:lineRule="auto"/>
        <w:rPr>
          <w:rFonts w:ascii="Arial" w:hAnsi="Arial" w:cs="Arial"/>
          <w:b/>
          <w:sz w:val="20"/>
          <w:szCs w:val="20"/>
          <w:lang w:eastAsia="fr-FR"/>
        </w:rPr>
      </w:pPr>
      <w:r w:rsidRPr="00B6647E">
        <w:rPr>
          <w:rFonts w:ascii="Arial" w:hAnsi="Arial" w:cs="Arial"/>
          <w:b/>
          <w:sz w:val="20"/>
          <w:szCs w:val="20"/>
          <w:lang w:eastAsia="fr-FR"/>
        </w:rPr>
        <w:lastRenderedPageBreak/>
        <w:t xml:space="preserve">Tableau </w:t>
      </w:r>
      <w:r w:rsidR="00E1150A">
        <w:rPr>
          <w:rFonts w:ascii="Arial" w:hAnsi="Arial" w:cs="Arial"/>
          <w:b/>
          <w:sz w:val="20"/>
          <w:szCs w:val="20"/>
          <w:lang w:eastAsia="fr-FR"/>
        </w:rPr>
        <w:t>119</w:t>
      </w:r>
      <w:r w:rsidRPr="00B6647E">
        <w:rPr>
          <w:rFonts w:ascii="Arial" w:hAnsi="Arial" w:cs="Arial"/>
          <w:b/>
          <w:sz w:val="20"/>
          <w:szCs w:val="20"/>
          <w:lang w:eastAsia="fr-FR"/>
        </w:rPr>
        <w:t> : Production totale de haricot par province et par saison</w:t>
      </w:r>
    </w:p>
    <w:p w:rsidR="00C45DFB" w:rsidRPr="00B6647E" w:rsidRDefault="000F02C1" w:rsidP="003C756C">
      <w:pPr>
        <w:keepNext/>
        <w:spacing w:after="0" w:line="240" w:lineRule="auto"/>
        <w:jc w:val="both"/>
        <w:rPr>
          <w:rFonts w:ascii="Arial" w:hAnsi="Arial" w:cs="Arial"/>
          <w:sz w:val="20"/>
          <w:szCs w:val="20"/>
          <w:lang w:eastAsia="fr-FR"/>
        </w:rPr>
      </w:pPr>
      <w:r w:rsidRPr="00B6647E">
        <w:rPr>
          <w:noProof/>
          <w:szCs w:val="20"/>
          <w:lang w:val="fr-FR" w:eastAsia="fr-FR"/>
        </w:rPr>
        <w:drawing>
          <wp:inline distT="0" distB="0" distL="0" distR="0">
            <wp:extent cx="3947429" cy="3753293"/>
            <wp:effectExtent l="19050" t="0" r="0" b="0"/>
            <wp:docPr id="427"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3" cstate="print"/>
                    <a:srcRect/>
                    <a:stretch>
                      <a:fillRect/>
                    </a:stretch>
                  </pic:blipFill>
                  <pic:spPr bwMode="auto">
                    <a:xfrm>
                      <a:off x="0" y="0"/>
                      <a:ext cx="3949580" cy="3755338"/>
                    </a:xfrm>
                    <a:prstGeom prst="rect">
                      <a:avLst/>
                    </a:prstGeom>
                    <a:noFill/>
                    <a:ln w="9525">
                      <a:noFill/>
                      <a:miter lim="800000"/>
                      <a:headEnd/>
                      <a:tailEnd/>
                    </a:ln>
                  </pic:spPr>
                </pic:pic>
              </a:graphicData>
            </a:graphic>
          </wp:inline>
        </w:drawing>
      </w:r>
    </w:p>
    <w:p w:rsidR="003C756C" w:rsidRPr="00B6647E" w:rsidRDefault="005F77F3" w:rsidP="00260A34">
      <w:pPr>
        <w:spacing w:line="240" w:lineRule="auto"/>
        <w:jc w:val="both"/>
        <w:rPr>
          <w:rFonts w:ascii="Arial" w:hAnsi="Arial" w:cs="Arial"/>
          <w:sz w:val="20"/>
          <w:szCs w:val="20"/>
          <w:lang w:eastAsia="fr-FR"/>
        </w:rPr>
      </w:pPr>
      <w:r w:rsidRPr="00B6647E">
        <w:rPr>
          <w:rFonts w:ascii="Arial" w:hAnsi="Arial" w:cs="Arial"/>
          <w:sz w:val="20"/>
          <w:szCs w:val="20"/>
          <w:lang w:eastAsia="fr-FR"/>
        </w:rPr>
        <w:t>La production de haricot nain (125.982 tonnes) représente 61,2% d</w:t>
      </w:r>
      <w:r w:rsidR="008B6E6E">
        <w:rPr>
          <w:rFonts w:ascii="Arial" w:hAnsi="Arial" w:cs="Arial"/>
          <w:sz w:val="20"/>
          <w:szCs w:val="20"/>
          <w:lang w:eastAsia="fr-FR"/>
        </w:rPr>
        <w:t xml:space="preserve">e la production totale </w:t>
      </w:r>
      <w:r w:rsidRPr="00B6647E">
        <w:rPr>
          <w:rFonts w:ascii="Arial" w:hAnsi="Arial" w:cs="Arial"/>
          <w:sz w:val="20"/>
          <w:szCs w:val="20"/>
          <w:lang w:eastAsia="fr-FR"/>
        </w:rPr>
        <w:t>d</w:t>
      </w:r>
      <w:r w:rsidR="000360B9">
        <w:rPr>
          <w:rFonts w:ascii="Arial" w:hAnsi="Arial" w:cs="Arial"/>
          <w:sz w:val="20"/>
          <w:szCs w:val="20"/>
          <w:lang w:eastAsia="fr-FR"/>
        </w:rPr>
        <w:t xml:space="preserve">e l’ensemble du </w:t>
      </w:r>
      <w:r w:rsidRPr="00B6647E">
        <w:rPr>
          <w:rFonts w:ascii="Arial" w:hAnsi="Arial" w:cs="Arial"/>
          <w:sz w:val="20"/>
          <w:szCs w:val="20"/>
          <w:lang w:eastAsia="fr-FR"/>
        </w:rPr>
        <w:t>haricot (nain et volubile) et 53,2% de la production totale des légumineuses de toute la campagne agricole.</w:t>
      </w:r>
    </w:p>
    <w:p w:rsidR="00E725C5" w:rsidRPr="00B6647E" w:rsidRDefault="00E725C5" w:rsidP="003C756C">
      <w:pPr>
        <w:spacing w:after="0" w:line="240" w:lineRule="auto"/>
        <w:rPr>
          <w:rFonts w:ascii="Arial" w:hAnsi="Arial" w:cs="Arial"/>
          <w:b/>
          <w:sz w:val="20"/>
          <w:szCs w:val="20"/>
          <w:lang w:eastAsia="fr-FR"/>
        </w:rPr>
      </w:pPr>
      <w:r w:rsidRPr="00B6647E">
        <w:rPr>
          <w:rFonts w:ascii="Arial" w:hAnsi="Arial" w:cs="Arial"/>
          <w:b/>
          <w:sz w:val="20"/>
          <w:szCs w:val="20"/>
          <w:lang w:eastAsia="fr-FR"/>
        </w:rPr>
        <w:t xml:space="preserve">Tableau </w:t>
      </w:r>
      <w:r w:rsidR="00E1150A">
        <w:rPr>
          <w:rFonts w:ascii="Arial" w:hAnsi="Arial" w:cs="Arial"/>
          <w:b/>
          <w:sz w:val="20"/>
          <w:szCs w:val="20"/>
          <w:lang w:eastAsia="fr-FR"/>
        </w:rPr>
        <w:t>120</w:t>
      </w:r>
      <w:r w:rsidRPr="00B6647E">
        <w:rPr>
          <w:rFonts w:ascii="Arial" w:hAnsi="Arial" w:cs="Arial"/>
          <w:b/>
          <w:sz w:val="20"/>
          <w:szCs w:val="20"/>
          <w:lang w:eastAsia="fr-FR"/>
        </w:rPr>
        <w:t> : Production totale de haricot nain par province et par saison</w:t>
      </w:r>
    </w:p>
    <w:p w:rsidR="00E725C5" w:rsidRPr="00B6647E" w:rsidRDefault="000F02C1" w:rsidP="003C756C">
      <w:pPr>
        <w:keepNext/>
        <w:spacing w:after="0" w:line="240" w:lineRule="auto"/>
        <w:jc w:val="both"/>
        <w:rPr>
          <w:rFonts w:ascii="Arial" w:hAnsi="Arial" w:cs="Arial"/>
          <w:sz w:val="20"/>
          <w:szCs w:val="20"/>
          <w:lang w:eastAsia="fr-FR"/>
        </w:rPr>
      </w:pPr>
      <w:r w:rsidRPr="00B6647E">
        <w:rPr>
          <w:noProof/>
          <w:szCs w:val="20"/>
          <w:lang w:val="fr-FR" w:eastAsia="fr-FR"/>
        </w:rPr>
        <w:drawing>
          <wp:inline distT="0" distB="0" distL="0" distR="0">
            <wp:extent cx="4067175" cy="3867150"/>
            <wp:effectExtent l="19050" t="0" r="9525" b="0"/>
            <wp:docPr id="428"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4" cstate="print"/>
                    <a:srcRect/>
                    <a:stretch>
                      <a:fillRect/>
                    </a:stretch>
                  </pic:blipFill>
                  <pic:spPr bwMode="auto">
                    <a:xfrm>
                      <a:off x="0" y="0"/>
                      <a:ext cx="4067175" cy="3867150"/>
                    </a:xfrm>
                    <a:prstGeom prst="rect">
                      <a:avLst/>
                    </a:prstGeom>
                    <a:noFill/>
                    <a:ln w="9525">
                      <a:noFill/>
                      <a:miter lim="800000"/>
                      <a:headEnd/>
                      <a:tailEnd/>
                    </a:ln>
                  </pic:spPr>
                </pic:pic>
              </a:graphicData>
            </a:graphic>
          </wp:inline>
        </w:drawing>
      </w:r>
    </w:p>
    <w:p w:rsidR="003C756C" w:rsidRPr="00B6647E" w:rsidRDefault="003C756C" w:rsidP="003C756C">
      <w:pPr>
        <w:spacing w:line="240" w:lineRule="auto"/>
        <w:jc w:val="both"/>
        <w:rPr>
          <w:rFonts w:ascii="Arial" w:hAnsi="Arial" w:cs="Arial"/>
          <w:sz w:val="20"/>
          <w:szCs w:val="20"/>
          <w:lang w:eastAsia="fr-FR"/>
        </w:rPr>
      </w:pPr>
    </w:p>
    <w:p w:rsidR="003C756C" w:rsidRPr="00B6647E" w:rsidRDefault="003C756C" w:rsidP="003C756C">
      <w:pPr>
        <w:spacing w:line="240" w:lineRule="auto"/>
        <w:jc w:val="both"/>
        <w:rPr>
          <w:rFonts w:ascii="Arial" w:hAnsi="Arial" w:cs="Arial"/>
          <w:sz w:val="20"/>
          <w:szCs w:val="20"/>
          <w:lang w:eastAsia="fr-FR"/>
        </w:rPr>
      </w:pPr>
      <w:r w:rsidRPr="00B6647E">
        <w:rPr>
          <w:rFonts w:ascii="Arial" w:hAnsi="Arial" w:cs="Arial"/>
          <w:sz w:val="20"/>
          <w:szCs w:val="20"/>
          <w:lang w:eastAsia="fr-FR"/>
        </w:rPr>
        <w:lastRenderedPageBreak/>
        <w:t>Le haricot nain produit au cours de la saison B représente près des deux tiers (65,6%) de sa production sur les trois saisons. La production la plus élevé de haricot nain a été estimée dans la province de Kirundo (40.933 tonnes) suivie de loin par Muyinga (13.391 tonnes), Ruyigi (12.542 tonnes), Gitega (11.300 tonnes). La province de Muramvya a enregistré une production de haricot nain particulièrement faible (548 tonnes).</w:t>
      </w:r>
    </w:p>
    <w:p w:rsidR="003C756C" w:rsidRPr="00B6647E" w:rsidRDefault="005F77F3" w:rsidP="00260A34">
      <w:pPr>
        <w:spacing w:line="240" w:lineRule="auto"/>
        <w:jc w:val="both"/>
        <w:rPr>
          <w:rFonts w:ascii="Arial" w:hAnsi="Arial" w:cs="Arial"/>
          <w:sz w:val="20"/>
          <w:szCs w:val="20"/>
          <w:lang w:eastAsia="fr-FR"/>
        </w:rPr>
      </w:pPr>
      <w:r w:rsidRPr="00B6647E">
        <w:rPr>
          <w:rFonts w:ascii="Arial" w:hAnsi="Arial" w:cs="Arial"/>
          <w:sz w:val="20"/>
          <w:szCs w:val="20"/>
          <w:lang w:eastAsia="fr-FR"/>
        </w:rPr>
        <w:t xml:space="preserve">La production de haricot </w:t>
      </w:r>
      <w:r w:rsidR="00A50B1B" w:rsidRPr="00B6647E">
        <w:rPr>
          <w:rFonts w:ascii="Arial" w:hAnsi="Arial" w:cs="Arial"/>
          <w:sz w:val="20"/>
          <w:szCs w:val="20"/>
          <w:lang w:eastAsia="fr-FR"/>
        </w:rPr>
        <w:t>volubile</w:t>
      </w:r>
      <w:r w:rsidRPr="00B6647E">
        <w:rPr>
          <w:rFonts w:ascii="Arial" w:hAnsi="Arial" w:cs="Arial"/>
          <w:sz w:val="20"/>
          <w:szCs w:val="20"/>
          <w:lang w:eastAsia="fr-FR"/>
        </w:rPr>
        <w:t xml:space="preserve"> (79.9</w:t>
      </w:r>
      <w:r w:rsidR="000360B9">
        <w:rPr>
          <w:rFonts w:ascii="Arial" w:hAnsi="Arial" w:cs="Arial"/>
          <w:sz w:val="20"/>
          <w:szCs w:val="20"/>
          <w:lang w:eastAsia="fr-FR"/>
        </w:rPr>
        <w:t>6</w:t>
      </w:r>
      <w:r w:rsidRPr="00B6647E">
        <w:rPr>
          <w:rFonts w:ascii="Arial" w:hAnsi="Arial" w:cs="Arial"/>
          <w:sz w:val="20"/>
          <w:szCs w:val="20"/>
          <w:lang w:eastAsia="fr-FR"/>
        </w:rPr>
        <w:t>2 tonnes) représente 38,8% d</w:t>
      </w:r>
      <w:r w:rsidR="000360B9">
        <w:rPr>
          <w:rFonts w:ascii="Arial" w:hAnsi="Arial" w:cs="Arial"/>
          <w:sz w:val="20"/>
          <w:szCs w:val="20"/>
          <w:lang w:eastAsia="fr-FR"/>
        </w:rPr>
        <w:t xml:space="preserve">e la production totale de l’ensemble </w:t>
      </w:r>
      <w:r w:rsidRPr="00B6647E">
        <w:rPr>
          <w:rFonts w:ascii="Arial" w:hAnsi="Arial" w:cs="Arial"/>
          <w:sz w:val="20"/>
          <w:szCs w:val="20"/>
          <w:lang w:eastAsia="fr-FR"/>
        </w:rPr>
        <w:t>du haricot (nain et volubile) et 33,8% de la production totale des légumineuses de toute la campagne agricole.</w:t>
      </w:r>
      <w:r w:rsidR="00A50B1B" w:rsidRPr="00B6647E">
        <w:rPr>
          <w:rFonts w:ascii="Arial" w:hAnsi="Arial" w:cs="Arial"/>
          <w:sz w:val="20"/>
          <w:szCs w:val="20"/>
          <w:lang w:eastAsia="fr-FR"/>
        </w:rPr>
        <w:t xml:space="preserve"> </w:t>
      </w:r>
    </w:p>
    <w:p w:rsidR="00C45DFB" w:rsidRPr="00B6647E" w:rsidRDefault="00A50B1B" w:rsidP="00260A34">
      <w:pPr>
        <w:spacing w:line="240" w:lineRule="auto"/>
        <w:jc w:val="both"/>
        <w:rPr>
          <w:rFonts w:ascii="Arial" w:hAnsi="Arial" w:cs="Arial"/>
          <w:sz w:val="20"/>
          <w:szCs w:val="20"/>
          <w:lang w:eastAsia="fr-FR"/>
        </w:rPr>
      </w:pPr>
      <w:r w:rsidRPr="00B6647E">
        <w:rPr>
          <w:rFonts w:ascii="Arial" w:hAnsi="Arial" w:cs="Arial"/>
          <w:sz w:val="20"/>
          <w:szCs w:val="20"/>
          <w:lang w:eastAsia="fr-FR"/>
        </w:rPr>
        <w:t>La proportion du haricot volubile produit pendant la saison B est estimée à 78,1%</w:t>
      </w:r>
      <w:r w:rsidR="003C756C" w:rsidRPr="00B6647E">
        <w:rPr>
          <w:rFonts w:ascii="Arial" w:hAnsi="Arial" w:cs="Arial"/>
          <w:sz w:val="20"/>
          <w:szCs w:val="20"/>
          <w:lang w:eastAsia="fr-FR"/>
        </w:rPr>
        <w:t xml:space="preserve"> de la production totale du haricot volubile de la campagne agricole</w:t>
      </w:r>
      <w:r w:rsidRPr="00B6647E">
        <w:rPr>
          <w:rFonts w:ascii="Arial" w:hAnsi="Arial" w:cs="Arial"/>
          <w:sz w:val="20"/>
          <w:szCs w:val="20"/>
          <w:lang w:eastAsia="fr-FR"/>
        </w:rPr>
        <w:t>.</w:t>
      </w:r>
    </w:p>
    <w:p w:rsidR="00E725C5" w:rsidRPr="00B6647E" w:rsidRDefault="00E725C5" w:rsidP="003C756C">
      <w:pPr>
        <w:spacing w:after="120" w:line="240" w:lineRule="auto"/>
        <w:rPr>
          <w:rFonts w:ascii="Arial" w:hAnsi="Arial" w:cs="Arial"/>
          <w:b/>
          <w:sz w:val="20"/>
          <w:szCs w:val="20"/>
          <w:lang w:eastAsia="fr-FR"/>
        </w:rPr>
      </w:pPr>
      <w:r w:rsidRPr="00B6647E">
        <w:rPr>
          <w:rFonts w:ascii="Arial" w:hAnsi="Arial" w:cs="Arial"/>
          <w:b/>
          <w:sz w:val="20"/>
          <w:szCs w:val="20"/>
          <w:lang w:eastAsia="fr-FR"/>
        </w:rPr>
        <w:t xml:space="preserve">Tableau </w:t>
      </w:r>
      <w:r w:rsidR="00367774" w:rsidRPr="00B6647E">
        <w:rPr>
          <w:rFonts w:ascii="Arial" w:hAnsi="Arial" w:cs="Arial"/>
          <w:b/>
          <w:sz w:val="20"/>
          <w:szCs w:val="20"/>
          <w:lang w:eastAsia="fr-FR"/>
        </w:rPr>
        <w:t>1</w:t>
      </w:r>
      <w:r w:rsidR="00E1150A">
        <w:rPr>
          <w:rFonts w:ascii="Arial" w:hAnsi="Arial" w:cs="Arial"/>
          <w:b/>
          <w:sz w:val="20"/>
          <w:szCs w:val="20"/>
          <w:lang w:eastAsia="fr-FR"/>
        </w:rPr>
        <w:t>21</w:t>
      </w:r>
      <w:r w:rsidRPr="00B6647E">
        <w:rPr>
          <w:rFonts w:ascii="Arial" w:hAnsi="Arial" w:cs="Arial"/>
          <w:b/>
          <w:sz w:val="20"/>
          <w:szCs w:val="20"/>
          <w:lang w:eastAsia="fr-FR"/>
        </w:rPr>
        <w:t> : Production totale de haricot volubile par province et par saison</w:t>
      </w:r>
    </w:p>
    <w:p w:rsidR="00E725C5" w:rsidRPr="00B6647E" w:rsidRDefault="000F02C1" w:rsidP="003C756C">
      <w:pPr>
        <w:spacing w:after="120" w:line="240" w:lineRule="auto"/>
        <w:rPr>
          <w:lang w:eastAsia="fr-FR"/>
        </w:rPr>
      </w:pPr>
      <w:r w:rsidRPr="00B6647E">
        <w:rPr>
          <w:noProof/>
          <w:lang w:val="fr-FR" w:eastAsia="fr-FR"/>
        </w:rPr>
        <w:drawing>
          <wp:inline distT="0" distB="0" distL="0" distR="0">
            <wp:extent cx="4067175" cy="3667125"/>
            <wp:effectExtent l="19050" t="0" r="9525" b="0"/>
            <wp:docPr id="429"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5" cstate="print"/>
                    <a:srcRect/>
                    <a:stretch>
                      <a:fillRect/>
                    </a:stretch>
                  </pic:blipFill>
                  <pic:spPr bwMode="auto">
                    <a:xfrm>
                      <a:off x="0" y="0"/>
                      <a:ext cx="4067175" cy="3667125"/>
                    </a:xfrm>
                    <a:prstGeom prst="rect">
                      <a:avLst/>
                    </a:prstGeom>
                    <a:noFill/>
                    <a:ln w="9525">
                      <a:noFill/>
                      <a:miter lim="800000"/>
                      <a:headEnd/>
                      <a:tailEnd/>
                    </a:ln>
                  </pic:spPr>
                </pic:pic>
              </a:graphicData>
            </a:graphic>
          </wp:inline>
        </w:drawing>
      </w:r>
    </w:p>
    <w:p w:rsidR="00F01970" w:rsidRPr="00B6647E" w:rsidRDefault="00F01970" w:rsidP="00F01970">
      <w:pPr>
        <w:spacing w:line="240" w:lineRule="auto"/>
        <w:jc w:val="both"/>
        <w:rPr>
          <w:rFonts w:ascii="Arial" w:hAnsi="Arial" w:cs="Arial"/>
          <w:sz w:val="20"/>
          <w:szCs w:val="20"/>
          <w:lang w:eastAsia="fr-FR"/>
        </w:rPr>
      </w:pPr>
      <w:r w:rsidRPr="00B6647E">
        <w:rPr>
          <w:rFonts w:ascii="Arial" w:hAnsi="Arial" w:cs="Arial"/>
          <w:sz w:val="20"/>
          <w:szCs w:val="20"/>
          <w:lang w:eastAsia="fr-FR"/>
        </w:rPr>
        <w:t>Les plus grandes productions ont été enregistrées dans Kayanza (11.264 tonnes), Ngozi (9.363 tonnes), Karuzi (8.487 tonnes), Muramvya (7.977 tonnes), Gitega (7.853 tonnes), Bururi (7 ?809 tonnes).A contrario, chacune Cankuzo (548 tonnes) et Cibitoke (712 tonnes) ont produit moins de 1000 tonnes.</w:t>
      </w:r>
    </w:p>
    <w:p w:rsidR="003C756C" w:rsidRPr="00B6647E" w:rsidRDefault="003C756C" w:rsidP="003C756C">
      <w:pPr>
        <w:spacing w:after="120" w:line="240" w:lineRule="auto"/>
        <w:jc w:val="both"/>
        <w:rPr>
          <w:rFonts w:ascii="Arial" w:hAnsi="Arial" w:cs="Arial"/>
          <w:sz w:val="20"/>
          <w:szCs w:val="20"/>
          <w:lang w:eastAsia="fr-FR"/>
        </w:rPr>
      </w:pPr>
      <w:r w:rsidRPr="00B6647E">
        <w:rPr>
          <w:rFonts w:ascii="Arial" w:hAnsi="Arial" w:cs="Arial"/>
          <w:sz w:val="20"/>
          <w:szCs w:val="20"/>
          <w:lang w:eastAsia="fr-FR"/>
        </w:rPr>
        <w:t>La production de niébé (5.859 tonnes) qui ne représente que 2,5 % de la production totale des légumineuses de toute la campagne agricole a été estimée principalement en saison B (4.568 tonnes) et dans les provinces Karuzi (1.510 tonnes), Bubanza (1.2-9 tonnes), Gitega (881 tonnes), Mwaro (722 tonnes), Bujumbura rural (706 tonnes)</w:t>
      </w:r>
    </w:p>
    <w:p w:rsidR="003C756C" w:rsidRPr="00B6647E" w:rsidRDefault="003C756C" w:rsidP="00F01970">
      <w:pPr>
        <w:spacing w:line="240" w:lineRule="auto"/>
        <w:jc w:val="both"/>
        <w:rPr>
          <w:rFonts w:ascii="Arial" w:hAnsi="Arial" w:cs="Arial"/>
          <w:sz w:val="20"/>
          <w:szCs w:val="20"/>
          <w:lang w:eastAsia="fr-FR"/>
        </w:rPr>
      </w:pPr>
    </w:p>
    <w:p w:rsidR="003C756C" w:rsidRPr="00B6647E" w:rsidRDefault="003C756C">
      <w:pPr>
        <w:rPr>
          <w:rFonts w:ascii="Arial" w:hAnsi="Arial" w:cs="Arial"/>
          <w:b/>
          <w:sz w:val="20"/>
          <w:szCs w:val="20"/>
          <w:lang w:eastAsia="fr-FR"/>
        </w:rPr>
      </w:pPr>
      <w:r w:rsidRPr="00B6647E">
        <w:rPr>
          <w:rFonts w:ascii="Arial" w:hAnsi="Arial" w:cs="Arial"/>
          <w:b/>
          <w:sz w:val="20"/>
          <w:szCs w:val="20"/>
          <w:lang w:eastAsia="fr-FR"/>
        </w:rPr>
        <w:br w:type="page"/>
      </w:r>
    </w:p>
    <w:p w:rsidR="00E725C5" w:rsidRPr="00B6647E" w:rsidRDefault="00E725C5" w:rsidP="008B2DFC">
      <w:pPr>
        <w:spacing w:after="0" w:line="240" w:lineRule="auto"/>
        <w:rPr>
          <w:rFonts w:ascii="Arial" w:hAnsi="Arial" w:cs="Arial"/>
          <w:b/>
          <w:sz w:val="20"/>
          <w:szCs w:val="20"/>
          <w:lang w:eastAsia="fr-FR"/>
        </w:rPr>
      </w:pPr>
      <w:r w:rsidRPr="00B6647E">
        <w:rPr>
          <w:rFonts w:ascii="Arial" w:hAnsi="Arial" w:cs="Arial"/>
          <w:b/>
          <w:sz w:val="20"/>
          <w:szCs w:val="20"/>
          <w:lang w:eastAsia="fr-FR"/>
        </w:rPr>
        <w:lastRenderedPageBreak/>
        <w:t xml:space="preserve">Tableau </w:t>
      </w:r>
      <w:r w:rsidR="00367774" w:rsidRPr="00B6647E">
        <w:rPr>
          <w:rFonts w:ascii="Arial" w:hAnsi="Arial" w:cs="Arial"/>
          <w:b/>
          <w:sz w:val="20"/>
          <w:szCs w:val="20"/>
          <w:lang w:eastAsia="fr-FR"/>
        </w:rPr>
        <w:t>1</w:t>
      </w:r>
      <w:r w:rsidR="00E1150A">
        <w:rPr>
          <w:rFonts w:ascii="Arial" w:hAnsi="Arial" w:cs="Arial"/>
          <w:b/>
          <w:sz w:val="20"/>
          <w:szCs w:val="20"/>
          <w:lang w:eastAsia="fr-FR"/>
        </w:rPr>
        <w:t>22</w:t>
      </w:r>
      <w:r w:rsidRPr="00B6647E">
        <w:rPr>
          <w:rFonts w:ascii="Arial" w:hAnsi="Arial" w:cs="Arial"/>
          <w:b/>
          <w:sz w:val="20"/>
          <w:szCs w:val="20"/>
          <w:lang w:eastAsia="fr-FR"/>
        </w:rPr>
        <w:t> : Production totale de niébé par province et par saison</w:t>
      </w:r>
    </w:p>
    <w:p w:rsidR="003C756C" w:rsidRPr="00B6647E" w:rsidRDefault="000F02C1" w:rsidP="003C756C">
      <w:pPr>
        <w:spacing w:after="120" w:line="240" w:lineRule="auto"/>
        <w:jc w:val="both"/>
        <w:rPr>
          <w:rFonts w:ascii="Arial" w:hAnsi="Arial" w:cs="Arial"/>
          <w:sz w:val="20"/>
          <w:szCs w:val="20"/>
          <w:lang w:eastAsia="fr-FR"/>
        </w:rPr>
      </w:pPr>
      <w:r w:rsidRPr="00B6647E">
        <w:rPr>
          <w:noProof/>
          <w:lang w:val="fr-FR" w:eastAsia="fr-FR"/>
        </w:rPr>
        <w:drawing>
          <wp:inline distT="0" distB="0" distL="0" distR="0">
            <wp:extent cx="4067175" cy="3867150"/>
            <wp:effectExtent l="19050" t="0" r="9525" b="0"/>
            <wp:docPr id="430"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6" cstate="print"/>
                    <a:srcRect/>
                    <a:stretch>
                      <a:fillRect/>
                    </a:stretch>
                  </pic:blipFill>
                  <pic:spPr bwMode="auto">
                    <a:xfrm>
                      <a:off x="0" y="0"/>
                      <a:ext cx="4067175" cy="3867150"/>
                    </a:xfrm>
                    <a:prstGeom prst="rect">
                      <a:avLst/>
                    </a:prstGeom>
                    <a:noFill/>
                    <a:ln w="9525">
                      <a:noFill/>
                      <a:miter lim="800000"/>
                      <a:headEnd/>
                      <a:tailEnd/>
                    </a:ln>
                  </pic:spPr>
                </pic:pic>
              </a:graphicData>
            </a:graphic>
          </wp:inline>
        </w:drawing>
      </w:r>
    </w:p>
    <w:p w:rsidR="00E725C5" w:rsidRPr="00B6647E" w:rsidRDefault="00E725C5" w:rsidP="008B2DFC">
      <w:pPr>
        <w:spacing w:after="0" w:line="240" w:lineRule="auto"/>
        <w:rPr>
          <w:lang w:eastAsia="fr-FR"/>
        </w:rPr>
      </w:pPr>
    </w:p>
    <w:p w:rsidR="00E725C5" w:rsidRPr="00B6647E" w:rsidRDefault="00367774" w:rsidP="008B2DFC">
      <w:pPr>
        <w:spacing w:after="0" w:line="240" w:lineRule="auto"/>
        <w:rPr>
          <w:rFonts w:ascii="Arial" w:hAnsi="Arial" w:cs="Arial"/>
          <w:b/>
          <w:sz w:val="20"/>
          <w:szCs w:val="20"/>
          <w:lang w:eastAsia="fr-FR"/>
        </w:rPr>
      </w:pPr>
      <w:r w:rsidRPr="00B6647E">
        <w:rPr>
          <w:rFonts w:ascii="Arial" w:hAnsi="Arial" w:cs="Arial"/>
          <w:b/>
          <w:sz w:val="20"/>
          <w:szCs w:val="20"/>
          <w:lang w:eastAsia="fr-FR"/>
        </w:rPr>
        <w:t>Tableau 1</w:t>
      </w:r>
      <w:r w:rsidR="00E1150A">
        <w:rPr>
          <w:rFonts w:ascii="Arial" w:hAnsi="Arial" w:cs="Arial"/>
          <w:b/>
          <w:sz w:val="20"/>
          <w:szCs w:val="20"/>
          <w:lang w:eastAsia="fr-FR"/>
        </w:rPr>
        <w:t>23</w:t>
      </w:r>
      <w:r w:rsidR="00E725C5" w:rsidRPr="00B6647E">
        <w:rPr>
          <w:rFonts w:ascii="Arial" w:hAnsi="Arial" w:cs="Arial"/>
          <w:b/>
          <w:sz w:val="20"/>
          <w:szCs w:val="20"/>
          <w:lang w:eastAsia="fr-FR"/>
        </w:rPr>
        <w:t> : Production totale de petit pois par province et par saison</w:t>
      </w:r>
    </w:p>
    <w:p w:rsidR="00E725C5" w:rsidRPr="00B6647E" w:rsidRDefault="000F02C1" w:rsidP="008B2DFC">
      <w:pPr>
        <w:spacing w:after="0" w:line="240" w:lineRule="auto"/>
        <w:rPr>
          <w:lang w:eastAsia="fr-FR"/>
        </w:rPr>
      </w:pPr>
      <w:r w:rsidRPr="00B6647E">
        <w:rPr>
          <w:noProof/>
          <w:lang w:val="fr-FR" w:eastAsia="fr-FR"/>
        </w:rPr>
        <w:drawing>
          <wp:inline distT="0" distB="0" distL="0" distR="0">
            <wp:extent cx="4067175" cy="3867150"/>
            <wp:effectExtent l="19050" t="0" r="9525" b="0"/>
            <wp:docPr id="431"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7" cstate="print"/>
                    <a:srcRect/>
                    <a:stretch>
                      <a:fillRect/>
                    </a:stretch>
                  </pic:blipFill>
                  <pic:spPr bwMode="auto">
                    <a:xfrm>
                      <a:off x="0" y="0"/>
                      <a:ext cx="4067175" cy="3867150"/>
                    </a:xfrm>
                    <a:prstGeom prst="rect">
                      <a:avLst/>
                    </a:prstGeom>
                    <a:noFill/>
                    <a:ln w="9525">
                      <a:noFill/>
                      <a:miter lim="800000"/>
                      <a:headEnd/>
                      <a:tailEnd/>
                    </a:ln>
                  </pic:spPr>
                </pic:pic>
              </a:graphicData>
            </a:graphic>
          </wp:inline>
        </w:drawing>
      </w:r>
    </w:p>
    <w:p w:rsidR="008B2DFC" w:rsidRPr="00B6647E" w:rsidRDefault="008B2DFC" w:rsidP="008B2DFC">
      <w:pPr>
        <w:spacing w:after="0" w:line="240" w:lineRule="auto"/>
        <w:jc w:val="both"/>
        <w:rPr>
          <w:rFonts w:ascii="Arial" w:hAnsi="Arial" w:cs="Arial"/>
          <w:sz w:val="20"/>
          <w:szCs w:val="20"/>
          <w:lang w:eastAsia="fr-FR"/>
        </w:rPr>
      </w:pPr>
      <w:r w:rsidRPr="00B6647E">
        <w:rPr>
          <w:rFonts w:ascii="Arial" w:hAnsi="Arial" w:cs="Arial"/>
          <w:sz w:val="20"/>
          <w:szCs w:val="20"/>
          <w:lang w:eastAsia="fr-FR"/>
        </w:rPr>
        <w:t>La production du petit pois (16.719 tonnes) représente 7,1 % de la production totale des légumineuses de toute la campagne agricole. Elle a été estimée principalement en saison B (10.558 tonnes) et dans les provinces Kayanza (4.004 tonnes), Muramvya (3.745 tonnes), Gitega (3.437 tonnes).</w:t>
      </w:r>
    </w:p>
    <w:p w:rsidR="008B2DFC" w:rsidRPr="00B6647E" w:rsidRDefault="008B2DFC" w:rsidP="008B2DFC">
      <w:pPr>
        <w:spacing w:after="0" w:line="240" w:lineRule="auto"/>
        <w:jc w:val="both"/>
        <w:rPr>
          <w:rFonts w:ascii="Arial" w:hAnsi="Arial" w:cs="Arial"/>
          <w:sz w:val="20"/>
          <w:szCs w:val="20"/>
          <w:lang w:eastAsia="fr-FR"/>
        </w:rPr>
      </w:pPr>
    </w:p>
    <w:p w:rsidR="008B2DFC" w:rsidRPr="00B6647E" w:rsidRDefault="008B2DFC" w:rsidP="003C756C">
      <w:pPr>
        <w:spacing w:line="240" w:lineRule="auto"/>
        <w:jc w:val="both"/>
        <w:rPr>
          <w:rFonts w:ascii="Arial" w:hAnsi="Arial" w:cs="Arial"/>
          <w:sz w:val="20"/>
          <w:szCs w:val="20"/>
          <w:lang w:eastAsia="fr-FR"/>
        </w:rPr>
      </w:pPr>
      <w:r w:rsidRPr="00B6647E">
        <w:rPr>
          <w:rFonts w:ascii="Arial" w:hAnsi="Arial" w:cs="Arial"/>
          <w:sz w:val="20"/>
          <w:szCs w:val="20"/>
          <w:lang w:eastAsia="fr-FR"/>
        </w:rPr>
        <w:t>L</w:t>
      </w:r>
      <w:r w:rsidR="008B6E6E">
        <w:rPr>
          <w:rFonts w:ascii="Arial" w:hAnsi="Arial" w:cs="Arial"/>
          <w:sz w:val="20"/>
          <w:szCs w:val="20"/>
          <w:lang w:eastAsia="fr-FR"/>
        </w:rPr>
        <w:t>es</w:t>
      </w:r>
      <w:r w:rsidRPr="00B6647E">
        <w:rPr>
          <w:rFonts w:ascii="Arial" w:hAnsi="Arial" w:cs="Arial"/>
          <w:sz w:val="20"/>
          <w:szCs w:val="20"/>
          <w:lang w:eastAsia="fr-FR"/>
        </w:rPr>
        <w:t xml:space="preserve"> production</w:t>
      </w:r>
      <w:r w:rsidR="008B6E6E">
        <w:rPr>
          <w:rFonts w:ascii="Arial" w:hAnsi="Arial" w:cs="Arial"/>
          <w:sz w:val="20"/>
          <w:szCs w:val="20"/>
          <w:lang w:eastAsia="fr-FR"/>
        </w:rPr>
        <w:t>s</w:t>
      </w:r>
      <w:r w:rsidRPr="00B6647E">
        <w:rPr>
          <w:rFonts w:ascii="Arial" w:hAnsi="Arial" w:cs="Arial"/>
          <w:sz w:val="20"/>
          <w:szCs w:val="20"/>
          <w:lang w:eastAsia="fr-FR"/>
        </w:rPr>
        <w:t xml:space="preserve"> de petit pois de Cankuzo (39 tonnes) et Cibitoke (21 tonnes) sont très faibles.</w:t>
      </w:r>
    </w:p>
    <w:p w:rsidR="000354B8" w:rsidRPr="00B6647E" w:rsidRDefault="006A6525" w:rsidP="00AD6890">
      <w:pPr>
        <w:spacing w:line="240" w:lineRule="auto"/>
        <w:jc w:val="both"/>
        <w:rPr>
          <w:rFonts w:ascii="Arial" w:hAnsi="Arial" w:cs="Arial"/>
          <w:sz w:val="20"/>
          <w:szCs w:val="20"/>
          <w:lang w:eastAsia="fr-FR"/>
        </w:rPr>
      </w:pPr>
      <w:r w:rsidRPr="00B6647E">
        <w:rPr>
          <w:rFonts w:ascii="Arial" w:hAnsi="Arial" w:cs="Arial"/>
          <w:sz w:val="20"/>
          <w:szCs w:val="20"/>
          <w:lang w:eastAsia="fr-FR"/>
        </w:rPr>
        <w:t>La production du p</w:t>
      </w:r>
      <w:r w:rsidR="009A1F42">
        <w:rPr>
          <w:rFonts w:ascii="Arial" w:hAnsi="Arial" w:cs="Arial"/>
          <w:sz w:val="20"/>
          <w:szCs w:val="20"/>
          <w:lang w:eastAsia="fr-FR"/>
        </w:rPr>
        <w:t>ois</w:t>
      </w:r>
      <w:r w:rsidRPr="00B6647E">
        <w:rPr>
          <w:rFonts w:ascii="Arial" w:hAnsi="Arial" w:cs="Arial"/>
          <w:sz w:val="20"/>
          <w:szCs w:val="20"/>
          <w:lang w:eastAsia="fr-FR"/>
        </w:rPr>
        <w:t xml:space="preserve"> cajan (8.135 tonnes) représente 3,4 % de la production totale des légumineuses des trois saisons. </w:t>
      </w:r>
    </w:p>
    <w:p w:rsidR="006A6525" w:rsidRPr="00B6647E" w:rsidRDefault="006A6525" w:rsidP="00AD6890">
      <w:pPr>
        <w:spacing w:line="240" w:lineRule="auto"/>
        <w:jc w:val="both"/>
        <w:rPr>
          <w:rFonts w:ascii="Arial" w:hAnsi="Arial" w:cs="Arial"/>
          <w:sz w:val="20"/>
          <w:szCs w:val="20"/>
          <w:lang w:eastAsia="fr-FR"/>
        </w:rPr>
      </w:pPr>
      <w:r w:rsidRPr="00B6647E">
        <w:rPr>
          <w:rFonts w:ascii="Arial" w:hAnsi="Arial" w:cs="Arial"/>
          <w:sz w:val="20"/>
          <w:szCs w:val="20"/>
          <w:lang w:eastAsia="fr-FR"/>
        </w:rPr>
        <w:t>Elle a été estimée essentiellement au cours de la saison B (5.451 tonnes), en saison C (2.532 tonnes) et dans les provinces Ruyigi (3.036 tonnes), Gitega (1.768 tonnes), Mwaro (1.377 tonnes), Rutana (940 tonnes)</w:t>
      </w:r>
      <w:r w:rsidR="00304224" w:rsidRPr="00B6647E">
        <w:rPr>
          <w:rFonts w:ascii="Arial" w:hAnsi="Arial" w:cs="Arial"/>
          <w:sz w:val="20"/>
          <w:szCs w:val="20"/>
          <w:lang w:eastAsia="fr-FR"/>
        </w:rPr>
        <w:t>.</w:t>
      </w:r>
    </w:p>
    <w:p w:rsidR="00E725C5" w:rsidRPr="00B6647E" w:rsidRDefault="00E725C5" w:rsidP="00367774">
      <w:pPr>
        <w:spacing w:before="200" w:after="120" w:line="240" w:lineRule="auto"/>
        <w:rPr>
          <w:rFonts w:ascii="Arial" w:hAnsi="Arial" w:cs="Arial"/>
          <w:b/>
          <w:sz w:val="20"/>
          <w:szCs w:val="20"/>
          <w:lang w:eastAsia="fr-FR"/>
        </w:rPr>
      </w:pPr>
      <w:r w:rsidRPr="00B6647E">
        <w:rPr>
          <w:rFonts w:ascii="Arial" w:hAnsi="Arial" w:cs="Arial"/>
          <w:b/>
          <w:sz w:val="20"/>
          <w:szCs w:val="20"/>
          <w:lang w:eastAsia="fr-FR"/>
        </w:rPr>
        <w:t xml:space="preserve">Tableau </w:t>
      </w:r>
      <w:r w:rsidR="00367774" w:rsidRPr="00B6647E">
        <w:rPr>
          <w:rFonts w:ascii="Arial" w:hAnsi="Arial" w:cs="Arial"/>
          <w:b/>
          <w:sz w:val="20"/>
          <w:szCs w:val="20"/>
          <w:lang w:eastAsia="fr-FR"/>
        </w:rPr>
        <w:t>1</w:t>
      </w:r>
      <w:r w:rsidR="00E1150A">
        <w:rPr>
          <w:rFonts w:ascii="Arial" w:hAnsi="Arial" w:cs="Arial"/>
          <w:b/>
          <w:sz w:val="20"/>
          <w:szCs w:val="20"/>
          <w:lang w:eastAsia="fr-FR"/>
        </w:rPr>
        <w:t>24</w:t>
      </w:r>
      <w:r w:rsidRPr="00B6647E">
        <w:rPr>
          <w:rFonts w:ascii="Arial" w:hAnsi="Arial" w:cs="Arial"/>
          <w:b/>
          <w:sz w:val="20"/>
          <w:szCs w:val="20"/>
          <w:lang w:eastAsia="fr-FR"/>
        </w:rPr>
        <w:t> : Production totale de pois cajan par province et par saison</w:t>
      </w:r>
    </w:p>
    <w:p w:rsidR="00E52C5E" w:rsidRPr="00B6647E" w:rsidRDefault="000F02C1" w:rsidP="000354B8">
      <w:pPr>
        <w:keepNext/>
        <w:spacing w:line="240" w:lineRule="auto"/>
        <w:rPr>
          <w:lang w:eastAsia="fr-FR"/>
        </w:rPr>
      </w:pPr>
      <w:r w:rsidRPr="00B6647E">
        <w:rPr>
          <w:noProof/>
          <w:lang w:val="fr-FR" w:eastAsia="fr-FR"/>
        </w:rPr>
        <w:drawing>
          <wp:inline distT="0" distB="0" distL="0" distR="0">
            <wp:extent cx="4067175" cy="3667125"/>
            <wp:effectExtent l="19050" t="0" r="9525" b="0"/>
            <wp:docPr id="432"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8" cstate="print"/>
                    <a:srcRect/>
                    <a:stretch>
                      <a:fillRect/>
                    </a:stretch>
                  </pic:blipFill>
                  <pic:spPr bwMode="auto">
                    <a:xfrm>
                      <a:off x="0" y="0"/>
                      <a:ext cx="4067175" cy="3667125"/>
                    </a:xfrm>
                    <a:prstGeom prst="rect">
                      <a:avLst/>
                    </a:prstGeom>
                    <a:noFill/>
                    <a:ln w="9525">
                      <a:noFill/>
                      <a:miter lim="800000"/>
                      <a:headEnd/>
                      <a:tailEnd/>
                    </a:ln>
                  </pic:spPr>
                </pic:pic>
              </a:graphicData>
            </a:graphic>
          </wp:inline>
        </w:drawing>
      </w:r>
    </w:p>
    <w:p w:rsidR="008B2DFC" w:rsidRPr="00B6647E" w:rsidRDefault="008B2DFC">
      <w:pPr>
        <w:rPr>
          <w:rFonts w:ascii="Arial" w:hAnsi="Arial" w:cs="Arial"/>
          <w:b/>
          <w:sz w:val="20"/>
          <w:szCs w:val="20"/>
          <w:lang w:eastAsia="fr-FR"/>
        </w:rPr>
      </w:pPr>
      <w:r w:rsidRPr="00B6647E">
        <w:rPr>
          <w:rFonts w:ascii="Arial" w:hAnsi="Arial" w:cs="Arial"/>
          <w:b/>
          <w:sz w:val="20"/>
          <w:szCs w:val="20"/>
          <w:lang w:eastAsia="fr-FR"/>
        </w:rPr>
        <w:br w:type="page"/>
      </w:r>
    </w:p>
    <w:p w:rsidR="00E52C5E" w:rsidRPr="00B6647E" w:rsidRDefault="004613DC" w:rsidP="00AD6890">
      <w:pPr>
        <w:spacing w:line="240" w:lineRule="auto"/>
        <w:rPr>
          <w:rFonts w:ascii="Arial" w:hAnsi="Arial" w:cs="Arial"/>
          <w:b/>
          <w:sz w:val="20"/>
          <w:szCs w:val="20"/>
          <w:lang w:eastAsia="fr-FR"/>
        </w:rPr>
      </w:pPr>
      <w:r w:rsidRPr="00B6647E">
        <w:rPr>
          <w:rFonts w:ascii="Arial" w:hAnsi="Arial" w:cs="Arial"/>
          <w:b/>
          <w:sz w:val="20"/>
          <w:szCs w:val="20"/>
          <w:lang w:eastAsia="fr-FR"/>
        </w:rPr>
        <w:lastRenderedPageBreak/>
        <w:t xml:space="preserve">Carte </w:t>
      </w:r>
      <w:r w:rsidR="00613D0F" w:rsidRPr="00B6647E">
        <w:rPr>
          <w:rFonts w:ascii="Arial" w:hAnsi="Arial" w:cs="Arial"/>
          <w:b/>
          <w:sz w:val="20"/>
          <w:szCs w:val="20"/>
          <w:lang w:eastAsia="fr-FR"/>
        </w:rPr>
        <w:t>10</w:t>
      </w:r>
      <w:r w:rsidRPr="00B6647E">
        <w:rPr>
          <w:rFonts w:ascii="Arial" w:hAnsi="Arial" w:cs="Arial"/>
          <w:b/>
          <w:sz w:val="20"/>
          <w:szCs w:val="20"/>
          <w:lang w:eastAsia="fr-FR"/>
        </w:rPr>
        <w:t> : Production totale de légumineuses de la campagne agricole 2011-2012 par provinces</w:t>
      </w:r>
    </w:p>
    <w:p w:rsidR="004613DC" w:rsidRPr="00B6647E" w:rsidRDefault="004613DC" w:rsidP="00AD6890">
      <w:pPr>
        <w:spacing w:line="240" w:lineRule="auto"/>
        <w:rPr>
          <w:rFonts w:cs="Arial"/>
          <w:u w:val="dotDash"/>
        </w:rPr>
      </w:pPr>
    </w:p>
    <w:p w:rsidR="004613DC" w:rsidRPr="00B6647E" w:rsidRDefault="000F786D">
      <w:pPr>
        <w:rPr>
          <w:rFonts w:ascii="Arial" w:hAnsi="Arial" w:cs="Arial"/>
          <w:sz w:val="20"/>
          <w:szCs w:val="20"/>
          <w:lang w:eastAsia="fr-FR"/>
        </w:rPr>
      </w:pPr>
      <w:r w:rsidRPr="00B6647E">
        <w:rPr>
          <w:rFonts w:ascii="Arial" w:hAnsi="Arial" w:cs="Arial"/>
          <w:noProof/>
          <w:sz w:val="20"/>
          <w:szCs w:val="20"/>
          <w:lang w:val="fr-FR" w:eastAsia="fr-FR"/>
        </w:rPr>
        <w:drawing>
          <wp:inline distT="0" distB="0" distL="0" distR="0">
            <wp:extent cx="5795784" cy="4082903"/>
            <wp:effectExtent l="19050" t="0" r="0" b="0"/>
            <wp:docPr id="36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9" cstate="print"/>
                    <a:srcRect l="5318" t="5399" r="5274" b="5634"/>
                    <a:stretch>
                      <a:fillRect/>
                    </a:stretch>
                  </pic:blipFill>
                  <pic:spPr bwMode="auto">
                    <a:xfrm>
                      <a:off x="0" y="0"/>
                      <a:ext cx="5792779" cy="4080786"/>
                    </a:xfrm>
                    <a:prstGeom prst="rect">
                      <a:avLst/>
                    </a:prstGeom>
                    <a:noFill/>
                    <a:ln w="9525">
                      <a:noFill/>
                      <a:miter lim="800000"/>
                      <a:headEnd/>
                      <a:tailEnd/>
                    </a:ln>
                  </pic:spPr>
                </pic:pic>
              </a:graphicData>
            </a:graphic>
          </wp:inline>
        </w:drawing>
      </w:r>
    </w:p>
    <w:p w:rsidR="001A3AEF" w:rsidRPr="00B6647E" w:rsidRDefault="000552AE" w:rsidP="00F822C8">
      <w:pPr>
        <w:pStyle w:val="Titre2"/>
        <w:keepNext w:val="0"/>
        <w:numPr>
          <w:ilvl w:val="1"/>
          <w:numId w:val="1"/>
        </w:numPr>
        <w:spacing w:before="240" w:after="200"/>
        <w:ind w:left="0" w:firstLine="0"/>
        <w:rPr>
          <w:rFonts w:cs="Arial"/>
          <w:u w:val="dotDash"/>
        </w:rPr>
      </w:pPr>
      <w:bookmarkStart w:id="236" w:name="_Toc354313883"/>
      <w:r w:rsidRPr="00B6647E">
        <w:rPr>
          <w:rFonts w:cs="Arial"/>
          <w:u w:val="dotDash"/>
        </w:rPr>
        <w:t>Banane</w:t>
      </w:r>
      <w:bookmarkEnd w:id="236"/>
      <w:r w:rsidRPr="00B6647E">
        <w:rPr>
          <w:rFonts w:cs="Arial"/>
          <w:u w:val="dotDash"/>
        </w:rPr>
        <w:t xml:space="preserve"> </w:t>
      </w:r>
    </w:p>
    <w:p w:rsidR="000552AE" w:rsidRPr="00B6647E" w:rsidRDefault="000552AE" w:rsidP="00F822C8">
      <w:pPr>
        <w:pStyle w:val="Titre3"/>
        <w:keepNext w:val="0"/>
        <w:numPr>
          <w:ilvl w:val="2"/>
          <w:numId w:val="1"/>
        </w:numPr>
        <w:spacing w:before="200" w:after="120"/>
        <w:ind w:left="0" w:firstLine="0"/>
        <w:rPr>
          <w:rFonts w:cs="Arial"/>
          <w:szCs w:val="20"/>
        </w:rPr>
      </w:pPr>
      <w:bookmarkStart w:id="237" w:name="_Toc354313884"/>
      <w:r w:rsidRPr="00B6647E">
        <w:rPr>
          <w:rFonts w:cs="Arial"/>
          <w:szCs w:val="20"/>
        </w:rPr>
        <w:t>Superficies</w:t>
      </w:r>
      <w:bookmarkEnd w:id="237"/>
    </w:p>
    <w:p w:rsidR="008B2DFC" w:rsidRPr="00B6647E" w:rsidRDefault="00490520" w:rsidP="001C637F">
      <w:pPr>
        <w:spacing w:after="120" w:line="240" w:lineRule="auto"/>
        <w:jc w:val="both"/>
        <w:rPr>
          <w:rFonts w:ascii="Arial" w:hAnsi="Arial" w:cs="Arial"/>
          <w:sz w:val="20"/>
          <w:szCs w:val="20"/>
        </w:rPr>
      </w:pPr>
      <w:r w:rsidRPr="00B6647E">
        <w:rPr>
          <w:rFonts w:ascii="Arial" w:hAnsi="Arial" w:cs="Arial"/>
          <w:sz w:val="20"/>
          <w:szCs w:val="20"/>
        </w:rPr>
        <w:t xml:space="preserve">Les superficies des bananes </w:t>
      </w:r>
      <w:r w:rsidR="00E13DAF" w:rsidRPr="00B6647E">
        <w:rPr>
          <w:rFonts w:ascii="Arial" w:hAnsi="Arial" w:cs="Arial"/>
          <w:sz w:val="20"/>
          <w:szCs w:val="20"/>
        </w:rPr>
        <w:t xml:space="preserve">(banane à bière, banane à cuire et banane à fruit) </w:t>
      </w:r>
      <w:r w:rsidRPr="00B6647E">
        <w:rPr>
          <w:rFonts w:ascii="Arial" w:hAnsi="Arial" w:cs="Arial"/>
          <w:sz w:val="20"/>
          <w:szCs w:val="20"/>
        </w:rPr>
        <w:t>en cultures pures de la campagne agricole 2011-201</w:t>
      </w:r>
      <w:r w:rsidR="00E13DAF" w:rsidRPr="00B6647E">
        <w:rPr>
          <w:rFonts w:ascii="Arial" w:hAnsi="Arial" w:cs="Arial"/>
          <w:sz w:val="20"/>
          <w:szCs w:val="20"/>
        </w:rPr>
        <w:t>2</w:t>
      </w:r>
      <w:r w:rsidRPr="00B6647E">
        <w:rPr>
          <w:rFonts w:ascii="Arial" w:hAnsi="Arial" w:cs="Arial"/>
          <w:sz w:val="20"/>
          <w:szCs w:val="20"/>
        </w:rPr>
        <w:t xml:space="preserve"> ont été estimées à 178.036 ha. Elles sont composées de 36.736 ha en saison A, de 40.782 ha au cours de la saison B et 100.518 ha pendant la saison C.</w:t>
      </w:r>
    </w:p>
    <w:p w:rsidR="00490520" w:rsidRPr="00B6647E" w:rsidRDefault="00490520" w:rsidP="001C637F">
      <w:pPr>
        <w:spacing w:after="120" w:line="240" w:lineRule="auto"/>
        <w:jc w:val="both"/>
        <w:rPr>
          <w:rFonts w:ascii="Arial" w:hAnsi="Arial" w:cs="Arial"/>
          <w:sz w:val="20"/>
          <w:szCs w:val="20"/>
        </w:rPr>
      </w:pPr>
      <w:r w:rsidRPr="00B6647E">
        <w:rPr>
          <w:rFonts w:ascii="Arial" w:hAnsi="Arial" w:cs="Arial"/>
          <w:sz w:val="20"/>
          <w:szCs w:val="20"/>
        </w:rPr>
        <w:t xml:space="preserve">La supériorité de la superficie de la saison C par rapport aux deux autres saisons s’explique par le changement de rang de la banane dans les associations. En effet, </w:t>
      </w:r>
      <w:r w:rsidR="009B6649" w:rsidRPr="00B6647E">
        <w:rPr>
          <w:rFonts w:ascii="Arial" w:hAnsi="Arial" w:cs="Arial"/>
          <w:sz w:val="20"/>
          <w:szCs w:val="20"/>
        </w:rPr>
        <w:t>les proportions de parcelles de banane en cultures pures sont de 5% en saison A, 5,4% pendant la saison B contre 17,5% au cours de la saison C</w:t>
      </w:r>
    </w:p>
    <w:p w:rsidR="008B2DFC" w:rsidRPr="00B6647E" w:rsidRDefault="00E13DAF" w:rsidP="001C637F">
      <w:pPr>
        <w:spacing w:after="120" w:line="240" w:lineRule="auto"/>
        <w:jc w:val="both"/>
        <w:rPr>
          <w:rFonts w:ascii="Arial" w:hAnsi="Arial" w:cs="Arial"/>
          <w:sz w:val="20"/>
          <w:szCs w:val="20"/>
        </w:rPr>
      </w:pPr>
      <w:r w:rsidRPr="00B6647E">
        <w:rPr>
          <w:rFonts w:ascii="Arial" w:hAnsi="Arial" w:cs="Arial"/>
          <w:sz w:val="20"/>
          <w:szCs w:val="20"/>
        </w:rPr>
        <w:t>La superficie totale de la banane en culture pure est constituée de 149.869 ha (84,2%) de banane à bière, 2.097 ha (12,4%) de banane à cuire et 6.069 ha (3,4) de la banane à fruit.</w:t>
      </w:r>
    </w:p>
    <w:p w:rsidR="009B6649" w:rsidRPr="00B6647E" w:rsidRDefault="001200E0" w:rsidP="001C637F">
      <w:pPr>
        <w:spacing w:after="120" w:line="240" w:lineRule="auto"/>
        <w:jc w:val="both"/>
        <w:rPr>
          <w:rFonts w:ascii="Arial" w:hAnsi="Arial" w:cs="Arial"/>
          <w:sz w:val="20"/>
          <w:szCs w:val="20"/>
        </w:rPr>
      </w:pPr>
      <w:r w:rsidRPr="00B6647E">
        <w:rPr>
          <w:rFonts w:ascii="Arial" w:hAnsi="Arial" w:cs="Arial"/>
          <w:sz w:val="20"/>
          <w:szCs w:val="20"/>
        </w:rPr>
        <w:t>Les plus grandes superficies de banane en culture pure et principale ont été estimées dans l</w:t>
      </w:r>
      <w:r w:rsidR="0061027F" w:rsidRPr="00B6647E">
        <w:rPr>
          <w:rFonts w:ascii="Arial" w:hAnsi="Arial" w:cs="Arial"/>
          <w:sz w:val="20"/>
          <w:szCs w:val="20"/>
        </w:rPr>
        <w:t xml:space="preserve">es régions </w:t>
      </w:r>
      <w:r w:rsidRPr="00B6647E">
        <w:rPr>
          <w:rFonts w:ascii="Arial" w:hAnsi="Arial" w:cs="Arial"/>
          <w:sz w:val="20"/>
          <w:szCs w:val="20"/>
        </w:rPr>
        <w:t>naturelles de Bweru (33.944 ha</w:t>
      </w:r>
      <w:r w:rsidR="005457D8" w:rsidRPr="00B6647E">
        <w:rPr>
          <w:rFonts w:ascii="Arial" w:hAnsi="Arial" w:cs="Arial"/>
          <w:sz w:val="20"/>
          <w:szCs w:val="20"/>
        </w:rPr>
        <w:t>, soit 19,1%</w:t>
      </w:r>
      <w:r w:rsidRPr="00B6647E">
        <w:rPr>
          <w:rFonts w:ascii="Arial" w:hAnsi="Arial" w:cs="Arial"/>
          <w:sz w:val="20"/>
          <w:szCs w:val="20"/>
        </w:rPr>
        <w:t>), Buyenzi (32.999 ha</w:t>
      </w:r>
      <w:r w:rsidR="005457D8" w:rsidRPr="00B6647E">
        <w:rPr>
          <w:rFonts w:ascii="Arial" w:hAnsi="Arial" w:cs="Arial"/>
          <w:sz w:val="20"/>
          <w:szCs w:val="20"/>
        </w:rPr>
        <w:t>, soit 18,5%</w:t>
      </w:r>
      <w:r w:rsidRPr="00B6647E">
        <w:rPr>
          <w:rFonts w:ascii="Arial" w:hAnsi="Arial" w:cs="Arial"/>
          <w:sz w:val="20"/>
          <w:szCs w:val="20"/>
        </w:rPr>
        <w:t>), Kirimiro (29.472 ha</w:t>
      </w:r>
      <w:r w:rsidR="005457D8" w:rsidRPr="00B6647E">
        <w:rPr>
          <w:rFonts w:ascii="Arial" w:hAnsi="Arial" w:cs="Arial"/>
          <w:sz w:val="20"/>
          <w:szCs w:val="20"/>
        </w:rPr>
        <w:t>, 16,6%</w:t>
      </w:r>
      <w:r w:rsidRPr="00B6647E">
        <w:rPr>
          <w:rFonts w:ascii="Arial" w:hAnsi="Arial" w:cs="Arial"/>
          <w:sz w:val="20"/>
          <w:szCs w:val="20"/>
        </w:rPr>
        <w:t>), Bugesera (22.516 ha</w:t>
      </w:r>
      <w:r w:rsidR="005457D8" w:rsidRPr="00B6647E">
        <w:rPr>
          <w:rFonts w:ascii="Arial" w:hAnsi="Arial" w:cs="Arial"/>
          <w:sz w:val="20"/>
          <w:szCs w:val="20"/>
        </w:rPr>
        <w:t>, soit 12,6%</w:t>
      </w:r>
      <w:r w:rsidRPr="00B6647E">
        <w:rPr>
          <w:rFonts w:ascii="Arial" w:hAnsi="Arial" w:cs="Arial"/>
          <w:sz w:val="20"/>
          <w:szCs w:val="20"/>
        </w:rPr>
        <w:t>), Mumirwa (21.543 ha</w:t>
      </w:r>
      <w:r w:rsidR="005457D8" w:rsidRPr="00B6647E">
        <w:rPr>
          <w:rFonts w:ascii="Arial" w:hAnsi="Arial" w:cs="Arial"/>
          <w:sz w:val="20"/>
          <w:szCs w:val="20"/>
        </w:rPr>
        <w:t>, soit 12,1%</w:t>
      </w:r>
      <w:r w:rsidRPr="00B6647E">
        <w:rPr>
          <w:rFonts w:ascii="Arial" w:hAnsi="Arial" w:cs="Arial"/>
          <w:sz w:val="20"/>
          <w:szCs w:val="20"/>
        </w:rPr>
        <w:t>), Buyogoma (10.464 ha</w:t>
      </w:r>
      <w:r w:rsidR="005457D8" w:rsidRPr="00B6647E">
        <w:rPr>
          <w:rFonts w:ascii="Arial" w:hAnsi="Arial" w:cs="Arial"/>
          <w:sz w:val="20"/>
          <w:szCs w:val="20"/>
        </w:rPr>
        <w:t>, soit 5,9%</w:t>
      </w:r>
      <w:r w:rsidRPr="00B6647E">
        <w:rPr>
          <w:rFonts w:ascii="Arial" w:hAnsi="Arial" w:cs="Arial"/>
          <w:sz w:val="20"/>
          <w:szCs w:val="20"/>
        </w:rPr>
        <w:t>). Chacune des cinq autres provinces (Buragane, Bututsi, Imbo, Moso et Mugamba) ont cultivé moins de 10.000 ha de banane en culture pure et principale.</w:t>
      </w:r>
    </w:p>
    <w:p w:rsidR="008B2DFC" w:rsidRPr="00B6647E" w:rsidRDefault="008B2DFC" w:rsidP="00F822C8">
      <w:pPr>
        <w:spacing w:before="200" w:after="120" w:line="240" w:lineRule="auto"/>
        <w:rPr>
          <w:rFonts w:ascii="Arial" w:hAnsi="Arial" w:cs="Arial"/>
          <w:b/>
          <w:sz w:val="20"/>
          <w:szCs w:val="20"/>
        </w:rPr>
      </w:pPr>
    </w:p>
    <w:p w:rsidR="008B2DFC" w:rsidRPr="00B6647E" w:rsidRDefault="008B2DFC" w:rsidP="00F822C8">
      <w:pPr>
        <w:spacing w:before="200" w:after="120" w:line="240" w:lineRule="auto"/>
        <w:rPr>
          <w:rFonts w:ascii="Arial" w:hAnsi="Arial" w:cs="Arial"/>
          <w:b/>
          <w:sz w:val="20"/>
          <w:szCs w:val="20"/>
        </w:rPr>
      </w:pPr>
    </w:p>
    <w:p w:rsidR="008B2DFC" w:rsidRPr="00B6647E" w:rsidRDefault="008B2DFC" w:rsidP="00F822C8">
      <w:pPr>
        <w:spacing w:before="200" w:after="120" w:line="240" w:lineRule="auto"/>
        <w:rPr>
          <w:rFonts w:ascii="Arial" w:hAnsi="Arial" w:cs="Arial"/>
          <w:b/>
          <w:sz w:val="20"/>
          <w:szCs w:val="20"/>
        </w:rPr>
      </w:pPr>
    </w:p>
    <w:p w:rsidR="008B2DFC" w:rsidRPr="00B6647E" w:rsidRDefault="008B2DFC" w:rsidP="00F822C8">
      <w:pPr>
        <w:spacing w:before="200" w:after="120" w:line="240" w:lineRule="auto"/>
        <w:rPr>
          <w:rFonts w:ascii="Arial" w:hAnsi="Arial" w:cs="Arial"/>
          <w:b/>
          <w:sz w:val="20"/>
          <w:szCs w:val="20"/>
        </w:rPr>
      </w:pPr>
    </w:p>
    <w:p w:rsidR="008B2DFC" w:rsidRPr="00B6647E" w:rsidRDefault="008B2DFC" w:rsidP="00F822C8">
      <w:pPr>
        <w:spacing w:before="200" w:after="120" w:line="240" w:lineRule="auto"/>
        <w:rPr>
          <w:rFonts w:ascii="Arial" w:hAnsi="Arial" w:cs="Arial"/>
          <w:b/>
          <w:sz w:val="20"/>
          <w:szCs w:val="20"/>
        </w:rPr>
      </w:pPr>
    </w:p>
    <w:p w:rsidR="00C569AE" w:rsidRPr="00B6647E" w:rsidRDefault="002B0CE7" w:rsidP="00F822C8">
      <w:pPr>
        <w:spacing w:before="200" w:after="120" w:line="240" w:lineRule="auto"/>
        <w:rPr>
          <w:rFonts w:ascii="Arial" w:hAnsi="Arial" w:cs="Arial"/>
          <w:b/>
          <w:sz w:val="20"/>
          <w:szCs w:val="20"/>
        </w:rPr>
      </w:pPr>
      <w:r w:rsidRPr="00B6647E">
        <w:rPr>
          <w:rFonts w:ascii="Arial" w:hAnsi="Arial" w:cs="Arial"/>
          <w:b/>
          <w:sz w:val="20"/>
          <w:szCs w:val="20"/>
        </w:rPr>
        <w:t>a) Superficies totale de banane en culture pure et principale</w:t>
      </w:r>
      <w:r w:rsidR="00A96799" w:rsidRPr="00B6647E">
        <w:rPr>
          <w:rFonts w:ascii="Arial" w:hAnsi="Arial" w:cs="Arial"/>
          <w:b/>
          <w:sz w:val="20"/>
          <w:szCs w:val="20"/>
        </w:rPr>
        <w:t xml:space="preserve"> </w:t>
      </w:r>
      <w:r w:rsidRPr="00B6647E">
        <w:rPr>
          <w:rFonts w:ascii="Arial" w:hAnsi="Arial" w:cs="Arial"/>
          <w:b/>
          <w:sz w:val="20"/>
          <w:szCs w:val="20"/>
        </w:rPr>
        <w:t>par région naturelle</w:t>
      </w:r>
    </w:p>
    <w:p w:rsidR="00C569AE" w:rsidRPr="00B6647E" w:rsidRDefault="00C569AE" w:rsidP="00367774">
      <w:pPr>
        <w:spacing w:before="200" w:after="120" w:line="240" w:lineRule="auto"/>
        <w:rPr>
          <w:rFonts w:ascii="Arial" w:hAnsi="Arial" w:cs="Arial"/>
          <w:b/>
          <w:sz w:val="20"/>
          <w:szCs w:val="20"/>
          <w:lang w:eastAsia="fr-FR"/>
        </w:rPr>
      </w:pPr>
      <w:r w:rsidRPr="00B6647E">
        <w:rPr>
          <w:rFonts w:ascii="Arial" w:hAnsi="Arial" w:cs="Arial"/>
          <w:b/>
          <w:sz w:val="20"/>
          <w:szCs w:val="20"/>
          <w:lang w:eastAsia="fr-FR"/>
        </w:rPr>
        <w:t xml:space="preserve">Tableau </w:t>
      </w:r>
      <w:r w:rsidR="00367774" w:rsidRPr="00B6647E">
        <w:rPr>
          <w:rFonts w:ascii="Arial" w:hAnsi="Arial" w:cs="Arial"/>
          <w:b/>
          <w:sz w:val="20"/>
          <w:szCs w:val="20"/>
          <w:lang w:eastAsia="fr-FR"/>
        </w:rPr>
        <w:t>1</w:t>
      </w:r>
      <w:r w:rsidR="00E1150A">
        <w:rPr>
          <w:rFonts w:ascii="Arial" w:hAnsi="Arial" w:cs="Arial"/>
          <w:b/>
          <w:sz w:val="20"/>
          <w:szCs w:val="20"/>
          <w:lang w:eastAsia="fr-FR"/>
        </w:rPr>
        <w:t>25</w:t>
      </w:r>
      <w:r w:rsidR="00367774" w:rsidRPr="00B6647E">
        <w:rPr>
          <w:rFonts w:ascii="Arial" w:hAnsi="Arial" w:cs="Arial"/>
          <w:b/>
          <w:sz w:val="20"/>
          <w:szCs w:val="20"/>
          <w:lang w:eastAsia="fr-FR"/>
        </w:rPr>
        <w:t> :</w:t>
      </w:r>
      <w:r w:rsidRPr="00B6647E">
        <w:rPr>
          <w:rFonts w:ascii="Arial" w:hAnsi="Arial" w:cs="Arial"/>
          <w:b/>
          <w:sz w:val="20"/>
          <w:szCs w:val="20"/>
          <w:lang w:eastAsia="fr-FR"/>
        </w:rPr>
        <w:t xml:space="preserve"> Superficie totale cultivée de banane par région pendant les trois saisons</w:t>
      </w:r>
    </w:p>
    <w:p w:rsidR="00C569AE" w:rsidRPr="00B6647E" w:rsidRDefault="001D0491" w:rsidP="001C637F">
      <w:pPr>
        <w:spacing w:after="0" w:line="240" w:lineRule="auto"/>
        <w:rPr>
          <w:rFonts w:cs="Arial"/>
          <w:szCs w:val="20"/>
        </w:rPr>
      </w:pPr>
      <w:r w:rsidRPr="00B6647E">
        <w:rPr>
          <w:noProof/>
          <w:szCs w:val="20"/>
          <w:lang w:val="fr-FR" w:eastAsia="fr-FR"/>
        </w:rPr>
        <w:drawing>
          <wp:inline distT="0" distB="0" distL="0" distR="0">
            <wp:extent cx="4095750" cy="2914650"/>
            <wp:effectExtent l="19050" t="0" r="0" b="0"/>
            <wp:docPr id="433"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0" cstate="print"/>
                    <a:srcRect/>
                    <a:stretch>
                      <a:fillRect/>
                    </a:stretch>
                  </pic:blipFill>
                  <pic:spPr bwMode="auto">
                    <a:xfrm>
                      <a:off x="0" y="0"/>
                      <a:ext cx="4095750" cy="2914650"/>
                    </a:xfrm>
                    <a:prstGeom prst="rect">
                      <a:avLst/>
                    </a:prstGeom>
                    <a:noFill/>
                    <a:ln w="9525">
                      <a:noFill/>
                      <a:miter lim="800000"/>
                      <a:headEnd/>
                      <a:tailEnd/>
                    </a:ln>
                  </pic:spPr>
                </pic:pic>
              </a:graphicData>
            </a:graphic>
          </wp:inline>
        </w:drawing>
      </w:r>
    </w:p>
    <w:p w:rsidR="008B2DFC" w:rsidRPr="00B6647E" w:rsidRDefault="008B2DFC" w:rsidP="008B2DFC">
      <w:pPr>
        <w:spacing w:after="120" w:line="240" w:lineRule="auto"/>
        <w:jc w:val="both"/>
        <w:rPr>
          <w:rFonts w:ascii="Arial" w:hAnsi="Arial" w:cs="Arial"/>
          <w:sz w:val="20"/>
          <w:szCs w:val="20"/>
        </w:rPr>
      </w:pPr>
      <w:r w:rsidRPr="00B6647E">
        <w:rPr>
          <w:rFonts w:ascii="Arial" w:hAnsi="Arial" w:cs="Arial"/>
          <w:sz w:val="20"/>
          <w:szCs w:val="20"/>
        </w:rPr>
        <w:t>La superficie de la banane à bière estimée 149.869 ha représente 84,2% de la superficie totale de banane (à bière, à cuire et à fruit) en culture pure et principale. Cette superficie a été enregistrée en grande partie au cours de la saison C (85.143 ha, soit 56,8% de la superficie totale de la banane à bière des trois saisons) et dans les régions de Buyenzi (29.415 ha), Kirimiro (25.936 ha), Bweru (24.742 ha), Bugesera (20.463 ha), Mumirwa (17.779 ha).</w:t>
      </w:r>
    </w:p>
    <w:p w:rsidR="008B2DFC" w:rsidRPr="00B6647E" w:rsidRDefault="008B2DFC" w:rsidP="001C637F">
      <w:pPr>
        <w:spacing w:after="0" w:line="240" w:lineRule="auto"/>
        <w:rPr>
          <w:rFonts w:cs="Arial"/>
          <w:szCs w:val="20"/>
        </w:rPr>
      </w:pPr>
    </w:p>
    <w:p w:rsidR="005457D8" w:rsidRPr="00B6647E" w:rsidRDefault="007F30DD" w:rsidP="001C637F">
      <w:pPr>
        <w:spacing w:after="120" w:line="240" w:lineRule="auto"/>
        <w:rPr>
          <w:rFonts w:ascii="Arial" w:hAnsi="Arial" w:cs="Arial"/>
          <w:b/>
          <w:sz w:val="20"/>
          <w:szCs w:val="20"/>
        </w:rPr>
      </w:pPr>
      <w:r>
        <w:rPr>
          <w:rFonts w:ascii="Arial" w:hAnsi="Arial" w:cs="Arial"/>
          <w:b/>
          <w:sz w:val="20"/>
          <w:szCs w:val="20"/>
        </w:rPr>
        <w:t>Graphique 18</w:t>
      </w:r>
      <w:r w:rsidR="005457D8" w:rsidRPr="00B6647E">
        <w:rPr>
          <w:rFonts w:ascii="Arial" w:hAnsi="Arial" w:cs="Arial"/>
          <w:b/>
          <w:sz w:val="20"/>
          <w:szCs w:val="20"/>
        </w:rPr>
        <w:t> : Superficie de banane en culture pure et principale par région</w:t>
      </w:r>
      <w:r w:rsidR="006A53A5" w:rsidRPr="00B6647E">
        <w:rPr>
          <w:rFonts w:ascii="Arial" w:hAnsi="Arial" w:cs="Arial"/>
          <w:b/>
          <w:sz w:val="20"/>
          <w:szCs w:val="20"/>
        </w:rPr>
        <w:t xml:space="preserve"> (en ha)</w:t>
      </w:r>
    </w:p>
    <w:p w:rsidR="005457D8" w:rsidRPr="00B6647E" w:rsidRDefault="005457D8" w:rsidP="00E55843">
      <w:pPr>
        <w:spacing w:line="240" w:lineRule="auto"/>
        <w:rPr>
          <w:rFonts w:cs="Arial"/>
          <w:szCs w:val="20"/>
        </w:rPr>
      </w:pPr>
      <w:r w:rsidRPr="00B6647E">
        <w:rPr>
          <w:noProof/>
          <w:szCs w:val="20"/>
          <w:lang w:val="fr-FR" w:eastAsia="fr-FR"/>
        </w:rPr>
        <w:drawing>
          <wp:inline distT="0" distB="0" distL="0" distR="0">
            <wp:extent cx="4295775" cy="2584595"/>
            <wp:effectExtent l="19050" t="0" r="0" b="0"/>
            <wp:docPr id="6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cstate="print"/>
                    <a:srcRect/>
                    <a:stretch>
                      <a:fillRect/>
                    </a:stretch>
                  </pic:blipFill>
                  <pic:spPr bwMode="auto">
                    <a:xfrm>
                      <a:off x="0" y="0"/>
                      <a:ext cx="4298590" cy="2586289"/>
                    </a:xfrm>
                    <a:prstGeom prst="rect">
                      <a:avLst/>
                    </a:prstGeom>
                    <a:noFill/>
                    <a:ln w="9525">
                      <a:noFill/>
                      <a:miter lim="800000"/>
                      <a:headEnd/>
                      <a:tailEnd/>
                    </a:ln>
                  </pic:spPr>
                </pic:pic>
              </a:graphicData>
            </a:graphic>
          </wp:inline>
        </w:drawing>
      </w:r>
    </w:p>
    <w:p w:rsidR="001C690B" w:rsidRPr="00B6647E" w:rsidRDefault="001C690B" w:rsidP="001C690B">
      <w:pPr>
        <w:spacing w:after="120" w:line="240" w:lineRule="auto"/>
        <w:jc w:val="both"/>
        <w:rPr>
          <w:rFonts w:ascii="Arial" w:hAnsi="Arial" w:cs="Arial"/>
          <w:i/>
          <w:sz w:val="20"/>
          <w:szCs w:val="20"/>
          <w:lang w:val="fr-FR" w:eastAsia="fr-FR"/>
        </w:rPr>
      </w:pPr>
      <w:r w:rsidRPr="00B6647E">
        <w:rPr>
          <w:rFonts w:ascii="Arial" w:hAnsi="Arial" w:cs="Arial"/>
          <w:b/>
          <w:i/>
          <w:sz w:val="20"/>
          <w:szCs w:val="20"/>
          <w:lang w:val="fr-FR" w:eastAsia="fr-FR"/>
        </w:rPr>
        <w:t>NB :</w:t>
      </w:r>
      <w:r w:rsidRPr="00B6647E">
        <w:rPr>
          <w:rFonts w:ascii="Arial" w:hAnsi="Arial" w:cs="Arial"/>
          <w:i/>
          <w:sz w:val="20"/>
          <w:szCs w:val="20"/>
          <w:lang w:val="fr-FR" w:eastAsia="fr-FR"/>
        </w:rPr>
        <w:t xml:space="preserve"> La superficie totale correspond à la somme des superficies cultivées couvrant pour l’essentiel la même portion de terrain au cours des trois saisons. La banne n’est en général p</w:t>
      </w:r>
      <w:r w:rsidR="009F4AD0">
        <w:rPr>
          <w:rFonts w:ascii="Arial" w:hAnsi="Arial" w:cs="Arial"/>
          <w:i/>
          <w:sz w:val="20"/>
          <w:szCs w:val="20"/>
          <w:lang w:val="fr-FR" w:eastAsia="fr-FR"/>
        </w:rPr>
        <w:t>as remise en culture à toutes le</w:t>
      </w:r>
      <w:r w:rsidRPr="00B6647E">
        <w:rPr>
          <w:rFonts w:ascii="Arial" w:hAnsi="Arial" w:cs="Arial"/>
          <w:i/>
          <w:sz w:val="20"/>
          <w:szCs w:val="20"/>
          <w:lang w:val="fr-FR" w:eastAsia="fr-FR"/>
        </w:rPr>
        <w:t xml:space="preserve">s saisons mais les parcelles qu’elle occupe demandent comme toutes </w:t>
      </w:r>
      <w:r w:rsidR="009F4AD0">
        <w:rPr>
          <w:rFonts w:ascii="Arial" w:hAnsi="Arial" w:cs="Arial"/>
          <w:i/>
          <w:sz w:val="20"/>
          <w:szCs w:val="20"/>
          <w:lang w:val="fr-FR" w:eastAsia="fr-FR"/>
        </w:rPr>
        <w:t xml:space="preserve">les autres </w:t>
      </w:r>
      <w:r w:rsidRPr="00B6647E">
        <w:rPr>
          <w:rFonts w:ascii="Arial" w:hAnsi="Arial" w:cs="Arial"/>
          <w:i/>
          <w:sz w:val="20"/>
          <w:szCs w:val="20"/>
          <w:lang w:val="fr-FR" w:eastAsia="fr-FR"/>
        </w:rPr>
        <w:t>des travaux de labour et d’entretien au cours de chaque saison.</w:t>
      </w:r>
    </w:p>
    <w:p w:rsidR="008B2DFC" w:rsidRPr="00B6647E" w:rsidRDefault="008B2DFC">
      <w:pPr>
        <w:rPr>
          <w:rFonts w:ascii="Arial" w:hAnsi="Arial" w:cs="Arial"/>
          <w:b/>
          <w:sz w:val="20"/>
          <w:szCs w:val="20"/>
          <w:lang w:eastAsia="fr-FR"/>
        </w:rPr>
      </w:pPr>
      <w:r w:rsidRPr="00B6647E">
        <w:rPr>
          <w:rFonts w:ascii="Arial" w:hAnsi="Arial" w:cs="Arial"/>
          <w:b/>
          <w:sz w:val="20"/>
          <w:szCs w:val="20"/>
          <w:lang w:eastAsia="fr-FR"/>
        </w:rPr>
        <w:br w:type="page"/>
      </w:r>
    </w:p>
    <w:p w:rsidR="00C569AE" w:rsidRPr="00B6647E" w:rsidRDefault="00367774" w:rsidP="00367774">
      <w:pPr>
        <w:spacing w:before="200" w:after="120" w:line="240" w:lineRule="auto"/>
        <w:rPr>
          <w:rFonts w:ascii="Arial" w:hAnsi="Arial" w:cs="Arial"/>
          <w:b/>
          <w:sz w:val="20"/>
          <w:szCs w:val="20"/>
          <w:lang w:eastAsia="fr-FR"/>
        </w:rPr>
      </w:pPr>
      <w:r w:rsidRPr="00B6647E">
        <w:rPr>
          <w:rFonts w:ascii="Arial" w:hAnsi="Arial" w:cs="Arial"/>
          <w:b/>
          <w:sz w:val="20"/>
          <w:szCs w:val="20"/>
          <w:lang w:eastAsia="fr-FR"/>
        </w:rPr>
        <w:lastRenderedPageBreak/>
        <w:t xml:space="preserve">Tableau </w:t>
      </w:r>
      <w:r w:rsidR="009F4AD0">
        <w:rPr>
          <w:rFonts w:ascii="Arial" w:hAnsi="Arial" w:cs="Arial"/>
          <w:b/>
          <w:sz w:val="20"/>
          <w:szCs w:val="20"/>
          <w:lang w:eastAsia="fr-FR"/>
        </w:rPr>
        <w:t>126</w:t>
      </w:r>
      <w:r w:rsidRPr="00B6647E">
        <w:rPr>
          <w:rFonts w:ascii="Arial" w:hAnsi="Arial" w:cs="Arial"/>
          <w:b/>
          <w:sz w:val="20"/>
          <w:szCs w:val="20"/>
          <w:lang w:eastAsia="fr-FR"/>
        </w:rPr>
        <w:t> :</w:t>
      </w:r>
      <w:r w:rsidR="00C569AE" w:rsidRPr="00B6647E">
        <w:rPr>
          <w:rFonts w:ascii="Arial" w:hAnsi="Arial" w:cs="Arial"/>
          <w:b/>
          <w:sz w:val="20"/>
          <w:szCs w:val="20"/>
          <w:lang w:eastAsia="fr-FR"/>
        </w:rPr>
        <w:t xml:space="preserve"> Superficie totale cultivée de banane à bière par région pendant les trois saisons</w:t>
      </w:r>
    </w:p>
    <w:p w:rsidR="00C569AE" w:rsidRPr="00B6647E" w:rsidRDefault="001D0491" w:rsidP="001C637F">
      <w:pPr>
        <w:spacing w:after="0" w:line="240" w:lineRule="auto"/>
        <w:rPr>
          <w:rFonts w:cs="Arial"/>
          <w:szCs w:val="20"/>
        </w:rPr>
      </w:pPr>
      <w:r w:rsidRPr="00B6647E">
        <w:rPr>
          <w:noProof/>
          <w:szCs w:val="20"/>
          <w:lang w:val="fr-FR" w:eastAsia="fr-FR"/>
        </w:rPr>
        <w:drawing>
          <wp:inline distT="0" distB="0" distL="0" distR="0">
            <wp:extent cx="4095750" cy="2914650"/>
            <wp:effectExtent l="19050" t="0" r="0" b="0"/>
            <wp:docPr id="434"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2" cstate="print"/>
                    <a:srcRect/>
                    <a:stretch>
                      <a:fillRect/>
                    </a:stretch>
                  </pic:blipFill>
                  <pic:spPr bwMode="auto">
                    <a:xfrm>
                      <a:off x="0" y="0"/>
                      <a:ext cx="4095750" cy="2914650"/>
                    </a:xfrm>
                    <a:prstGeom prst="rect">
                      <a:avLst/>
                    </a:prstGeom>
                    <a:noFill/>
                    <a:ln w="9525">
                      <a:noFill/>
                      <a:miter lim="800000"/>
                      <a:headEnd/>
                      <a:tailEnd/>
                    </a:ln>
                  </pic:spPr>
                </pic:pic>
              </a:graphicData>
            </a:graphic>
          </wp:inline>
        </w:drawing>
      </w:r>
    </w:p>
    <w:p w:rsidR="00277E4B" w:rsidRPr="00B6647E" w:rsidRDefault="00277E4B" w:rsidP="001C637F">
      <w:pPr>
        <w:spacing w:after="120" w:line="240" w:lineRule="auto"/>
        <w:jc w:val="both"/>
        <w:rPr>
          <w:rFonts w:ascii="Arial" w:hAnsi="Arial" w:cs="Arial"/>
          <w:sz w:val="20"/>
          <w:szCs w:val="20"/>
        </w:rPr>
      </w:pPr>
      <w:r w:rsidRPr="00B6647E">
        <w:rPr>
          <w:rFonts w:ascii="Arial" w:hAnsi="Arial" w:cs="Arial"/>
          <w:sz w:val="20"/>
          <w:szCs w:val="20"/>
        </w:rPr>
        <w:t>La superficie de la banane à cuire estimée 22.097 ha représente 12,4% de la superficie totale de banane (à bière, à cuire et à fruit) en culture pure et principale. Cette superficie a été enregistrée en grande partie au cours de la saison C (12.333 ha, soit 55,8% de la superficie totale de la banane à cuire) et dans les régions de Bweru (7.327 ha), Buyenzi (3.055 ha), Mumirwa (2.318 ha), Kirimiro (2.316 ha), Buyogoma (2.049 ha).</w:t>
      </w:r>
    </w:p>
    <w:p w:rsidR="00C569AE" w:rsidRPr="00B6647E" w:rsidRDefault="00C569AE" w:rsidP="00367774">
      <w:pPr>
        <w:spacing w:before="200" w:after="120" w:line="240" w:lineRule="auto"/>
        <w:rPr>
          <w:rFonts w:ascii="Arial" w:hAnsi="Arial" w:cs="Arial"/>
          <w:b/>
          <w:sz w:val="20"/>
          <w:szCs w:val="20"/>
          <w:lang w:eastAsia="fr-FR"/>
        </w:rPr>
      </w:pPr>
      <w:r w:rsidRPr="00B6647E">
        <w:rPr>
          <w:rFonts w:ascii="Arial" w:hAnsi="Arial" w:cs="Arial"/>
          <w:b/>
          <w:sz w:val="20"/>
          <w:szCs w:val="20"/>
          <w:lang w:eastAsia="fr-FR"/>
        </w:rPr>
        <w:t xml:space="preserve">Tableau </w:t>
      </w:r>
      <w:r w:rsidR="009F4AD0">
        <w:rPr>
          <w:rFonts w:ascii="Arial" w:hAnsi="Arial" w:cs="Arial"/>
          <w:b/>
          <w:sz w:val="20"/>
          <w:szCs w:val="20"/>
          <w:lang w:eastAsia="fr-FR"/>
        </w:rPr>
        <w:t>127</w:t>
      </w:r>
      <w:r w:rsidR="00367774" w:rsidRPr="00B6647E">
        <w:rPr>
          <w:rFonts w:ascii="Arial" w:hAnsi="Arial" w:cs="Arial"/>
          <w:b/>
          <w:sz w:val="20"/>
          <w:szCs w:val="20"/>
          <w:lang w:eastAsia="fr-FR"/>
        </w:rPr>
        <w:t> :</w:t>
      </w:r>
      <w:r w:rsidRPr="00B6647E">
        <w:rPr>
          <w:rFonts w:ascii="Arial" w:hAnsi="Arial" w:cs="Arial"/>
          <w:b/>
          <w:sz w:val="20"/>
          <w:szCs w:val="20"/>
          <w:lang w:eastAsia="fr-FR"/>
        </w:rPr>
        <w:t xml:space="preserve"> Superficie totale cultivée de banane à cuire par région pendant les trois saisons</w:t>
      </w:r>
    </w:p>
    <w:p w:rsidR="00C569AE" w:rsidRPr="00B6647E" w:rsidRDefault="001D0491" w:rsidP="00E55843">
      <w:pPr>
        <w:spacing w:line="240" w:lineRule="auto"/>
        <w:rPr>
          <w:rFonts w:cs="Arial"/>
          <w:szCs w:val="20"/>
        </w:rPr>
      </w:pPr>
      <w:r w:rsidRPr="00B6647E">
        <w:rPr>
          <w:noProof/>
          <w:szCs w:val="20"/>
          <w:lang w:val="fr-FR" w:eastAsia="fr-FR"/>
        </w:rPr>
        <w:drawing>
          <wp:inline distT="0" distB="0" distL="0" distR="0">
            <wp:extent cx="4095750" cy="2714625"/>
            <wp:effectExtent l="19050" t="0" r="0" b="0"/>
            <wp:docPr id="435"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3" cstate="print"/>
                    <a:srcRect/>
                    <a:stretch>
                      <a:fillRect/>
                    </a:stretch>
                  </pic:blipFill>
                  <pic:spPr bwMode="auto">
                    <a:xfrm>
                      <a:off x="0" y="0"/>
                      <a:ext cx="4095750" cy="2714625"/>
                    </a:xfrm>
                    <a:prstGeom prst="rect">
                      <a:avLst/>
                    </a:prstGeom>
                    <a:noFill/>
                    <a:ln w="9525">
                      <a:noFill/>
                      <a:miter lim="800000"/>
                      <a:headEnd/>
                      <a:tailEnd/>
                    </a:ln>
                  </pic:spPr>
                </pic:pic>
              </a:graphicData>
            </a:graphic>
          </wp:inline>
        </w:drawing>
      </w:r>
    </w:p>
    <w:p w:rsidR="00277E4B" w:rsidRPr="00B6647E" w:rsidRDefault="00277E4B" w:rsidP="00E55843">
      <w:pPr>
        <w:spacing w:line="240" w:lineRule="auto"/>
        <w:jc w:val="both"/>
        <w:rPr>
          <w:rFonts w:ascii="Arial" w:hAnsi="Arial" w:cs="Arial"/>
          <w:sz w:val="20"/>
          <w:szCs w:val="20"/>
        </w:rPr>
      </w:pPr>
      <w:r w:rsidRPr="00B6647E">
        <w:rPr>
          <w:rFonts w:ascii="Arial" w:hAnsi="Arial" w:cs="Arial"/>
          <w:sz w:val="20"/>
          <w:szCs w:val="20"/>
        </w:rPr>
        <w:t xml:space="preserve">La superficie de la banane à fruit estimée 6.069 ha correspond à 3,4% de la superficie totale de banane (à bière, à cuire et à fruit) en culture pure et principale. </w:t>
      </w:r>
      <w:r w:rsidR="002B0CE7" w:rsidRPr="00B6647E">
        <w:rPr>
          <w:rFonts w:ascii="Arial" w:hAnsi="Arial" w:cs="Arial"/>
          <w:sz w:val="20"/>
          <w:szCs w:val="20"/>
        </w:rPr>
        <w:t>Comme pour les autres composantes de la banane, la saison C a enregistré la plus grande s</w:t>
      </w:r>
      <w:r w:rsidRPr="00B6647E">
        <w:rPr>
          <w:rFonts w:ascii="Arial" w:hAnsi="Arial" w:cs="Arial"/>
          <w:sz w:val="20"/>
          <w:szCs w:val="20"/>
        </w:rPr>
        <w:t>uperficie (</w:t>
      </w:r>
      <w:r w:rsidR="002B0CE7" w:rsidRPr="00B6647E">
        <w:rPr>
          <w:rFonts w:ascii="Arial" w:hAnsi="Arial" w:cs="Arial"/>
          <w:sz w:val="20"/>
          <w:szCs w:val="20"/>
        </w:rPr>
        <w:t xml:space="preserve">3.041 ha contre 1.540 ha en saison A et 1.487 pendant la saison B). Les </w:t>
      </w:r>
      <w:r w:rsidRPr="00B6647E">
        <w:rPr>
          <w:rFonts w:ascii="Arial" w:hAnsi="Arial" w:cs="Arial"/>
          <w:sz w:val="20"/>
          <w:szCs w:val="20"/>
        </w:rPr>
        <w:t xml:space="preserve">régions </w:t>
      </w:r>
      <w:r w:rsidR="002B0CE7" w:rsidRPr="00B6647E">
        <w:rPr>
          <w:rFonts w:ascii="Arial" w:hAnsi="Arial" w:cs="Arial"/>
          <w:sz w:val="20"/>
          <w:szCs w:val="20"/>
        </w:rPr>
        <w:t>naturelles</w:t>
      </w:r>
      <w:r w:rsidRPr="00B6647E">
        <w:rPr>
          <w:rFonts w:ascii="Arial" w:hAnsi="Arial" w:cs="Arial"/>
          <w:sz w:val="20"/>
          <w:szCs w:val="20"/>
        </w:rPr>
        <w:t xml:space="preserve"> </w:t>
      </w:r>
      <w:r w:rsidR="002B0CE7" w:rsidRPr="00B6647E">
        <w:rPr>
          <w:rFonts w:ascii="Arial" w:hAnsi="Arial" w:cs="Arial"/>
          <w:sz w:val="20"/>
          <w:szCs w:val="20"/>
        </w:rPr>
        <w:t xml:space="preserve">de </w:t>
      </w:r>
      <w:r w:rsidRPr="00B6647E">
        <w:rPr>
          <w:rFonts w:ascii="Arial" w:hAnsi="Arial" w:cs="Arial"/>
          <w:sz w:val="20"/>
          <w:szCs w:val="20"/>
        </w:rPr>
        <w:t>B</w:t>
      </w:r>
      <w:r w:rsidR="002B0CE7" w:rsidRPr="00B6647E">
        <w:rPr>
          <w:rFonts w:ascii="Arial" w:hAnsi="Arial" w:cs="Arial"/>
          <w:sz w:val="20"/>
          <w:szCs w:val="20"/>
        </w:rPr>
        <w:t>weru</w:t>
      </w:r>
      <w:r w:rsidRPr="00B6647E">
        <w:rPr>
          <w:rFonts w:ascii="Arial" w:hAnsi="Arial" w:cs="Arial"/>
          <w:sz w:val="20"/>
          <w:szCs w:val="20"/>
        </w:rPr>
        <w:t xml:space="preserve"> (</w:t>
      </w:r>
      <w:r w:rsidR="002B0CE7" w:rsidRPr="00B6647E">
        <w:rPr>
          <w:rFonts w:ascii="Arial" w:hAnsi="Arial" w:cs="Arial"/>
          <w:sz w:val="20"/>
          <w:szCs w:val="20"/>
        </w:rPr>
        <w:t xml:space="preserve">1.875 </w:t>
      </w:r>
      <w:r w:rsidRPr="00B6647E">
        <w:rPr>
          <w:rFonts w:ascii="Arial" w:hAnsi="Arial" w:cs="Arial"/>
          <w:sz w:val="20"/>
          <w:szCs w:val="20"/>
        </w:rPr>
        <w:t xml:space="preserve">ha), </w:t>
      </w:r>
      <w:r w:rsidR="002B0CE7" w:rsidRPr="00B6647E">
        <w:rPr>
          <w:rFonts w:ascii="Arial" w:hAnsi="Arial" w:cs="Arial"/>
          <w:sz w:val="20"/>
          <w:szCs w:val="20"/>
        </w:rPr>
        <w:t xml:space="preserve">Mumirwa (1.446 ha) et Kirimiro </w:t>
      </w:r>
      <w:r w:rsidRPr="00B6647E">
        <w:rPr>
          <w:rFonts w:ascii="Arial" w:hAnsi="Arial" w:cs="Arial"/>
          <w:sz w:val="20"/>
          <w:szCs w:val="20"/>
        </w:rPr>
        <w:t>(</w:t>
      </w:r>
      <w:r w:rsidR="002B0CE7" w:rsidRPr="00B6647E">
        <w:rPr>
          <w:rFonts w:ascii="Arial" w:hAnsi="Arial" w:cs="Arial"/>
          <w:sz w:val="20"/>
          <w:szCs w:val="20"/>
        </w:rPr>
        <w:t>1.219</w:t>
      </w:r>
      <w:r w:rsidRPr="00B6647E">
        <w:rPr>
          <w:rFonts w:ascii="Arial" w:hAnsi="Arial" w:cs="Arial"/>
          <w:sz w:val="20"/>
          <w:szCs w:val="20"/>
        </w:rPr>
        <w:t xml:space="preserve"> ha)</w:t>
      </w:r>
      <w:r w:rsidR="002B0CE7" w:rsidRPr="00B6647E">
        <w:rPr>
          <w:rFonts w:ascii="Arial" w:hAnsi="Arial" w:cs="Arial"/>
          <w:sz w:val="20"/>
          <w:szCs w:val="20"/>
        </w:rPr>
        <w:t xml:space="preserve"> ont cultivé 74,8% de la superficie totale de banane à fruit en culture pure et principale des trois saisons.</w:t>
      </w:r>
    </w:p>
    <w:p w:rsidR="008B2DFC" w:rsidRPr="00B6647E" w:rsidRDefault="008B2DFC" w:rsidP="00367774">
      <w:pPr>
        <w:spacing w:before="200" w:after="120" w:line="240" w:lineRule="auto"/>
        <w:rPr>
          <w:rFonts w:ascii="Arial" w:hAnsi="Arial" w:cs="Arial"/>
          <w:b/>
          <w:sz w:val="20"/>
          <w:szCs w:val="20"/>
          <w:lang w:eastAsia="fr-FR"/>
        </w:rPr>
      </w:pPr>
    </w:p>
    <w:p w:rsidR="008B2DFC" w:rsidRPr="00B6647E" w:rsidRDefault="008B2DFC" w:rsidP="00367774">
      <w:pPr>
        <w:spacing w:before="200" w:after="120" w:line="240" w:lineRule="auto"/>
        <w:rPr>
          <w:rFonts w:ascii="Arial" w:hAnsi="Arial" w:cs="Arial"/>
          <w:b/>
          <w:sz w:val="20"/>
          <w:szCs w:val="20"/>
          <w:lang w:eastAsia="fr-FR"/>
        </w:rPr>
      </w:pPr>
    </w:p>
    <w:p w:rsidR="003C756C" w:rsidRPr="00B6647E" w:rsidRDefault="003C756C" w:rsidP="00367774">
      <w:pPr>
        <w:spacing w:before="200" w:after="120" w:line="240" w:lineRule="auto"/>
        <w:rPr>
          <w:rFonts w:ascii="Arial" w:hAnsi="Arial" w:cs="Arial"/>
          <w:b/>
          <w:sz w:val="20"/>
          <w:szCs w:val="20"/>
          <w:lang w:eastAsia="fr-FR"/>
        </w:rPr>
      </w:pPr>
    </w:p>
    <w:p w:rsidR="00C569AE" w:rsidRPr="00B6647E" w:rsidRDefault="00C569AE" w:rsidP="00367774">
      <w:pPr>
        <w:spacing w:before="200" w:after="120" w:line="240" w:lineRule="auto"/>
        <w:rPr>
          <w:rFonts w:ascii="Arial" w:hAnsi="Arial" w:cs="Arial"/>
          <w:b/>
          <w:sz w:val="20"/>
          <w:szCs w:val="20"/>
          <w:lang w:eastAsia="fr-FR"/>
        </w:rPr>
      </w:pPr>
      <w:r w:rsidRPr="00B6647E">
        <w:rPr>
          <w:rFonts w:ascii="Arial" w:hAnsi="Arial" w:cs="Arial"/>
          <w:b/>
          <w:sz w:val="20"/>
          <w:szCs w:val="20"/>
          <w:lang w:eastAsia="fr-FR"/>
        </w:rPr>
        <w:lastRenderedPageBreak/>
        <w:t xml:space="preserve">Tableau </w:t>
      </w:r>
      <w:r w:rsidR="00367774" w:rsidRPr="00B6647E">
        <w:rPr>
          <w:rFonts w:ascii="Arial" w:hAnsi="Arial" w:cs="Arial"/>
          <w:b/>
          <w:sz w:val="20"/>
          <w:szCs w:val="20"/>
          <w:lang w:eastAsia="fr-FR"/>
        </w:rPr>
        <w:t>1</w:t>
      </w:r>
      <w:r w:rsidR="009F4AD0">
        <w:rPr>
          <w:rFonts w:ascii="Arial" w:hAnsi="Arial" w:cs="Arial"/>
          <w:b/>
          <w:sz w:val="20"/>
          <w:szCs w:val="20"/>
          <w:lang w:eastAsia="fr-FR"/>
        </w:rPr>
        <w:t>28</w:t>
      </w:r>
      <w:r w:rsidR="00367774" w:rsidRPr="00B6647E">
        <w:rPr>
          <w:rFonts w:ascii="Arial" w:hAnsi="Arial" w:cs="Arial"/>
          <w:b/>
          <w:sz w:val="20"/>
          <w:szCs w:val="20"/>
          <w:lang w:eastAsia="fr-FR"/>
        </w:rPr>
        <w:t> :</w:t>
      </w:r>
      <w:r w:rsidRPr="00B6647E">
        <w:rPr>
          <w:rFonts w:ascii="Arial" w:hAnsi="Arial" w:cs="Arial"/>
          <w:b/>
          <w:sz w:val="20"/>
          <w:szCs w:val="20"/>
          <w:lang w:eastAsia="fr-FR"/>
        </w:rPr>
        <w:t xml:space="preserve"> Superficie totale cultivée de banane à fruit par région pendant les trois saisons</w:t>
      </w:r>
    </w:p>
    <w:p w:rsidR="00C569AE" w:rsidRPr="00B6647E" w:rsidRDefault="001D0491" w:rsidP="001C637F">
      <w:pPr>
        <w:spacing w:after="0" w:line="240" w:lineRule="auto"/>
        <w:rPr>
          <w:rFonts w:cs="Arial"/>
          <w:szCs w:val="20"/>
        </w:rPr>
      </w:pPr>
      <w:r w:rsidRPr="00B6647E">
        <w:rPr>
          <w:noProof/>
          <w:szCs w:val="20"/>
          <w:lang w:val="fr-FR" w:eastAsia="fr-FR"/>
        </w:rPr>
        <w:drawing>
          <wp:inline distT="0" distB="0" distL="0" distR="0">
            <wp:extent cx="4095750" cy="2914650"/>
            <wp:effectExtent l="19050" t="0" r="0" b="0"/>
            <wp:docPr id="436"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4" cstate="print"/>
                    <a:srcRect/>
                    <a:stretch>
                      <a:fillRect/>
                    </a:stretch>
                  </pic:blipFill>
                  <pic:spPr bwMode="auto">
                    <a:xfrm>
                      <a:off x="0" y="0"/>
                      <a:ext cx="4095750" cy="2914650"/>
                    </a:xfrm>
                    <a:prstGeom prst="rect">
                      <a:avLst/>
                    </a:prstGeom>
                    <a:noFill/>
                    <a:ln w="9525">
                      <a:noFill/>
                      <a:miter lim="800000"/>
                      <a:headEnd/>
                      <a:tailEnd/>
                    </a:ln>
                  </pic:spPr>
                </pic:pic>
              </a:graphicData>
            </a:graphic>
          </wp:inline>
        </w:drawing>
      </w:r>
    </w:p>
    <w:p w:rsidR="00A96799" w:rsidRPr="00B6647E" w:rsidRDefault="00A96799" w:rsidP="00F822C8">
      <w:pPr>
        <w:spacing w:before="200" w:after="120" w:line="240" w:lineRule="auto"/>
        <w:rPr>
          <w:rFonts w:ascii="Arial" w:hAnsi="Arial" w:cs="Arial"/>
          <w:b/>
          <w:sz w:val="20"/>
          <w:szCs w:val="20"/>
        </w:rPr>
      </w:pPr>
      <w:r w:rsidRPr="00B6647E">
        <w:rPr>
          <w:rFonts w:ascii="Arial" w:hAnsi="Arial" w:cs="Arial"/>
          <w:b/>
          <w:sz w:val="20"/>
          <w:szCs w:val="20"/>
        </w:rPr>
        <w:t>b) Superficies totale de banane en culture pure et principale par province</w:t>
      </w:r>
    </w:p>
    <w:p w:rsidR="008F2358" w:rsidRPr="00B6647E" w:rsidRDefault="008F2358" w:rsidP="001C637F">
      <w:pPr>
        <w:spacing w:after="120" w:line="240" w:lineRule="auto"/>
        <w:jc w:val="both"/>
        <w:rPr>
          <w:rFonts w:ascii="Arial" w:hAnsi="Arial" w:cs="Arial"/>
          <w:sz w:val="20"/>
          <w:szCs w:val="20"/>
        </w:rPr>
      </w:pPr>
      <w:r w:rsidRPr="00B6647E">
        <w:rPr>
          <w:rFonts w:ascii="Arial" w:hAnsi="Arial" w:cs="Arial"/>
          <w:sz w:val="20"/>
          <w:szCs w:val="20"/>
        </w:rPr>
        <w:t>Les superficies des bananes (banane à bière, banane à cuire et banane à fruit) en cultures pures des trois saisons ont été estimées à 178.036 ha (36.736 ha en saison A, 40.782 ha au cours de la saison B et 100.518 ha pendant la saison C). Il faut noter que les proportions de parcelles de banane en cultures pures sont de 5% en saison A, 5,4% pendant la saison B contre 17,5% au cours de la saison C, ce qui pourrait justifier l’importance relative de cette superficie en saison C.</w:t>
      </w:r>
    </w:p>
    <w:p w:rsidR="00A62BC2" w:rsidRPr="00B6647E" w:rsidRDefault="00A62BC2" w:rsidP="00367774">
      <w:pPr>
        <w:spacing w:before="200" w:after="120" w:line="240" w:lineRule="auto"/>
        <w:rPr>
          <w:rFonts w:ascii="Arial" w:hAnsi="Arial" w:cs="Arial"/>
          <w:b/>
          <w:sz w:val="20"/>
          <w:szCs w:val="20"/>
          <w:lang w:eastAsia="fr-FR"/>
        </w:rPr>
      </w:pPr>
      <w:r w:rsidRPr="00B6647E">
        <w:rPr>
          <w:rFonts w:ascii="Arial" w:hAnsi="Arial" w:cs="Arial"/>
          <w:b/>
          <w:sz w:val="20"/>
          <w:szCs w:val="20"/>
          <w:lang w:eastAsia="fr-FR"/>
        </w:rPr>
        <w:t xml:space="preserve">Tableau </w:t>
      </w:r>
      <w:r w:rsidR="00367774" w:rsidRPr="00B6647E">
        <w:rPr>
          <w:rFonts w:ascii="Arial" w:hAnsi="Arial" w:cs="Arial"/>
          <w:b/>
          <w:sz w:val="20"/>
          <w:szCs w:val="20"/>
          <w:lang w:eastAsia="fr-FR"/>
        </w:rPr>
        <w:t>12</w:t>
      </w:r>
      <w:r w:rsidR="009F4AD0">
        <w:rPr>
          <w:rFonts w:ascii="Arial" w:hAnsi="Arial" w:cs="Arial"/>
          <w:b/>
          <w:sz w:val="20"/>
          <w:szCs w:val="20"/>
          <w:lang w:eastAsia="fr-FR"/>
        </w:rPr>
        <w:t>9</w:t>
      </w:r>
      <w:r w:rsidR="00367774" w:rsidRPr="00B6647E">
        <w:rPr>
          <w:rFonts w:ascii="Arial" w:hAnsi="Arial" w:cs="Arial"/>
          <w:b/>
          <w:sz w:val="20"/>
          <w:szCs w:val="20"/>
          <w:lang w:eastAsia="fr-FR"/>
        </w:rPr>
        <w:t> :</w:t>
      </w:r>
      <w:r w:rsidRPr="00B6647E">
        <w:rPr>
          <w:rFonts w:ascii="Arial" w:hAnsi="Arial" w:cs="Arial"/>
          <w:b/>
          <w:sz w:val="20"/>
          <w:szCs w:val="20"/>
          <w:lang w:eastAsia="fr-FR"/>
        </w:rPr>
        <w:t xml:space="preserve"> Superficie totale cultivée des bananes par province pendant les trois saisons</w:t>
      </w:r>
    </w:p>
    <w:p w:rsidR="00A62BC2" w:rsidRPr="00B6647E" w:rsidRDefault="001D0491" w:rsidP="00E55843">
      <w:pPr>
        <w:spacing w:line="240" w:lineRule="auto"/>
        <w:rPr>
          <w:rFonts w:cs="Arial"/>
          <w:szCs w:val="20"/>
        </w:rPr>
      </w:pPr>
      <w:r w:rsidRPr="00B6647E">
        <w:rPr>
          <w:noProof/>
          <w:szCs w:val="20"/>
          <w:lang w:val="fr-FR" w:eastAsia="fr-FR"/>
        </w:rPr>
        <w:drawing>
          <wp:inline distT="0" distB="0" distL="0" distR="0">
            <wp:extent cx="4105275" cy="3867150"/>
            <wp:effectExtent l="19050" t="0" r="9525" b="0"/>
            <wp:docPr id="438"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5" cstate="print"/>
                    <a:srcRect/>
                    <a:stretch>
                      <a:fillRect/>
                    </a:stretch>
                  </pic:blipFill>
                  <pic:spPr bwMode="auto">
                    <a:xfrm>
                      <a:off x="0" y="0"/>
                      <a:ext cx="4105275" cy="3867150"/>
                    </a:xfrm>
                    <a:prstGeom prst="rect">
                      <a:avLst/>
                    </a:prstGeom>
                    <a:noFill/>
                    <a:ln w="9525">
                      <a:noFill/>
                      <a:miter lim="800000"/>
                      <a:headEnd/>
                      <a:tailEnd/>
                    </a:ln>
                  </pic:spPr>
                </pic:pic>
              </a:graphicData>
            </a:graphic>
          </wp:inline>
        </w:drawing>
      </w:r>
    </w:p>
    <w:p w:rsidR="00B00366" w:rsidRPr="00B6647E" w:rsidRDefault="00B00366" w:rsidP="00F822C8">
      <w:pPr>
        <w:spacing w:after="120" w:line="240" w:lineRule="auto"/>
        <w:jc w:val="both"/>
        <w:rPr>
          <w:rFonts w:ascii="Arial" w:hAnsi="Arial" w:cs="Arial"/>
          <w:sz w:val="20"/>
          <w:szCs w:val="20"/>
        </w:rPr>
      </w:pPr>
    </w:p>
    <w:p w:rsidR="00B00366" w:rsidRPr="00B6647E" w:rsidRDefault="00F822C8" w:rsidP="00F822C8">
      <w:pPr>
        <w:spacing w:after="120" w:line="240" w:lineRule="auto"/>
        <w:jc w:val="both"/>
        <w:rPr>
          <w:rFonts w:ascii="Arial" w:hAnsi="Arial" w:cs="Arial"/>
          <w:sz w:val="20"/>
          <w:szCs w:val="20"/>
        </w:rPr>
      </w:pPr>
      <w:r w:rsidRPr="00B6647E">
        <w:rPr>
          <w:rFonts w:ascii="Arial" w:hAnsi="Arial" w:cs="Arial"/>
          <w:sz w:val="20"/>
          <w:szCs w:val="20"/>
        </w:rPr>
        <w:lastRenderedPageBreak/>
        <w:t>Les plus grandes superficies de banane en culture pure et principale ont été estimées dans les provinces de Muyinga (31.609 ha, soit 17,8%), Kirundo (23.710 ha, soit 13,3%), Karuzi (22.216 ha, 12,5%), Ngozi (19.943 ha, soit 11.2%).</w:t>
      </w:r>
    </w:p>
    <w:p w:rsidR="00F822C8" w:rsidRPr="00B6647E" w:rsidRDefault="00F822C8" w:rsidP="00F822C8">
      <w:pPr>
        <w:spacing w:after="120" w:line="240" w:lineRule="auto"/>
        <w:jc w:val="both"/>
        <w:rPr>
          <w:rFonts w:ascii="Arial" w:hAnsi="Arial" w:cs="Arial"/>
          <w:sz w:val="20"/>
          <w:szCs w:val="20"/>
        </w:rPr>
      </w:pPr>
      <w:r w:rsidRPr="00B6647E">
        <w:rPr>
          <w:rFonts w:ascii="Arial" w:hAnsi="Arial" w:cs="Arial"/>
          <w:sz w:val="20"/>
          <w:szCs w:val="20"/>
        </w:rPr>
        <w:t>Les provinces de Bubanza (3.894 ha), Makamba (4.176 ha), Muramvya (3.310 ha) et Rutana (3.953 ha) ont cultivé moins de 5.000 ha de banane en culture pure et principale.</w:t>
      </w:r>
    </w:p>
    <w:p w:rsidR="00B00366" w:rsidRPr="00B6647E" w:rsidRDefault="009724B3" w:rsidP="00E55843">
      <w:pPr>
        <w:spacing w:line="240" w:lineRule="auto"/>
        <w:jc w:val="both"/>
        <w:rPr>
          <w:rFonts w:ascii="Arial" w:hAnsi="Arial" w:cs="Arial"/>
          <w:sz w:val="20"/>
          <w:szCs w:val="20"/>
        </w:rPr>
      </w:pPr>
      <w:r w:rsidRPr="00B6647E">
        <w:rPr>
          <w:rFonts w:ascii="Arial" w:hAnsi="Arial" w:cs="Arial"/>
          <w:sz w:val="20"/>
          <w:szCs w:val="20"/>
        </w:rPr>
        <w:t>La superficie de la banane à bière estimée 149.869 ha représente 84,2% de la superficie totale de banane (à bière, à cuire et à fruit) en culture pure et principale.</w:t>
      </w:r>
    </w:p>
    <w:p w:rsidR="009724B3" w:rsidRPr="00B6647E" w:rsidRDefault="009724B3" w:rsidP="00E55843">
      <w:pPr>
        <w:spacing w:line="240" w:lineRule="auto"/>
        <w:jc w:val="both"/>
        <w:rPr>
          <w:rFonts w:ascii="Arial" w:hAnsi="Arial" w:cs="Arial"/>
          <w:sz w:val="20"/>
          <w:szCs w:val="20"/>
        </w:rPr>
      </w:pPr>
      <w:r w:rsidRPr="00B6647E">
        <w:rPr>
          <w:rFonts w:ascii="Arial" w:hAnsi="Arial" w:cs="Arial"/>
          <w:sz w:val="20"/>
          <w:szCs w:val="20"/>
        </w:rPr>
        <w:t xml:space="preserve">Cette superficie a été enregistrée en grande partie au cours de la saison C (85.143 ha, soit 56,8% de la superficie totale de la banane à bière des trois saisons) et dans les provinces de Muyinga (23.259 ha), Kirundo (21.085 ha), Karuzi (20.823 ha), Ngozi (17.039 ha), </w:t>
      </w:r>
      <w:r w:rsidR="00A64EE4" w:rsidRPr="00B6647E">
        <w:rPr>
          <w:rFonts w:ascii="Arial" w:hAnsi="Arial" w:cs="Arial"/>
          <w:sz w:val="20"/>
          <w:szCs w:val="20"/>
        </w:rPr>
        <w:t>Cibitoke (12.967 ha).</w:t>
      </w:r>
    </w:p>
    <w:p w:rsidR="00F32D35" w:rsidRPr="00B6647E" w:rsidRDefault="00367774" w:rsidP="00E55843">
      <w:pPr>
        <w:pStyle w:val="Lgende"/>
        <w:keepNext/>
        <w:jc w:val="both"/>
        <w:rPr>
          <w:rFonts w:ascii="Arial" w:hAnsi="Arial" w:cs="Arial"/>
        </w:rPr>
      </w:pPr>
      <w:r w:rsidRPr="00B6647E">
        <w:rPr>
          <w:rFonts w:ascii="Arial" w:hAnsi="Arial" w:cs="Arial"/>
        </w:rPr>
        <w:t>Tableau 1</w:t>
      </w:r>
      <w:r w:rsidR="009F4AD0">
        <w:rPr>
          <w:rFonts w:ascii="Arial" w:hAnsi="Arial" w:cs="Arial"/>
        </w:rPr>
        <w:t>30</w:t>
      </w:r>
      <w:r w:rsidRPr="00B6647E">
        <w:rPr>
          <w:rFonts w:ascii="Arial" w:hAnsi="Arial" w:cs="Arial"/>
        </w:rPr>
        <w:t> :</w:t>
      </w:r>
      <w:r w:rsidR="00F32D35" w:rsidRPr="00B6647E">
        <w:rPr>
          <w:rFonts w:ascii="Arial" w:hAnsi="Arial" w:cs="Arial"/>
        </w:rPr>
        <w:t xml:space="preserve"> Superficie totale cultivée de banane à bière par province pendant les trois saisons</w:t>
      </w:r>
    </w:p>
    <w:p w:rsidR="00F32D35" w:rsidRPr="00B6647E" w:rsidRDefault="001D0491" w:rsidP="00E55843">
      <w:pPr>
        <w:spacing w:line="240" w:lineRule="auto"/>
        <w:rPr>
          <w:rFonts w:cs="Arial"/>
          <w:szCs w:val="20"/>
        </w:rPr>
      </w:pPr>
      <w:r w:rsidRPr="00B6647E">
        <w:rPr>
          <w:noProof/>
          <w:szCs w:val="20"/>
          <w:lang w:val="fr-FR" w:eastAsia="fr-FR"/>
        </w:rPr>
        <w:drawing>
          <wp:inline distT="0" distB="0" distL="0" distR="0">
            <wp:extent cx="4105275" cy="3886200"/>
            <wp:effectExtent l="19050" t="0" r="9525" b="0"/>
            <wp:docPr id="439"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6" cstate="print"/>
                    <a:srcRect/>
                    <a:stretch>
                      <a:fillRect/>
                    </a:stretch>
                  </pic:blipFill>
                  <pic:spPr bwMode="auto">
                    <a:xfrm>
                      <a:off x="0" y="0"/>
                      <a:ext cx="4105275" cy="3886200"/>
                    </a:xfrm>
                    <a:prstGeom prst="rect">
                      <a:avLst/>
                    </a:prstGeom>
                    <a:noFill/>
                    <a:ln w="9525">
                      <a:noFill/>
                      <a:miter lim="800000"/>
                      <a:headEnd/>
                      <a:tailEnd/>
                    </a:ln>
                  </pic:spPr>
                </pic:pic>
              </a:graphicData>
            </a:graphic>
          </wp:inline>
        </w:drawing>
      </w:r>
    </w:p>
    <w:p w:rsidR="008B2DFC" w:rsidRPr="00B6647E" w:rsidRDefault="00A64EE4" w:rsidP="00E55843">
      <w:pPr>
        <w:spacing w:line="240" w:lineRule="auto"/>
        <w:jc w:val="both"/>
        <w:rPr>
          <w:rFonts w:ascii="Arial" w:hAnsi="Arial" w:cs="Arial"/>
          <w:sz w:val="20"/>
          <w:szCs w:val="20"/>
        </w:rPr>
      </w:pPr>
      <w:r w:rsidRPr="00B6647E">
        <w:rPr>
          <w:rFonts w:ascii="Arial" w:hAnsi="Arial" w:cs="Arial"/>
          <w:sz w:val="20"/>
          <w:szCs w:val="20"/>
        </w:rPr>
        <w:t>La superficie de la banane à cuire estimée 22.097 ha représente 12,4% de la superficie totale de banane (à bière, à cuire et à fruit)</w:t>
      </w:r>
      <w:r w:rsidR="008B2DFC" w:rsidRPr="00B6647E">
        <w:rPr>
          <w:rFonts w:ascii="Arial" w:hAnsi="Arial" w:cs="Arial"/>
          <w:sz w:val="20"/>
          <w:szCs w:val="20"/>
        </w:rPr>
        <w:t xml:space="preserve"> en culture pure et principale.</w:t>
      </w:r>
    </w:p>
    <w:p w:rsidR="00A64EE4" w:rsidRPr="00B6647E" w:rsidRDefault="00A64EE4" w:rsidP="00E55843">
      <w:pPr>
        <w:spacing w:line="240" w:lineRule="auto"/>
        <w:jc w:val="both"/>
        <w:rPr>
          <w:rFonts w:ascii="Arial" w:hAnsi="Arial" w:cs="Arial"/>
          <w:sz w:val="20"/>
          <w:szCs w:val="20"/>
        </w:rPr>
      </w:pPr>
      <w:r w:rsidRPr="00B6647E">
        <w:rPr>
          <w:rFonts w:ascii="Arial" w:hAnsi="Arial" w:cs="Arial"/>
          <w:sz w:val="20"/>
          <w:szCs w:val="20"/>
        </w:rPr>
        <w:t>Cette superficie a été enregistrée en grande partie au cours de la saison C (12.333 ha, soit 55,8% de la superficie totale de la banane à cuire) et dans les provinces de Muyinga (6.783 ha), Kirundo (2.437 ha), Ngozi (2.314 ha), Cankuzo (2.019 ha), Bujumbura rural (1.165 ha), Gitega (1.142 ha), Cibitoke (1.013 ha).</w:t>
      </w:r>
    </w:p>
    <w:p w:rsidR="00F32D35" w:rsidRPr="00B6647E" w:rsidRDefault="00F32D35" w:rsidP="00E55843">
      <w:pPr>
        <w:pStyle w:val="Lgende"/>
        <w:keepNext/>
        <w:jc w:val="both"/>
        <w:rPr>
          <w:rFonts w:ascii="Arial" w:hAnsi="Arial" w:cs="Arial"/>
        </w:rPr>
      </w:pPr>
      <w:r w:rsidRPr="00B6647E">
        <w:rPr>
          <w:rFonts w:ascii="Arial" w:hAnsi="Arial" w:cs="Arial"/>
        </w:rPr>
        <w:lastRenderedPageBreak/>
        <w:t xml:space="preserve">Tableau </w:t>
      </w:r>
      <w:r w:rsidR="00367774" w:rsidRPr="00B6647E">
        <w:rPr>
          <w:rFonts w:ascii="Arial" w:hAnsi="Arial" w:cs="Arial"/>
        </w:rPr>
        <w:t>1</w:t>
      </w:r>
      <w:r w:rsidR="009F4AD0">
        <w:rPr>
          <w:rFonts w:ascii="Arial" w:hAnsi="Arial" w:cs="Arial"/>
        </w:rPr>
        <w:t>31</w:t>
      </w:r>
      <w:r w:rsidR="00367774" w:rsidRPr="00B6647E">
        <w:rPr>
          <w:rFonts w:ascii="Arial" w:hAnsi="Arial" w:cs="Arial"/>
        </w:rPr>
        <w:t> :</w:t>
      </w:r>
      <w:r w:rsidRPr="00B6647E">
        <w:rPr>
          <w:rFonts w:ascii="Arial" w:hAnsi="Arial" w:cs="Arial"/>
        </w:rPr>
        <w:t xml:space="preserve"> Superficie totale cultivée de banane à cuire par province pendant les trois saisons</w:t>
      </w:r>
    </w:p>
    <w:p w:rsidR="00F32D35" w:rsidRPr="00B6647E" w:rsidRDefault="001D0491" w:rsidP="00E55843">
      <w:pPr>
        <w:spacing w:line="240" w:lineRule="auto"/>
        <w:rPr>
          <w:rFonts w:cs="Arial"/>
          <w:szCs w:val="20"/>
        </w:rPr>
      </w:pPr>
      <w:r w:rsidRPr="00B6647E">
        <w:rPr>
          <w:noProof/>
          <w:szCs w:val="20"/>
          <w:lang w:val="fr-FR" w:eastAsia="fr-FR"/>
        </w:rPr>
        <w:drawing>
          <wp:inline distT="0" distB="0" distL="0" distR="0">
            <wp:extent cx="4105275" cy="3867150"/>
            <wp:effectExtent l="19050" t="0" r="9525" b="0"/>
            <wp:docPr id="440"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7" cstate="print"/>
                    <a:srcRect/>
                    <a:stretch>
                      <a:fillRect/>
                    </a:stretch>
                  </pic:blipFill>
                  <pic:spPr bwMode="auto">
                    <a:xfrm>
                      <a:off x="0" y="0"/>
                      <a:ext cx="4105275" cy="3867150"/>
                    </a:xfrm>
                    <a:prstGeom prst="rect">
                      <a:avLst/>
                    </a:prstGeom>
                    <a:noFill/>
                    <a:ln w="9525">
                      <a:noFill/>
                      <a:miter lim="800000"/>
                      <a:headEnd/>
                      <a:tailEnd/>
                    </a:ln>
                  </pic:spPr>
                </pic:pic>
              </a:graphicData>
            </a:graphic>
          </wp:inline>
        </w:drawing>
      </w:r>
    </w:p>
    <w:p w:rsidR="00B00366" w:rsidRPr="00B6647E" w:rsidRDefault="00B00366" w:rsidP="00E55843">
      <w:pPr>
        <w:spacing w:line="240" w:lineRule="auto"/>
        <w:rPr>
          <w:rFonts w:cs="Arial"/>
          <w:szCs w:val="20"/>
        </w:rPr>
      </w:pPr>
      <w:r w:rsidRPr="00B6647E">
        <w:rPr>
          <w:rFonts w:ascii="Arial" w:hAnsi="Arial" w:cs="Arial"/>
          <w:sz w:val="20"/>
          <w:szCs w:val="20"/>
        </w:rPr>
        <w:t>La superficie de la banane à fruit estimée 6.069 ha correspond à 3,4% de la superficie totale de banane (à bière, à cuire et à fruit) en culture pure et principale.</w:t>
      </w:r>
    </w:p>
    <w:p w:rsidR="00F32D35" w:rsidRPr="00B6647E" w:rsidRDefault="00F32D35" w:rsidP="00B00366">
      <w:pPr>
        <w:pStyle w:val="Lgende"/>
        <w:keepNext/>
        <w:jc w:val="both"/>
        <w:rPr>
          <w:rFonts w:ascii="Arial" w:hAnsi="Arial" w:cs="Arial"/>
        </w:rPr>
      </w:pPr>
      <w:r w:rsidRPr="00B6647E">
        <w:rPr>
          <w:rFonts w:ascii="Arial" w:hAnsi="Arial" w:cs="Arial"/>
        </w:rPr>
        <w:t xml:space="preserve">Tableau </w:t>
      </w:r>
      <w:r w:rsidR="00367774" w:rsidRPr="00B6647E">
        <w:rPr>
          <w:rFonts w:ascii="Arial" w:hAnsi="Arial" w:cs="Arial"/>
        </w:rPr>
        <w:t>1</w:t>
      </w:r>
      <w:r w:rsidR="009F4AD0">
        <w:rPr>
          <w:rFonts w:ascii="Arial" w:hAnsi="Arial" w:cs="Arial"/>
        </w:rPr>
        <w:t>32</w:t>
      </w:r>
      <w:r w:rsidR="00367774" w:rsidRPr="00B6647E">
        <w:rPr>
          <w:rFonts w:ascii="Arial" w:hAnsi="Arial" w:cs="Arial"/>
        </w:rPr>
        <w:t> :</w:t>
      </w:r>
      <w:r w:rsidRPr="00B6647E">
        <w:rPr>
          <w:rFonts w:ascii="Arial" w:hAnsi="Arial" w:cs="Arial"/>
        </w:rPr>
        <w:t xml:space="preserve"> Superficie totale cultivée de banane à fruit par province </w:t>
      </w:r>
      <w:r w:rsidR="00B00366" w:rsidRPr="00B6647E">
        <w:rPr>
          <w:rFonts w:ascii="Arial" w:hAnsi="Arial" w:cs="Arial"/>
        </w:rPr>
        <w:t>et par</w:t>
      </w:r>
      <w:r w:rsidRPr="00B6647E">
        <w:rPr>
          <w:rFonts w:ascii="Arial" w:hAnsi="Arial" w:cs="Arial"/>
        </w:rPr>
        <w:t xml:space="preserve"> saison</w:t>
      </w:r>
    </w:p>
    <w:p w:rsidR="00F32D35" w:rsidRPr="00B6647E" w:rsidRDefault="001D0491" w:rsidP="00B00366">
      <w:pPr>
        <w:spacing w:after="0" w:line="240" w:lineRule="auto"/>
        <w:rPr>
          <w:rFonts w:cs="Arial"/>
          <w:szCs w:val="20"/>
        </w:rPr>
      </w:pPr>
      <w:r w:rsidRPr="00B6647E">
        <w:rPr>
          <w:noProof/>
          <w:szCs w:val="20"/>
          <w:lang w:val="fr-FR" w:eastAsia="fr-FR"/>
        </w:rPr>
        <w:drawing>
          <wp:inline distT="0" distB="0" distL="0" distR="0">
            <wp:extent cx="4105275" cy="3867150"/>
            <wp:effectExtent l="19050" t="0" r="9525" b="0"/>
            <wp:docPr id="441"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8" cstate="print"/>
                    <a:srcRect/>
                    <a:stretch>
                      <a:fillRect/>
                    </a:stretch>
                  </pic:blipFill>
                  <pic:spPr bwMode="auto">
                    <a:xfrm>
                      <a:off x="0" y="0"/>
                      <a:ext cx="4105275" cy="3867150"/>
                    </a:xfrm>
                    <a:prstGeom prst="rect">
                      <a:avLst/>
                    </a:prstGeom>
                    <a:noFill/>
                    <a:ln w="9525">
                      <a:noFill/>
                      <a:miter lim="800000"/>
                      <a:headEnd/>
                      <a:tailEnd/>
                    </a:ln>
                  </pic:spPr>
                </pic:pic>
              </a:graphicData>
            </a:graphic>
          </wp:inline>
        </w:drawing>
      </w:r>
    </w:p>
    <w:p w:rsidR="008B2DFC" w:rsidRPr="00B6647E" w:rsidRDefault="008B2DFC" w:rsidP="008B2DFC">
      <w:pPr>
        <w:spacing w:line="240" w:lineRule="auto"/>
        <w:jc w:val="both"/>
        <w:rPr>
          <w:rFonts w:ascii="Arial" w:hAnsi="Arial" w:cs="Arial"/>
          <w:sz w:val="20"/>
          <w:szCs w:val="20"/>
        </w:rPr>
      </w:pPr>
      <w:r w:rsidRPr="00B6647E">
        <w:rPr>
          <w:rFonts w:ascii="Arial" w:hAnsi="Arial" w:cs="Arial"/>
          <w:sz w:val="20"/>
          <w:szCs w:val="20"/>
        </w:rPr>
        <w:lastRenderedPageBreak/>
        <w:t>Comme pour les autres composantes de la banane, la saison C a enregistré la plus grande superficie (3.041 ha contre 1.540 ha en saison A et 1.487 pendant la saison B). Les provinces de Muyinga (1.567 ha), Cibitoke (763 ha), Gitega (607 ha), Ngozi (591 ha), Karuzi (559 ha), Bujumbura rural (516 ha) ont cultivé 75,8% de la superficie totale de banane à fruit en culture pure et principale des trois saisons.</w:t>
      </w:r>
    </w:p>
    <w:p w:rsidR="008B2DFC" w:rsidRPr="00B6647E" w:rsidRDefault="008B2DFC" w:rsidP="008B2DFC">
      <w:pPr>
        <w:spacing w:line="240" w:lineRule="auto"/>
        <w:rPr>
          <w:rFonts w:cs="Arial"/>
          <w:szCs w:val="20"/>
        </w:rPr>
      </w:pPr>
    </w:p>
    <w:p w:rsidR="00F32D35" w:rsidRPr="00B6647E" w:rsidRDefault="00E55843" w:rsidP="000210DA">
      <w:pPr>
        <w:spacing w:line="240" w:lineRule="auto"/>
        <w:rPr>
          <w:rFonts w:ascii="Arial" w:hAnsi="Arial" w:cs="Arial"/>
          <w:b/>
          <w:sz w:val="20"/>
          <w:szCs w:val="20"/>
        </w:rPr>
      </w:pPr>
      <w:r w:rsidRPr="00B6647E">
        <w:rPr>
          <w:rFonts w:ascii="Arial" w:hAnsi="Arial" w:cs="Arial"/>
          <w:b/>
          <w:sz w:val="20"/>
          <w:szCs w:val="20"/>
        </w:rPr>
        <w:t xml:space="preserve">Carte </w:t>
      </w:r>
      <w:r w:rsidR="00613D0F" w:rsidRPr="00B6647E">
        <w:rPr>
          <w:rFonts w:ascii="Arial" w:hAnsi="Arial" w:cs="Arial"/>
          <w:b/>
          <w:sz w:val="20"/>
          <w:szCs w:val="20"/>
        </w:rPr>
        <w:t>11</w:t>
      </w:r>
      <w:r w:rsidRPr="00B6647E">
        <w:rPr>
          <w:rFonts w:ascii="Arial" w:hAnsi="Arial" w:cs="Arial"/>
          <w:b/>
          <w:sz w:val="20"/>
          <w:szCs w:val="20"/>
        </w:rPr>
        <w:t> : Superficies totale de la banane en culture pure et principale de la campagne agricole par province</w:t>
      </w:r>
    </w:p>
    <w:p w:rsidR="00E55843" w:rsidRPr="00B6647E" w:rsidRDefault="000F786D" w:rsidP="000210DA">
      <w:pPr>
        <w:spacing w:line="240" w:lineRule="auto"/>
        <w:rPr>
          <w:rFonts w:cs="Arial"/>
          <w:szCs w:val="20"/>
        </w:rPr>
      </w:pPr>
      <w:r w:rsidRPr="00B6647E">
        <w:rPr>
          <w:rFonts w:cs="Arial"/>
          <w:noProof/>
          <w:szCs w:val="20"/>
          <w:lang w:val="fr-FR" w:eastAsia="fr-FR"/>
        </w:rPr>
        <w:drawing>
          <wp:inline distT="0" distB="0" distL="0" distR="0">
            <wp:extent cx="5648103" cy="3978868"/>
            <wp:effectExtent l="19050" t="0" r="0" b="0"/>
            <wp:docPr id="36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9" cstate="print"/>
                    <a:srcRect l="5318" t="5399" r="5274" b="5634"/>
                    <a:stretch>
                      <a:fillRect/>
                    </a:stretch>
                  </pic:blipFill>
                  <pic:spPr bwMode="auto">
                    <a:xfrm>
                      <a:off x="0" y="0"/>
                      <a:ext cx="5645175" cy="3976805"/>
                    </a:xfrm>
                    <a:prstGeom prst="rect">
                      <a:avLst/>
                    </a:prstGeom>
                    <a:noFill/>
                    <a:ln w="9525">
                      <a:noFill/>
                      <a:miter lim="800000"/>
                      <a:headEnd/>
                      <a:tailEnd/>
                    </a:ln>
                  </pic:spPr>
                </pic:pic>
              </a:graphicData>
            </a:graphic>
          </wp:inline>
        </w:drawing>
      </w:r>
    </w:p>
    <w:p w:rsidR="00B00366" w:rsidRPr="00B6647E" w:rsidRDefault="00B00366" w:rsidP="000210DA">
      <w:pPr>
        <w:spacing w:line="240" w:lineRule="auto"/>
        <w:rPr>
          <w:rFonts w:cs="Arial"/>
          <w:szCs w:val="20"/>
        </w:rPr>
      </w:pPr>
    </w:p>
    <w:p w:rsidR="000552AE" w:rsidRPr="00B6647E" w:rsidRDefault="000552AE" w:rsidP="00F822C8">
      <w:pPr>
        <w:pStyle w:val="Titre3"/>
        <w:keepNext w:val="0"/>
        <w:numPr>
          <w:ilvl w:val="2"/>
          <w:numId w:val="1"/>
        </w:numPr>
        <w:spacing w:before="200" w:after="120"/>
        <w:ind w:left="0" w:firstLine="0"/>
        <w:rPr>
          <w:rFonts w:cs="Arial"/>
          <w:szCs w:val="20"/>
        </w:rPr>
      </w:pPr>
      <w:bookmarkStart w:id="238" w:name="_Toc354313885"/>
      <w:r w:rsidRPr="00B6647E">
        <w:rPr>
          <w:rFonts w:cs="Arial"/>
          <w:szCs w:val="20"/>
        </w:rPr>
        <w:t>Rendements</w:t>
      </w:r>
      <w:bookmarkEnd w:id="238"/>
    </w:p>
    <w:p w:rsidR="00AF3C00" w:rsidRPr="00B6647E" w:rsidRDefault="00AA1E74" w:rsidP="00F822C8">
      <w:pPr>
        <w:spacing w:before="200" w:after="120" w:line="240" w:lineRule="auto"/>
        <w:rPr>
          <w:rFonts w:ascii="Arial" w:hAnsi="Arial" w:cs="Arial"/>
          <w:b/>
          <w:sz w:val="20"/>
          <w:szCs w:val="20"/>
          <w:lang w:val="fr-FR" w:eastAsia="fr-FR"/>
        </w:rPr>
      </w:pPr>
      <w:r w:rsidRPr="00B6647E">
        <w:rPr>
          <w:rFonts w:ascii="Arial" w:hAnsi="Arial" w:cs="Arial"/>
          <w:b/>
          <w:sz w:val="20"/>
          <w:szCs w:val="20"/>
          <w:lang w:val="fr-FR" w:eastAsia="fr-FR"/>
        </w:rPr>
        <w:t>a) Rendements de la banane en culture pure par région naturelle</w:t>
      </w:r>
    </w:p>
    <w:p w:rsidR="00AA1E74" w:rsidRPr="00B6647E" w:rsidRDefault="00AA1E74" w:rsidP="000210DA">
      <w:pPr>
        <w:spacing w:line="240" w:lineRule="auto"/>
        <w:jc w:val="both"/>
        <w:rPr>
          <w:rFonts w:ascii="Arial" w:hAnsi="Arial" w:cs="Arial"/>
          <w:sz w:val="20"/>
          <w:szCs w:val="20"/>
        </w:rPr>
      </w:pPr>
      <w:r w:rsidRPr="00B6647E">
        <w:rPr>
          <w:rFonts w:ascii="Arial" w:hAnsi="Arial" w:cs="Arial"/>
          <w:sz w:val="20"/>
          <w:szCs w:val="20"/>
        </w:rPr>
        <w:t>Les rendements analysés dans ce chapitre sont les rendements de la banane en culture pure. Les rendements de la banane en association sont consignés dans le document des annexes.</w:t>
      </w:r>
    </w:p>
    <w:p w:rsidR="00923B65" w:rsidRPr="00B6647E" w:rsidRDefault="00923B65" w:rsidP="000210DA">
      <w:pPr>
        <w:spacing w:line="240" w:lineRule="auto"/>
        <w:jc w:val="both"/>
        <w:rPr>
          <w:rFonts w:ascii="Arial" w:hAnsi="Arial" w:cs="Arial"/>
          <w:sz w:val="20"/>
          <w:szCs w:val="20"/>
        </w:rPr>
      </w:pPr>
      <w:r w:rsidRPr="00B6647E">
        <w:rPr>
          <w:rFonts w:ascii="Arial" w:hAnsi="Arial" w:cs="Arial"/>
          <w:sz w:val="20"/>
          <w:szCs w:val="20"/>
        </w:rPr>
        <w:t>Le rendement de la banane tous les types confondus sont estimés à 3.886 kg/ha en saison A, 3.972 kg/ha pendant la saison B et 4.106 kg/ha au cours de la saison C),</w:t>
      </w:r>
    </w:p>
    <w:p w:rsidR="00923B65" w:rsidRPr="00B6647E" w:rsidRDefault="00AA1E74" w:rsidP="000210DA">
      <w:pPr>
        <w:spacing w:line="240" w:lineRule="auto"/>
        <w:jc w:val="both"/>
        <w:rPr>
          <w:rFonts w:ascii="Arial" w:hAnsi="Arial" w:cs="Arial"/>
          <w:sz w:val="20"/>
          <w:szCs w:val="20"/>
        </w:rPr>
      </w:pPr>
      <w:r w:rsidRPr="00B6647E">
        <w:rPr>
          <w:rFonts w:ascii="Arial" w:hAnsi="Arial" w:cs="Arial"/>
          <w:sz w:val="20"/>
          <w:szCs w:val="20"/>
        </w:rPr>
        <w:t xml:space="preserve">Pour chaque type de banane (à bière, à cuire et à fruit) les moyennes nationales des rendements en pur </w:t>
      </w:r>
      <w:r w:rsidR="00E6164F" w:rsidRPr="00B6647E">
        <w:rPr>
          <w:rFonts w:ascii="Arial" w:hAnsi="Arial" w:cs="Arial"/>
          <w:sz w:val="20"/>
          <w:szCs w:val="20"/>
        </w:rPr>
        <w:t xml:space="preserve">sont </w:t>
      </w:r>
      <w:r w:rsidR="00923B65" w:rsidRPr="00B6647E">
        <w:rPr>
          <w:rFonts w:ascii="Arial" w:hAnsi="Arial" w:cs="Arial"/>
          <w:sz w:val="20"/>
          <w:szCs w:val="20"/>
        </w:rPr>
        <w:t xml:space="preserve">supérieurs 3800 kg/ha. Leurs estimations par saison ; </w:t>
      </w:r>
      <w:r w:rsidR="00E6164F" w:rsidRPr="00B6647E">
        <w:rPr>
          <w:rFonts w:ascii="Arial" w:hAnsi="Arial" w:cs="Arial"/>
          <w:sz w:val="20"/>
          <w:szCs w:val="20"/>
        </w:rPr>
        <w:t xml:space="preserve">banane à bière (3.885 kg/ha en saison A, 3.959 kg/ha pendant la saison B et 4.904 kg/ha au cours de la saison C), banane à cuire </w:t>
      </w:r>
      <w:r w:rsidR="00923B65" w:rsidRPr="00B6647E">
        <w:rPr>
          <w:rFonts w:ascii="Arial" w:hAnsi="Arial" w:cs="Arial"/>
          <w:sz w:val="20"/>
          <w:szCs w:val="20"/>
        </w:rPr>
        <w:t xml:space="preserve">(3.885 kg/ha en saison A, 3.959 kg/ha pendant la saison B et 4.904 kg/ha au cours de la saison C) et banane à fruit (3.885 kg/ha en saison A, 3.959 kg/ha pendant la saison B et 4.904 kg/ha au cours de la saison C) </w:t>
      </w:r>
    </w:p>
    <w:p w:rsidR="00AF3C00" w:rsidRPr="00B6647E" w:rsidRDefault="00AF3C00" w:rsidP="000210DA">
      <w:pPr>
        <w:pStyle w:val="Lgende"/>
        <w:keepNext/>
        <w:jc w:val="both"/>
        <w:rPr>
          <w:rFonts w:ascii="Arial" w:hAnsi="Arial" w:cs="Arial"/>
        </w:rPr>
      </w:pPr>
      <w:r w:rsidRPr="00B6647E">
        <w:rPr>
          <w:rFonts w:ascii="Arial" w:hAnsi="Arial" w:cs="Arial"/>
        </w:rPr>
        <w:lastRenderedPageBreak/>
        <w:t xml:space="preserve">Tableau </w:t>
      </w:r>
      <w:r w:rsidR="00367774" w:rsidRPr="00B6647E">
        <w:rPr>
          <w:rFonts w:ascii="Arial" w:hAnsi="Arial" w:cs="Arial"/>
        </w:rPr>
        <w:t>1</w:t>
      </w:r>
      <w:r w:rsidR="009F4AD0">
        <w:rPr>
          <w:rFonts w:ascii="Arial" w:hAnsi="Arial" w:cs="Arial"/>
        </w:rPr>
        <w:t>34</w:t>
      </w:r>
      <w:r w:rsidR="00367774" w:rsidRPr="00B6647E">
        <w:rPr>
          <w:rFonts w:ascii="Arial" w:hAnsi="Arial" w:cs="Arial"/>
        </w:rPr>
        <w:t> :</w:t>
      </w:r>
      <w:r w:rsidRPr="00B6647E">
        <w:rPr>
          <w:rFonts w:ascii="Arial" w:hAnsi="Arial" w:cs="Arial"/>
        </w:rPr>
        <w:t xml:space="preserve"> Rendement de la banane en culture pure par région pendant les trois saisons</w:t>
      </w:r>
    </w:p>
    <w:p w:rsidR="00AF3C00" w:rsidRPr="00B6647E" w:rsidRDefault="00770FDF" w:rsidP="000210DA">
      <w:pPr>
        <w:spacing w:line="240" w:lineRule="auto"/>
        <w:rPr>
          <w:lang w:eastAsia="fr-FR"/>
        </w:rPr>
      </w:pPr>
      <w:r w:rsidRPr="00B6647E">
        <w:rPr>
          <w:noProof/>
          <w:lang w:val="fr-FR" w:eastAsia="fr-FR"/>
        </w:rPr>
        <w:drawing>
          <wp:inline distT="0" distB="0" distL="0" distR="0">
            <wp:extent cx="3305175" cy="2714625"/>
            <wp:effectExtent l="19050" t="0" r="9525" b="0"/>
            <wp:docPr id="442"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0" cstate="print"/>
                    <a:srcRect/>
                    <a:stretch>
                      <a:fillRect/>
                    </a:stretch>
                  </pic:blipFill>
                  <pic:spPr bwMode="auto">
                    <a:xfrm>
                      <a:off x="0" y="0"/>
                      <a:ext cx="3305175" cy="2714625"/>
                    </a:xfrm>
                    <a:prstGeom prst="rect">
                      <a:avLst/>
                    </a:prstGeom>
                    <a:noFill/>
                    <a:ln w="9525">
                      <a:noFill/>
                      <a:miter lim="800000"/>
                      <a:headEnd/>
                      <a:tailEnd/>
                    </a:ln>
                  </pic:spPr>
                </pic:pic>
              </a:graphicData>
            </a:graphic>
          </wp:inline>
        </w:drawing>
      </w:r>
    </w:p>
    <w:p w:rsidR="003E58AD" w:rsidRPr="00B6647E" w:rsidRDefault="00923B65" w:rsidP="000210DA">
      <w:pPr>
        <w:spacing w:line="240" w:lineRule="auto"/>
        <w:jc w:val="both"/>
        <w:rPr>
          <w:rFonts w:ascii="Arial" w:hAnsi="Arial" w:cs="Arial"/>
          <w:sz w:val="20"/>
          <w:szCs w:val="20"/>
          <w:lang w:eastAsia="fr-FR"/>
        </w:rPr>
      </w:pPr>
      <w:r w:rsidRPr="00B6647E">
        <w:rPr>
          <w:rFonts w:ascii="Arial" w:hAnsi="Arial" w:cs="Arial"/>
          <w:sz w:val="20"/>
          <w:szCs w:val="20"/>
          <w:lang w:eastAsia="fr-FR"/>
        </w:rPr>
        <w:t xml:space="preserve">La banane à bière en culture pure a été cultivée dans toutes les régions naturelles au cours de </w:t>
      </w:r>
      <w:r w:rsidR="000F604C" w:rsidRPr="00B6647E">
        <w:rPr>
          <w:rFonts w:ascii="Arial" w:hAnsi="Arial" w:cs="Arial"/>
          <w:sz w:val="20"/>
          <w:szCs w:val="20"/>
          <w:lang w:eastAsia="fr-FR"/>
        </w:rPr>
        <w:t>toutes les saisons</w:t>
      </w:r>
      <w:r w:rsidRPr="00B6647E">
        <w:rPr>
          <w:rFonts w:ascii="Arial" w:hAnsi="Arial" w:cs="Arial"/>
          <w:sz w:val="20"/>
          <w:szCs w:val="20"/>
          <w:lang w:eastAsia="fr-FR"/>
        </w:rPr>
        <w:t xml:space="preserve"> sauf dans Buragane et Bweru en saison A.</w:t>
      </w:r>
    </w:p>
    <w:p w:rsidR="00923B65" w:rsidRPr="00B6647E" w:rsidRDefault="000F604C" w:rsidP="000210DA">
      <w:pPr>
        <w:spacing w:line="240" w:lineRule="auto"/>
        <w:jc w:val="both"/>
        <w:rPr>
          <w:rFonts w:ascii="Arial" w:hAnsi="Arial" w:cs="Arial"/>
          <w:sz w:val="20"/>
          <w:szCs w:val="20"/>
          <w:lang w:eastAsia="fr-FR"/>
        </w:rPr>
      </w:pPr>
      <w:r w:rsidRPr="00B6647E">
        <w:rPr>
          <w:rFonts w:ascii="Arial" w:hAnsi="Arial" w:cs="Arial"/>
          <w:sz w:val="20"/>
          <w:szCs w:val="20"/>
          <w:lang w:eastAsia="fr-FR"/>
        </w:rPr>
        <w:t xml:space="preserve">Les moyennes nationales ont été estimées à </w:t>
      </w:r>
      <w:r w:rsidRPr="00B6647E">
        <w:rPr>
          <w:rFonts w:ascii="Arial" w:hAnsi="Arial" w:cs="Arial"/>
          <w:sz w:val="20"/>
          <w:szCs w:val="20"/>
        </w:rPr>
        <w:t>3.885 kg/ha en saison A, 3.959 kg/ha pendant la saison B et 4.</w:t>
      </w:r>
      <w:r w:rsidR="000E34AA" w:rsidRPr="00B6647E">
        <w:rPr>
          <w:rFonts w:ascii="Arial" w:hAnsi="Arial" w:cs="Arial"/>
          <w:sz w:val="20"/>
          <w:szCs w:val="20"/>
        </w:rPr>
        <w:t>0</w:t>
      </w:r>
      <w:r w:rsidRPr="00B6647E">
        <w:rPr>
          <w:rFonts w:ascii="Arial" w:hAnsi="Arial" w:cs="Arial"/>
          <w:sz w:val="20"/>
          <w:szCs w:val="20"/>
        </w:rPr>
        <w:t xml:space="preserve">94 kg/ha au cours de la saison C. </w:t>
      </w:r>
      <w:r w:rsidR="00E61059" w:rsidRPr="00B6647E">
        <w:rPr>
          <w:rFonts w:ascii="Arial" w:hAnsi="Arial" w:cs="Arial"/>
          <w:sz w:val="20"/>
          <w:szCs w:val="20"/>
        </w:rPr>
        <w:t xml:space="preserve">En saison A, ces rendements varient de 3.100 kg/ha dans Moso à 5.000 kg/ha dans Imbo. Au cours de la saison B, ils vont de 2.000 kg/ha dans Bweru à 5.000 kg/ha dans les régions de Buragane et Moso. Pendant la saison C, le plus rendement a été estimé à </w:t>
      </w:r>
      <w:r w:rsidR="00CA3AD0" w:rsidRPr="00B6647E">
        <w:rPr>
          <w:rFonts w:ascii="Arial" w:hAnsi="Arial" w:cs="Arial"/>
          <w:sz w:val="20"/>
          <w:szCs w:val="20"/>
        </w:rPr>
        <w:t>3.671 kg/ha dans Moso et le plus grand est 5.000 kg/ha dans Buragane et Bweru.</w:t>
      </w:r>
    </w:p>
    <w:p w:rsidR="00AF3C00" w:rsidRPr="00B6647E" w:rsidRDefault="00AA3FAC" w:rsidP="000210DA">
      <w:pPr>
        <w:pStyle w:val="Lgende"/>
        <w:keepNext/>
        <w:jc w:val="both"/>
        <w:rPr>
          <w:rFonts w:ascii="Arial" w:hAnsi="Arial" w:cs="Arial"/>
        </w:rPr>
      </w:pPr>
      <w:r w:rsidRPr="00B6647E">
        <w:rPr>
          <w:rFonts w:ascii="Arial" w:hAnsi="Arial" w:cs="Arial"/>
        </w:rPr>
        <w:t>Tableau 1</w:t>
      </w:r>
      <w:r w:rsidR="009F4AD0">
        <w:rPr>
          <w:rFonts w:ascii="Arial" w:hAnsi="Arial" w:cs="Arial"/>
        </w:rPr>
        <w:t>3</w:t>
      </w:r>
      <w:r w:rsidRPr="00B6647E">
        <w:rPr>
          <w:rFonts w:ascii="Arial" w:hAnsi="Arial" w:cs="Arial"/>
        </w:rPr>
        <w:t>5 :</w:t>
      </w:r>
      <w:r w:rsidR="00AF3C00" w:rsidRPr="00B6647E">
        <w:rPr>
          <w:rFonts w:ascii="Arial" w:hAnsi="Arial" w:cs="Arial"/>
        </w:rPr>
        <w:t xml:space="preserve"> Rendement de la banane à bière en culture pure par région pendant les trois saisons</w:t>
      </w:r>
    </w:p>
    <w:p w:rsidR="00AF3C00" w:rsidRPr="00B6647E" w:rsidRDefault="00770FDF" w:rsidP="000210DA">
      <w:pPr>
        <w:spacing w:line="240" w:lineRule="auto"/>
        <w:rPr>
          <w:lang w:eastAsia="fr-FR"/>
        </w:rPr>
      </w:pPr>
      <w:r w:rsidRPr="00B6647E">
        <w:rPr>
          <w:noProof/>
          <w:lang w:val="fr-FR" w:eastAsia="fr-FR"/>
        </w:rPr>
        <w:drawing>
          <wp:inline distT="0" distB="0" distL="0" distR="0">
            <wp:extent cx="3305175" cy="2914650"/>
            <wp:effectExtent l="19050" t="0" r="9525" b="0"/>
            <wp:docPr id="443"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1" cstate="print"/>
                    <a:srcRect/>
                    <a:stretch>
                      <a:fillRect/>
                    </a:stretch>
                  </pic:blipFill>
                  <pic:spPr bwMode="auto">
                    <a:xfrm>
                      <a:off x="0" y="0"/>
                      <a:ext cx="3305175" cy="2914650"/>
                    </a:xfrm>
                    <a:prstGeom prst="rect">
                      <a:avLst/>
                    </a:prstGeom>
                    <a:noFill/>
                    <a:ln w="9525">
                      <a:noFill/>
                      <a:miter lim="800000"/>
                      <a:headEnd/>
                      <a:tailEnd/>
                    </a:ln>
                  </pic:spPr>
                </pic:pic>
              </a:graphicData>
            </a:graphic>
          </wp:inline>
        </w:drawing>
      </w:r>
    </w:p>
    <w:p w:rsidR="000E34AA" w:rsidRPr="00B6647E" w:rsidRDefault="000E34AA" w:rsidP="000210DA">
      <w:pPr>
        <w:spacing w:line="240" w:lineRule="auto"/>
        <w:jc w:val="both"/>
        <w:rPr>
          <w:rFonts w:ascii="Arial" w:hAnsi="Arial" w:cs="Arial"/>
          <w:sz w:val="20"/>
          <w:szCs w:val="20"/>
          <w:lang w:eastAsia="fr-FR"/>
        </w:rPr>
      </w:pPr>
      <w:r w:rsidRPr="00B6647E">
        <w:rPr>
          <w:rFonts w:ascii="Arial" w:hAnsi="Arial" w:cs="Arial"/>
          <w:sz w:val="20"/>
          <w:szCs w:val="20"/>
          <w:lang w:eastAsia="fr-FR"/>
        </w:rPr>
        <w:t>La banane à cuire en culture pure a été cultivée dans toutes les régions naturelles au cours de toutes les saisons sauf dans Bututsi au cours des trois saisons, à Bweru en saison A, à Imbo pendant la saison B et dans les régions de Buragane et Imbo au cours de la saison C.</w:t>
      </w:r>
    </w:p>
    <w:p w:rsidR="000E34AA" w:rsidRPr="00B6647E" w:rsidRDefault="000E34AA" w:rsidP="000210DA">
      <w:pPr>
        <w:spacing w:line="240" w:lineRule="auto"/>
        <w:jc w:val="both"/>
        <w:rPr>
          <w:rFonts w:ascii="Arial" w:hAnsi="Arial" w:cs="Arial"/>
          <w:sz w:val="20"/>
          <w:szCs w:val="20"/>
          <w:lang w:eastAsia="fr-FR"/>
        </w:rPr>
      </w:pPr>
      <w:r w:rsidRPr="00B6647E">
        <w:rPr>
          <w:rFonts w:ascii="Arial" w:hAnsi="Arial" w:cs="Arial"/>
          <w:sz w:val="20"/>
          <w:szCs w:val="20"/>
          <w:lang w:eastAsia="fr-FR"/>
        </w:rPr>
        <w:t xml:space="preserve">Les moyennes nationales ont été estimées à </w:t>
      </w:r>
      <w:r w:rsidRPr="00B6647E">
        <w:rPr>
          <w:rFonts w:ascii="Arial" w:hAnsi="Arial" w:cs="Arial"/>
          <w:sz w:val="20"/>
          <w:szCs w:val="20"/>
        </w:rPr>
        <w:t xml:space="preserve">3.850 kg/ha en saison A, 4.012 kg/ha pendant la saison B et 4.149 kg/ha au cours de la saison C. Dans les régions naturelles qui ont cultivé de la banane à cuire en pur, les rendements varient de 3.250 kg/ha dans Moso à 5.000 kg/ha dans Mugamba en </w:t>
      </w:r>
      <w:r w:rsidRPr="00B6647E">
        <w:rPr>
          <w:rFonts w:ascii="Arial" w:hAnsi="Arial" w:cs="Arial"/>
          <w:sz w:val="20"/>
          <w:szCs w:val="20"/>
        </w:rPr>
        <w:lastRenderedPageBreak/>
        <w:t>saison A, de 3.</w:t>
      </w:r>
      <w:r w:rsidR="00180E4A" w:rsidRPr="00B6647E">
        <w:rPr>
          <w:rFonts w:ascii="Arial" w:hAnsi="Arial" w:cs="Arial"/>
          <w:sz w:val="20"/>
          <w:szCs w:val="20"/>
        </w:rPr>
        <w:t>2</w:t>
      </w:r>
      <w:r w:rsidRPr="00B6647E">
        <w:rPr>
          <w:rFonts w:ascii="Arial" w:hAnsi="Arial" w:cs="Arial"/>
          <w:sz w:val="20"/>
          <w:szCs w:val="20"/>
        </w:rPr>
        <w:t xml:space="preserve">00 kg/ha dans Moso </w:t>
      </w:r>
      <w:r w:rsidR="00180E4A" w:rsidRPr="00B6647E">
        <w:rPr>
          <w:rFonts w:ascii="Arial" w:hAnsi="Arial" w:cs="Arial"/>
          <w:sz w:val="20"/>
          <w:szCs w:val="20"/>
        </w:rPr>
        <w:t xml:space="preserve">et Buragane </w:t>
      </w:r>
      <w:r w:rsidRPr="00B6647E">
        <w:rPr>
          <w:rFonts w:ascii="Arial" w:hAnsi="Arial" w:cs="Arial"/>
          <w:sz w:val="20"/>
          <w:szCs w:val="20"/>
        </w:rPr>
        <w:t xml:space="preserve">à 5.000 kg/ha dans </w:t>
      </w:r>
      <w:r w:rsidR="00180E4A" w:rsidRPr="00B6647E">
        <w:rPr>
          <w:rFonts w:ascii="Arial" w:hAnsi="Arial" w:cs="Arial"/>
          <w:sz w:val="20"/>
          <w:szCs w:val="20"/>
        </w:rPr>
        <w:t>Bweru et Mumirwa pendant la saison B,</w:t>
      </w:r>
      <w:r w:rsidRPr="00B6647E">
        <w:rPr>
          <w:rFonts w:ascii="Arial" w:hAnsi="Arial" w:cs="Arial"/>
          <w:sz w:val="20"/>
          <w:szCs w:val="20"/>
        </w:rPr>
        <w:t xml:space="preserve"> </w:t>
      </w:r>
      <w:r w:rsidR="00180E4A" w:rsidRPr="00B6647E">
        <w:rPr>
          <w:rFonts w:ascii="Arial" w:hAnsi="Arial" w:cs="Arial"/>
          <w:sz w:val="20"/>
          <w:szCs w:val="20"/>
        </w:rPr>
        <w:t>de 3</w:t>
      </w:r>
      <w:r w:rsidRPr="00B6647E">
        <w:rPr>
          <w:rFonts w:ascii="Arial" w:hAnsi="Arial" w:cs="Arial"/>
          <w:sz w:val="20"/>
          <w:szCs w:val="20"/>
        </w:rPr>
        <w:t>.</w:t>
      </w:r>
      <w:r w:rsidR="00180E4A" w:rsidRPr="00B6647E">
        <w:rPr>
          <w:rFonts w:ascii="Arial" w:hAnsi="Arial" w:cs="Arial"/>
          <w:sz w:val="20"/>
          <w:szCs w:val="20"/>
        </w:rPr>
        <w:t>798</w:t>
      </w:r>
      <w:r w:rsidRPr="00B6647E">
        <w:rPr>
          <w:rFonts w:ascii="Arial" w:hAnsi="Arial" w:cs="Arial"/>
          <w:sz w:val="20"/>
          <w:szCs w:val="20"/>
        </w:rPr>
        <w:t xml:space="preserve"> kg/ha dans B</w:t>
      </w:r>
      <w:r w:rsidR="00180E4A" w:rsidRPr="00B6647E">
        <w:rPr>
          <w:rFonts w:ascii="Arial" w:hAnsi="Arial" w:cs="Arial"/>
          <w:sz w:val="20"/>
          <w:szCs w:val="20"/>
        </w:rPr>
        <w:t>uyogoma</w:t>
      </w:r>
      <w:r w:rsidRPr="00B6647E">
        <w:rPr>
          <w:rFonts w:ascii="Arial" w:hAnsi="Arial" w:cs="Arial"/>
          <w:sz w:val="20"/>
          <w:szCs w:val="20"/>
        </w:rPr>
        <w:t xml:space="preserve"> à 5.000 kg/ha dans </w:t>
      </w:r>
      <w:r w:rsidR="00180E4A" w:rsidRPr="00B6647E">
        <w:rPr>
          <w:rFonts w:ascii="Arial" w:hAnsi="Arial" w:cs="Arial"/>
          <w:sz w:val="20"/>
          <w:szCs w:val="20"/>
        </w:rPr>
        <w:t>Mugamba.</w:t>
      </w:r>
    </w:p>
    <w:p w:rsidR="00AF3C00" w:rsidRPr="00B6647E" w:rsidRDefault="00AF3C00" w:rsidP="000210DA">
      <w:pPr>
        <w:pStyle w:val="Lgende"/>
        <w:keepNext/>
        <w:jc w:val="both"/>
        <w:rPr>
          <w:rFonts w:ascii="Arial" w:hAnsi="Arial" w:cs="Arial"/>
        </w:rPr>
      </w:pPr>
      <w:r w:rsidRPr="00B6647E">
        <w:rPr>
          <w:rFonts w:ascii="Arial" w:hAnsi="Arial" w:cs="Arial"/>
        </w:rPr>
        <w:t xml:space="preserve">Tableau </w:t>
      </w:r>
      <w:r w:rsidR="00AA3FAC" w:rsidRPr="00B6647E">
        <w:rPr>
          <w:rFonts w:ascii="Arial" w:hAnsi="Arial" w:cs="Arial"/>
        </w:rPr>
        <w:t>1</w:t>
      </w:r>
      <w:r w:rsidR="007A4D44">
        <w:rPr>
          <w:rFonts w:ascii="Arial" w:hAnsi="Arial" w:cs="Arial"/>
        </w:rPr>
        <w:t>36</w:t>
      </w:r>
      <w:r w:rsidR="00AA3FAC" w:rsidRPr="00B6647E">
        <w:rPr>
          <w:rFonts w:ascii="Arial" w:hAnsi="Arial" w:cs="Arial"/>
        </w:rPr>
        <w:t> :</w:t>
      </w:r>
      <w:r w:rsidRPr="00B6647E">
        <w:rPr>
          <w:rFonts w:ascii="Arial" w:hAnsi="Arial" w:cs="Arial"/>
        </w:rPr>
        <w:t xml:space="preserve"> Rendement de la banane à cuire en culture pure par région pendant les trois saisons</w:t>
      </w:r>
    </w:p>
    <w:p w:rsidR="00AF3C00" w:rsidRPr="00B6647E" w:rsidRDefault="00770FDF" w:rsidP="000210DA">
      <w:pPr>
        <w:spacing w:line="240" w:lineRule="auto"/>
        <w:rPr>
          <w:lang w:eastAsia="fr-FR"/>
        </w:rPr>
      </w:pPr>
      <w:r w:rsidRPr="00B6647E">
        <w:rPr>
          <w:noProof/>
          <w:lang w:val="fr-FR" w:eastAsia="fr-FR"/>
        </w:rPr>
        <w:drawing>
          <wp:inline distT="0" distB="0" distL="0" distR="0">
            <wp:extent cx="3305175" cy="2914650"/>
            <wp:effectExtent l="19050" t="0" r="9525" b="0"/>
            <wp:docPr id="444"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2" cstate="print"/>
                    <a:srcRect/>
                    <a:stretch>
                      <a:fillRect/>
                    </a:stretch>
                  </pic:blipFill>
                  <pic:spPr bwMode="auto">
                    <a:xfrm>
                      <a:off x="0" y="0"/>
                      <a:ext cx="3305175" cy="2914650"/>
                    </a:xfrm>
                    <a:prstGeom prst="rect">
                      <a:avLst/>
                    </a:prstGeom>
                    <a:noFill/>
                    <a:ln w="9525">
                      <a:noFill/>
                      <a:miter lim="800000"/>
                      <a:headEnd/>
                      <a:tailEnd/>
                    </a:ln>
                  </pic:spPr>
                </pic:pic>
              </a:graphicData>
            </a:graphic>
          </wp:inline>
        </w:drawing>
      </w:r>
    </w:p>
    <w:p w:rsidR="00D01722" w:rsidRPr="00B6647E" w:rsidRDefault="00D01722" w:rsidP="000210DA">
      <w:pPr>
        <w:spacing w:line="240" w:lineRule="auto"/>
        <w:jc w:val="both"/>
        <w:rPr>
          <w:rFonts w:ascii="Arial" w:hAnsi="Arial" w:cs="Arial"/>
          <w:sz w:val="20"/>
          <w:szCs w:val="20"/>
          <w:lang w:eastAsia="fr-FR"/>
        </w:rPr>
      </w:pPr>
      <w:r w:rsidRPr="00B6647E">
        <w:rPr>
          <w:rFonts w:ascii="Arial" w:hAnsi="Arial" w:cs="Arial"/>
          <w:sz w:val="20"/>
          <w:szCs w:val="20"/>
          <w:lang w:eastAsia="fr-FR"/>
        </w:rPr>
        <w:t xml:space="preserve">La </w:t>
      </w:r>
      <w:r w:rsidR="009A1F42">
        <w:rPr>
          <w:rFonts w:ascii="Arial" w:hAnsi="Arial" w:cs="Arial"/>
          <w:sz w:val="20"/>
          <w:szCs w:val="20"/>
          <w:lang w:eastAsia="fr-FR"/>
        </w:rPr>
        <w:t>culture de la banane</w:t>
      </w:r>
      <w:r w:rsidRPr="00B6647E">
        <w:rPr>
          <w:rFonts w:ascii="Arial" w:hAnsi="Arial" w:cs="Arial"/>
          <w:sz w:val="20"/>
          <w:szCs w:val="20"/>
          <w:lang w:eastAsia="fr-FR"/>
        </w:rPr>
        <w:t xml:space="preserve"> à fruit en culture pure n’</w:t>
      </w:r>
      <w:r w:rsidR="009A1F42">
        <w:rPr>
          <w:rFonts w:ascii="Arial" w:hAnsi="Arial" w:cs="Arial"/>
          <w:sz w:val="20"/>
          <w:szCs w:val="20"/>
          <w:lang w:eastAsia="fr-FR"/>
        </w:rPr>
        <w:t>a</w:t>
      </w:r>
      <w:r w:rsidRPr="00B6647E">
        <w:rPr>
          <w:rFonts w:ascii="Arial" w:hAnsi="Arial" w:cs="Arial"/>
          <w:sz w:val="20"/>
          <w:szCs w:val="20"/>
          <w:lang w:eastAsia="fr-FR"/>
        </w:rPr>
        <w:t xml:space="preserve"> pas été pratiquée dans les régions naturelles de Buragane, Bututsi et Imbo au cours de toutes les saisons et dans Bweru pendant la sai</w:t>
      </w:r>
      <w:r w:rsidR="002777B2" w:rsidRPr="00B6647E">
        <w:rPr>
          <w:rFonts w:ascii="Arial" w:hAnsi="Arial" w:cs="Arial"/>
          <w:sz w:val="20"/>
          <w:szCs w:val="20"/>
          <w:lang w:eastAsia="fr-FR"/>
        </w:rPr>
        <w:t>s</w:t>
      </w:r>
      <w:r w:rsidRPr="00B6647E">
        <w:rPr>
          <w:rFonts w:ascii="Arial" w:hAnsi="Arial" w:cs="Arial"/>
          <w:sz w:val="20"/>
          <w:szCs w:val="20"/>
          <w:lang w:eastAsia="fr-FR"/>
        </w:rPr>
        <w:t xml:space="preserve">on B. </w:t>
      </w:r>
    </w:p>
    <w:p w:rsidR="002777B2" w:rsidRPr="00B6647E" w:rsidRDefault="00D01722" w:rsidP="000210DA">
      <w:pPr>
        <w:spacing w:line="240" w:lineRule="auto"/>
        <w:jc w:val="both"/>
        <w:rPr>
          <w:rFonts w:ascii="Arial" w:hAnsi="Arial" w:cs="Arial"/>
          <w:sz w:val="20"/>
          <w:szCs w:val="20"/>
        </w:rPr>
      </w:pPr>
      <w:r w:rsidRPr="00B6647E">
        <w:rPr>
          <w:rFonts w:ascii="Arial" w:hAnsi="Arial" w:cs="Arial"/>
          <w:sz w:val="20"/>
          <w:szCs w:val="20"/>
          <w:lang w:eastAsia="fr-FR"/>
        </w:rPr>
        <w:t>Les moyennes nationales ont été estimées à 4</w:t>
      </w:r>
      <w:r w:rsidRPr="00B6647E">
        <w:rPr>
          <w:rFonts w:ascii="Arial" w:hAnsi="Arial" w:cs="Arial"/>
          <w:sz w:val="20"/>
          <w:szCs w:val="20"/>
        </w:rPr>
        <w:t xml:space="preserve">.040 kg/ha en saison A, </w:t>
      </w:r>
      <w:r w:rsidR="002777B2" w:rsidRPr="00B6647E">
        <w:rPr>
          <w:rFonts w:ascii="Arial" w:hAnsi="Arial" w:cs="Arial"/>
          <w:sz w:val="20"/>
          <w:szCs w:val="20"/>
        </w:rPr>
        <w:t>3</w:t>
      </w:r>
      <w:r w:rsidRPr="00B6647E">
        <w:rPr>
          <w:rFonts w:ascii="Arial" w:hAnsi="Arial" w:cs="Arial"/>
          <w:sz w:val="20"/>
          <w:szCs w:val="20"/>
        </w:rPr>
        <w:t>.</w:t>
      </w:r>
      <w:r w:rsidR="002777B2" w:rsidRPr="00B6647E">
        <w:rPr>
          <w:rFonts w:ascii="Arial" w:hAnsi="Arial" w:cs="Arial"/>
          <w:sz w:val="20"/>
          <w:szCs w:val="20"/>
        </w:rPr>
        <w:t>985</w:t>
      </w:r>
      <w:r w:rsidRPr="00B6647E">
        <w:rPr>
          <w:rFonts w:ascii="Arial" w:hAnsi="Arial" w:cs="Arial"/>
          <w:sz w:val="20"/>
          <w:szCs w:val="20"/>
        </w:rPr>
        <w:t xml:space="preserve"> kg/ha pendant la saison B et 4.1</w:t>
      </w:r>
      <w:r w:rsidR="002777B2" w:rsidRPr="00B6647E">
        <w:rPr>
          <w:rFonts w:ascii="Arial" w:hAnsi="Arial" w:cs="Arial"/>
          <w:sz w:val="20"/>
          <w:szCs w:val="20"/>
        </w:rPr>
        <w:t>12</w:t>
      </w:r>
      <w:r w:rsidRPr="00B6647E">
        <w:rPr>
          <w:rFonts w:ascii="Arial" w:hAnsi="Arial" w:cs="Arial"/>
          <w:sz w:val="20"/>
          <w:szCs w:val="20"/>
        </w:rPr>
        <w:t xml:space="preserve"> kg/ha au cours de la saison C. </w:t>
      </w:r>
    </w:p>
    <w:p w:rsidR="00D01722" w:rsidRPr="00B6647E" w:rsidRDefault="00D01722" w:rsidP="000210DA">
      <w:pPr>
        <w:spacing w:line="240" w:lineRule="auto"/>
        <w:jc w:val="both"/>
        <w:rPr>
          <w:rFonts w:ascii="Arial" w:hAnsi="Arial" w:cs="Arial"/>
          <w:sz w:val="20"/>
          <w:szCs w:val="20"/>
          <w:lang w:eastAsia="fr-FR"/>
        </w:rPr>
      </w:pPr>
      <w:r w:rsidRPr="00B6647E">
        <w:rPr>
          <w:rFonts w:ascii="Arial" w:hAnsi="Arial" w:cs="Arial"/>
          <w:sz w:val="20"/>
          <w:szCs w:val="20"/>
        </w:rPr>
        <w:t xml:space="preserve">Dans les régions naturelles qui ont cultivé de la banane à </w:t>
      </w:r>
      <w:r w:rsidR="00C13681" w:rsidRPr="00B6647E">
        <w:rPr>
          <w:rFonts w:ascii="Arial" w:hAnsi="Arial" w:cs="Arial"/>
          <w:sz w:val="20"/>
          <w:szCs w:val="20"/>
        </w:rPr>
        <w:t>fruit</w:t>
      </w:r>
      <w:r w:rsidRPr="00B6647E">
        <w:rPr>
          <w:rFonts w:ascii="Arial" w:hAnsi="Arial" w:cs="Arial"/>
          <w:sz w:val="20"/>
          <w:szCs w:val="20"/>
        </w:rPr>
        <w:t xml:space="preserve"> en pur, les rendements varient de </w:t>
      </w:r>
      <w:r w:rsidR="002777B2" w:rsidRPr="00B6647E">
        <w:rPr>
          <w:rFonts w:ascii="Arial" w:hAnsi="Arial" w:cs="Arial"/>
          <w:sz w:val="20"/>
          <w:szCs w:val="20"/>
        </w:rPr>
        <w:t>1</w:t>
      </w:r>
      <w:r w:rsidRPr="00B6647E">
        <w:rPr>
          <w:rFonts w:ascii="Arial" w:hAnsi="Arial" w:cs="Arial"/>
          <w:sz w:val="20"/>
          <w:szCs w:val="20"/>
        </w:rPr>
        <w:t>.</w:t>
      </w:r>
      <w:r w:rsidR="002777B2" w:rsidRPr="00B6647E">
        <w:rPr>
          <w:rFonts w:ascii="Arial" w:hAnsi="Arial" w:cs="Arial"/>
          <w:sz w:val="20"/>
          <w:szCs w:val="20"/>
        </w:rPr>
        <w:t>800</w:t>
      </w:r>
      <w:r w:rsidRPr="00B6647E">
        <w:rPr>
          <w:rFonts w:ascii="Arial" w:hAnsi="Arial" w:cs="Arial"/>
          <w:sz w:val="20"/>
          <w:szCs w:val="20"/>
        </w:rPr>
        <w:t xml:space="preserve"> kg/ha dans M</w:t>
      </w:r>
      <w:r w:rsidR="002777B2" w:rsidRPr="00B6647E">
        <w:rPr>
          <w:rFonts w:ascii="Arial" w:hAnsi="Arial" w:cs="Arial"/>
          <w:sz w:val="20"/>
          <w:szCs w:val="20"/>
        </w:rPr>
        <w:t>umirwa</w:t>
      </w:r>
      <w:r w:rsidRPr="00B6647E">
        <w:rPr>
          <w:rFonts w:ascii="Arial" w:hAnsi="Arial" w:cs="Arial"/>
          <w:sz w:val="20"/>
          <w:szCs w:val="20"/>
        </w:rPr>
        <w:t xml:space="preserve"> à 5.000 kg/ha dans </w:t>
      </w:r>
      <w:r w:rsidR="00C13681" w:rsidRPr="00B6647E">
        <w:rPr>
          <w:rFonts w:ascii="Arial" w:hAnsi="Arial" w:cs="Arial"/>
          <w:sz w:val="20"/>
          <w:szCs w:val="20"/>
        </w:rPr>
        <w:t xml:space="preserve">Bugesera, Buyenzi et </w:t>
      </w:r>
      <w:r w:rsidRPr="00B6647E">
        <w:rPr>
          <w:rFonts w:ascii="Arial" w:hAnsi="Arial" w:cs="Arial"/>
          <w:sz w:val="20"/>
          <w:szCs w:val="20"/>
        </w:rPr>
        <w:t xml:space="preserve">Mugamba en saison A, de </w:t>
      </w:r>
      <w:r w:rsidR="00C13681" w:rsidRPr="00B6647E">
        <w:rPr>
          <w:rFonts w:ascii="Arial" w:hAnsi="Arial" w:cs="Arial"/>
          <w:sz w:val="20"/>
          <w:szCs w:val="20"/>
        </w:rPr>
        <w:t>1</w:t>
      </w:r>
      <w:r w:rsidRPr="00B6647E">
        <w:rPr>
          <w:rFonts w:ascii="Arial" w:hAnsi="Arial" w:cs="Arial"/>
          <w:sz w:val="20"/>
          <w:szCs w:val="20"/>
        </w:rPr>
        <w:t xml:space="preserve">.200 kg/ha dans Moso à 5.000 kg/ha dans </w:t>
      </w:r>
      <w:r w:rsidR="00C13681" w:rsidRPr="00B6647E">
        <w:rPr>
          <w:rFonts w:ascii="Arial" w:hAnsi="Arial" w:cs="Arial"/>
          <w:sz w:val="20"/>
          <w:szCs w:val="20"/>
        </w:rPr>
        <w:t>Bugesera et Mugamba</w:t>
      </w:r>
      <w:r w:rsidRPr="00B6647E">
        <w:rPr>
          <w:rFonts w:ascii="Arial" w:hAnsi="Arial" w:cs="Arial"/>
          <w:sz w:val="20"/>
          <w:szCs w:val="20"/>
        </w:rPr>
        <w:t xml:space="preserve"> pendant la saison B, de </w:t>
      </w:r>
      <w:r w:rsidR="00C13681" w:rsidRPr="00B6647E">
        <w:rPr>
          <w:rFonts w:ascii="Arial" w:hAnsi="Arial" w:cs="Arial"/>
          <w:sz w:val="20"/>
          <w:szCs w:val="20"/>
        </w:rPr>
        <w:t>1</w:t>
      </w:r>
      <w:r w:rsidRPr="00B6647E">
        <w:rPr>
          <w:rFonts w:ascii="Arial" w:hAnsi="Arial" w:cs="Arial"/>
          <w:sz w:val="20"/>
          <w:szCs w:val="20"/>
        </w:rPr>
        <w:t>.</w:t>
      </w:r>
      <w:r w:rsidR="00C13681" w:rsidRPr="00B6647E">
        <w:rPr>
          <w:rFonts w:ascii="Arial" w:hAnsi="Arial" w:cs="Arial"/>
          <w:sz w:val="20"/>
          <w:szCs w:val="20"/>
        </w:rPr>
        <w:t>400</w:t>
      </w:r>
      <w:r w:rsidRPr="00B6647E">
        <w:rPr>
          <w:rFonts w:ascii="Arial" w:hAnsi="Arial" w:cs="Arial"/>
          <w:sz w:val="20"/>
          <w:szCs w:val="20"/>
        </w:rPr>
        <w:t xml:space="preserve"> kg/ha dans </w:t>
      </w:r>
      <w:r w:rsidR="00C13681" w:rsidRPr="00B6647E">
        <w:rPr>
          <w:rFonts w:ascii="Arial" w:hAnsi="Arial" w:cs="Arial"/>
          <w:sz w:val="20"/>
          <w:szCs w:val="20"/>
        </w:rPr>
        <w:t>Bugesera à 5.000</w:t>
      </w:r>
      <w:r w:rsidRPr="00B6647E">
        <w:rPr>
          <w:rFonts w:ascii="Arial" w:hAnsi="Arial" w:cs="Arial"/>
          <w:sz w:val="20"/>
          <w:szCs w:val="20"/>
        </w:rPr>
        <w:t xml:space="preserve"> kg/ha dans Mugamba</w:t>
      </w:r>
      <w:r w:rsidR="00C13681" w:rsidRPr="00B6647E">
        <w:rPr>
          <w:rFonts w:ascii="Arial" w:hAnsi="Arial" w:cs="Arial"/>
          <w:sz w:val="20"/>
          <w:szCs w:val="20"/>
        </w:rPr>
        <w:t xml:space="preserve"> au cours de la saison C</w:t>
      </w:r>
      <w:r w:rsidRPr="00B6647E">
        <w:rPr>
          <w:rFonts w:ascii="Arial" w:hAnsi="Arial" w:cs="Arial"/>
          <w:sz w:val="20"/>
          <w:szCs w:val="20"/>
        </w:rPr>
        <w:t>.</w:t>
      </w:r>
    </w:p>
    <w:p w:rsidR="00AF3C00" w:rsidRPr="00B6647E" w:rsidRDefault="00AF3C00" w:rsidP="000210DA">
      <w:pPr>
        <w:pStyle w:val="Lgende"/>
        <w:keepNext/>
        <w:jc w:val="both"/>
        <w:rPr>
          <w:rFonts w:ascii="Arial" w:hAnsi="Arial" w:cs="Arial"/>
        </w:rPr>
      </w:pPr>
      <w:r w:rsidRPr="00B6647E">
        <w:rPr>
          <w:rFonts w:ascii="Arial" w:hAnsi="Arial" w:cs="Arial"/>
        </w:rPr>
        <w:t xml:space="preserve">Tableau </w:t>
      </w:r>
      <w:r w:rsidR="00AA3FAC" w:rsidRPr="00B6647E">
        <w:rPr>
          <w:rFonts w:ascii="Arial" w:hAnsi="Arial" w:cs="Arial"/>
        </w:rPr>
        <w:t>1</w:t>
      </w:r>
      <w:r w:rsidR="007A4D44">
        <w:rPr>
          <w:rFonts w:ascii="Arial" w:hAnsi="Arial" w:cs="Arial"/>
        </w:rPr>
        <w:t>3</w:t>
      </w:r>
      <w:r w:rsidR="00AA3FAC" w:rsidRPr="00B6647E">
        <w:rPr>
          <w:rFonts w:ascii="Arial" w:hAnsi="Arial" w:cs="Arial"/>
        </w:rPr>
        <w:t>7 :</w:t>
      </w:r>
      <w:r w:rsidRPr="00B6647E">
        <w:rPr>
          <w:rFonts w:ascii="Arial" w:hAnsi="Arial" w:cs="Arial"/>
        </w:rPr>
        <w:t xml:space="preserve"> Rendement de la banane à fruit en culture pure par région pendant les trois saisons</w:t>
      </w:r>
    </w:p>
    <w:p w:rsidR="00AF3C00" w:rsidRPr="00B6647E" w:rsidRDefault="00770FDF" w:rsidP="000210DA">
      <w:pPr>
        <w:spacing w:line="240" w:lineRule="auto"/>
        <w:rPr>
          <w:lang w:eastAsia="fr-FR"/>
        </w:rPr>
      </w:pPr>
      <w:r w:rsidRPr="00B6647E">
        <w:rPr>
          <w:noProof/>
          <w:lang w:val="fr-FR" w:eastAsia="fr-FR"/>
        </w:rPr>
        <w:drawing>
          <wp:inline distT="0" distB="0" distL="0" distR="0">
            <wp:extent cx="3305175" cy="2914650"/>
            <wp:effectExtent l="19050" t="0" r="9525" b="0"/>
            <wp:docPr id="445"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3" cstate="print"/>
                    <a:srcRect/>
                    <a:stretch>
                      <a:fillRect/>
                    </a:stretch>
                  </pic:blipFill>
                  <pic:spPr bwMode="auto">
                    <a:xfrm>
                      <a:off x="0" y="0"/>
                      <a:ext cx="3305175" cy="2914650"/>
                    </a:xfrm>
                    <a:prstGeom prst="rect">
                      <a:avLst/>
                    </a:prstGeom>
                    <a:noFill/>
                    <a:ln w="9525">
                      <a:noFill/>
                      <a:miter lim="800000"/>
                      <a:headEnd/>
                      <a:tailEnd/>
                    </a:ln>
                  </pic:spPr>
                </pic:pic>
              </a:graphicData>
            </a:graphic>
          </wp:inline>
        </w:drawing>
      </w:r>
    </w:p>
    <w:p w:rsidR="007A4D44" w:rsidRDefault="007A4D44" w:rsidP="00F822C8">
      <w:pPr>
        <w:spacing w:before="200" w:after="120" w:line="240" w:lineRule="auto"/>
        <w:rPr>
          <w:rFonts w:ascii="Arial" w:hAnsi="Arial" w:cs="Arial"/>
          <w:b/>
          <w:sz w:val="20"/>
          <w:szCs w:val="20"/>
          <w:lang w:val="fr-FR" w:eastAsia="fr-FR"/>
        </w:rPr>
      </w:pPr>
    </w:p>
    <w:p w:rsidR="0080683F" w:rsidRPr="00B6647E" w:rsidRDefault="0080683F" w:rsidP="00F822C8">
      <w:pPr>
        <w:spacing w:before="200" w:after="120" w:line="240" w:lineRule="auto"/>
        <w:rPr>
          <w:rFonts w:ascii="Arial" w:hAnsi="Arial" w:cs="Arial"/>
          <w:b/>
          <w:sz w:val="20"/>
          <w:szCs w:val="20"/>
          <w:lang w:val="fr-FR" w:eastAsia="fr-FR"/>
        </w:rPr>
      </w:pPr>
      <w:r w:rsidRPr="00B6647E">
        <w:rPr>
          <w:rFonts w:ascii="Arial" w:hAnsi="Arial" w:cs="Arial"/>
          <w:b/>
          <w:sz w:val="20"/>
          <w:szCs w:val="20"/>
          <w:lang w:val="fr-FR" w:eastAsia="fr-FR"/>
        </w:rPr>
        <w:lastRenderedPageBreak/>
        <w:t>b) Rendements de la banane en culture pure par province</w:t>
      </w:r>
    </w:p>
    <w:p w:rsidR="0080683F" w:rsidRPr="00B6647E" w:rsidRDefault="0080683F" w:rsidP="000210DA">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t xml:space="preserve">Au cours de la saison C, la banane </w:t>
      </w:r>
      <w:r w:rsidR="002B67D6" w:rsidRPr="00B6647E">
        <w:rPr>
          <w:rFonts w:ascii="Arial" w:hAnsi="Arial" w:cs="Arial"/>
          <w:sz w:val="20"/>
          <w:szCs w:val="20"/>
          <w:lang w:val="fr-FR" w:eastAsia="fr-FR"/>
        </w:rPr>
        <w:t xml:space="preserve">(à bière, à cuire et </w:t>
      </w:r>
      <w:r w:rsidRPr="00B6647E">
        <w:rPr>
          <w:rFonts w:ascii="Arial" w:hAnsi="Arial" w:cs="Arial"/>
          <w:sz w:val="20"/>
          <w:szCs w:val="20"/>
          <w:lang w:val="fr-FR" w:eastAsia="fr-FR"/>
        </w:rPr>
        <w:t>à fruit</w:t>
      </w:r>
      <w:r w:rsidR="002B67D6" w:rsidRPr="00B6647E">
        <w:rPr>
          <w:rFonts w:ascii="Arial" w:hAnsi="Arial" w:cs="Arial"/>
          <w:sz w:val="20"/>
          <w:szCs w:val="20"/>
          <w:lang w:val="fr-FR" w:eastAsia="fr-FR"/>
        </w:rPr>
        <w:t>)</w:t>
      </w:r>
      <w:r w:rsidRPr="00B6647E">
        <w:rPr>
          <w:rFonts w:ascii="Arial" w:hAnsi="Arial" w:cs="Arial"/>
          <w:sz w:val="20"/>
          <w:szCs w:val="20"/>
          <w:lang w:val="fr-FR" w:eastAsia="fr-FR"/>
        </w:rPr>
        <w:t xml:space="preserve"> en culture pure n’a pas été enregistrée dans les provinces de Makamba et Rutana.</w:t>
      </w:r>
    </w:p>
    <w:p w:rsidR="00AF3C00" w:rsidRPr="00B6647E" w:rsidRDefault="00AF3C00" w:rsidP="000210DA">
      <w:pPr>
        <w:pStyle w:val="Lgende"/>
        <w:keepNext/>
        <w:jc w:val="both"/>
        <w:rPr>
          <w:rFonts w:ascii="Arial" w:hAnsi="Arial" w:cs="Arial"/>
        </w:rPr>
      </w:pPr>
      <w:r w:rsidRPr="00B6647E">
        <w:rPr>
          <w:rFonts w:ascii="Arial" w:hAnsi="Arial" w:cs="Arial"/>
        </w:rPr>
        <w:t xml:space="preserve">Tableau </w:t>
      </w:r>
      <w:r w:rsidR="00AA3FAC" w:rsidRPr="00B6647E">
        <w:rPr>
          <w:rFonts w:ascii="Arial" w:hAnsi="Arial" w:cs="Arial"/>
        </w:rPr>
        <w:t>1</w:t>
      </w:r>
      <w:r w:rsidR="007A4D44">
        <w:rPr>
          <w:rFonts w:ascii="Arial" w:hAnsi="Arial" w:cs="Arial"/>
        </w:rPr>
        <w:t>3</w:t>
      </w:r>
      <w:r w:rsidR="00AA3FAC" w:rsidRPr="00B6647E">
        <w:rPr>
          <w:rFonts w:ascii="Arial" w:hAnsi="Arial" w:cs="Arial"/>
        </w:rPr>
        <w:t>8 :</w:t>
      </w:r>
      <w:r w:rsidRPr="00B6647E">
        <w:rPr>
          <w:rFonts w:ascii="Arial" w:hAnsi="Arial" w:cs="Arial"/>
        </w:rPr>
        <w:t xml:space="preserve"> Rendement de la banane en culture pure par province pendant les trois saisons</w:t>
      </w:r>
    </w:p>
    <w:p w:rsidR="00AF3C00" w:rsidRPr="00B6647E" w:rsidRDefault="00770FDF" w:rsidP="000210DA">
      <w:pPr>
        <w:spacing w:line="240" w:lineRule="auto"/>
        <w:jc w:val="both"/>
        <w:rPr>
          <w:rFonts w:ascii="Arial" w:hAnsi="Arial" w:cs="Arial"/>
          <w:sz w:val="20"/>
          <w:szCs w:val="20"/>
          <w:lang w:eastAsia="fr-FR"/>
        </w:rPr>
      </w:pPr>
      <w:r w:rsidRPr="00B6647E">
        <w:rPr>
          <w:noProof/>
          <w:szCs w:val="20"/>
          <w:lang w:val="fr-FR" w:eastAsia="fr-FR"/>
        </w:rPr>
        <w:drawing>
          <wp:inline distT="0" distB="0" distL="0" distR="0">
            <wp:extent cx="3305175" cy="3867150"/>
            <wp:effectExtent l="19050" t="0" r="9525" b="0"/>
            <wp:docPr id="446"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4" cstate="print"/>
                    <a:srcRect/>
                    <a:stretch>
                      <a:fillRect/>
                    </a:stretch>
                  </pic:blipFill>
                  <pic:spPr bwMode="auto">
                    <a:xfrm>
                      <a:off x="0" y="0"/>
                      <a:ext cx="3305175" cy="3867150"/>
                    </a:xfrm>
                    <a:prstGeom prst="rect">
                      <a:avLst/>
                    </a:prstGeom>
                    <a:noFill/>
                    <a:ln w="9525">
                      <a:noFill/>
                      <a:miter lim="800000"/>
                      <a:headEnd/>
                      <a:tailEnd/>
                    </a:ln>
                  </pic:spPr>
                </pic:pic>
              </a:graphicData>
            </a:graphic>
          </wp:inline>
        </w:drawing>
      </w:r>
    </w:p>
    <w:p w:rsidR="003E58AD" w:rsidRPr="00B6647E" w:rsidRDefault="003E58AD" w:rsidP="003E58AD">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t>Les rendements estimés de culture sont tous supérieurs à 3.000 kg/ha  dans toutes les provinces sauf à Muyinga (1.000 kg/ha) pendant la saison A et à Bururi (2.380 kg/ha) en saison B. Les plus élevés au cours de la saison C ont été enregistrés dans Rutana (5.426 kg/ha), Cibitoke (4.950 kg/ha), Bubanza (4.714 kg/ha), pendant la saison B dans Muyinga (5.000 kg/ha), Rutana (4.750 kg/ha), Ngozi (4.711 kg/ha) et en saison C à Bubanza (4.600 kg/ha) et Muramvya (4.536 kg/ha).</w:t>
      </w:r>
    </w:p>
    <w:p w:rsidR="00B00366" w:rsidRPr="00B6647E" w:rsidRDefault="00604213" w:rsidP="000210DA">
      <w:pPr>
        <w:spacing w:line="240" w:lineRule="auto"/>
        <w:jc w:val="both"/>
        <w:rPr>
          <w:rFonts w:ascii="Arial" w:hAnsi="Arial" w:cs="Arial"/>
          <w:sz w:val="20"/>
          <w:szCs w:val="20"/>
          <w:lang w:eastAsia="fr-FR"/>
        </w:rPr>
      </w:pPr>
      <w:r w:rsidRPr="00B6647E">
        <w:rPr>
          <w:rFonts w:ascii="Arial" w:hAnsi="Arial" w:cs="Arial"/>
          <w:sz w:val="20"/>
          <w:szCs w:val="20"/>
          <w:lang w:eastAsia="fr-FR"/>
        </w:rPr>
        <w:t xml:space="preserve">La culture de la banane à bière en pur n’a pas été enregistrée dans les provinces de Muyinga pendant les saisons B et C ni dans celles Makamba et Rutana au cours de la saison C. On note que les rendements en pur de la banane à bière sont </w:t>
      </w:r>
      <w:r w:rsidR="009A1F42">
        <w:rPr>
          <w:rFonts w:ascii="Arial" w:hAnsi="Arial" w:cs="Arial"/>
          <w:sz w:val="20"/>
          <w:szCs w:val="20"/>
          <w:lang w:eastAsia="fr-FR"/>
        </w:rPr>
        <w:t xml:space="preserve">les </w:t>
      </w:r>
      <w:r w:rsidRPr="00B6647E">
        <w:rPr>
          <w:rFonts w:ascii="Arial" w:hAnsi="Arial" w:cs="Arial"/>
          <w:sz w:val="20"/>
          <w:szCs w:val="20"/>
          <w:lang w:eastAsia="fr-FR"/>
        </w:rPr>
        <w:t xml:space="preserve">mêmes </w:t>
      </w:r>
      <w:r w:rsidR="00866EBA" w:rsidRPr="00B6647E">
        <w:rPr>
          <w:rFonts w:ascii="Arial" w:hAnsi="Arial" w:cs="Arial"/>
          <w:sz w:val="20"/>
          <w:szCs w:val="20"/>
          <w:lang w:eastAsia="fr-FR"/>
        </w:rPr>
        <w:t xml:space="preserve">que ceux de l’ensemble de la banane </w:t>
      </w:r>
      <w:r w:rsidRPr="00B6647E">
        <w:rPr>
          <w:rFonts w:ascii="Arial" w:hAnsi="Arial" w:cs="Arial"/>
          <w:sz w:val="20"/>
          <w:szCs w:val="20"/>
          <w:lang w:eastAsia="fr-FR"/>
        </w:rPr>
        <w:t xml:space="preserve">dans toutes les provinces </w:t>
      </w:r>
      <w:r w:rsidR="00866EBA" w:rsidRPr="00B6647E">
        <w:rPr>
          <w:rFonts w:ascii="Arial" w:hAnsi="Arial" w:cs="Arial"/>
          <w:sz w:val="20"/>
          <w:szCs w:val="20"/>
          <w:lang w:eastAsia="fr-FR"/>
        </w:rPr>
        <w:t xml:space="preserve">(Bururi, Cibitoke, Kayanza, Muyinga et Rutana en saison A, Bururi au cours de la saison B, Makamba et Rutana pendant la saison C) </w:t>
      </w:r>
      <w:r w:rsidRPr="00B6647E">
        <w:rPr>
          <w:rFonts w:ascii="Arial" w:hAnsi="Arial" w:cs="Arial"/>
          <w:sz w:val="20"/>
          <w:szCs w:val="20"/>
          <w:lang w:eastAsia="fr-FR"/>
        </w:rPr>
        <w:t>où la banane à cuire et la banane à fruit n’ont pas été enregistré</w:t>
      </w:r>
      <w:r w:rsidR="00866EBA" w:rsidRPr="00B6647E">
        <w:rPr>
          <w:rFonts w:ascii="Arial" w:hAnsi="Arial" w:cs="Arial"/>
          <w:sz w:val="20"/>
          <w:szCs w:val="20"/>
          <w:lang w:eastAsia="fr-FR"/>
        </w:rPr>
        <w:t>es</w:t>
      </w:r>
      <w:r w:rsidRPr="00B6647E">
        <w:rPr>
          <w:rFonts w:ascii="Arial" w:hAnsi="Arial" w:cs="Arial"/>
          <w:sz w:val="20"/>
          <w:szCs w:val="20"/>
          <w:lang w:eastAsia="fr-FR"/>
        </w:rPr>
        <w:t>.</w:t>
      </w:r>
    </w:p>
    <w:p w:rsidR="00B00366" w:rsidRPr="00B6647E" w:rsidRDefault="001320E1" w:rsidP="000210DA">
      <w:pPr>
        <w:spacing w:line="240" w:lineRule="auto"/>
        <w:jc w:val="both"/>
        <w:rPr>
          <w:rFonts w:ascii="Arial" w:hAnsi="Arial" w:cs="Arial"/>
          <w:sz w:val="20"/>
          <w:szCs w:val="20"/>
          <w:lang w:eastAsia="fr-FR"/>
        </w:rPr>
      </w:pPr>
      <w:r w:rsidRPr="00B6647E">
        <w:rPr>
          <w:rFonts w:ascii="Arial" w:hAnsi="Arial" w:cs="Arial"/>
          <w:sz w:val="20"/>
          <w:szCs w:val="20"/>
          <w:lang w:eastAsia="fr-FR"/>
        </w:rPr>
        <w:t>Les rendements de la banane à bière en culture pure les plus élevés ont été estimés en saison A dans les provinces de Rutana (5.426 kg/ha), Cibitoke (4.950 kg/ha) et Bubanza (4.800 kg/ha), pendant la saison B dans Makamba (5.000 kg/ha) et Mwaro (5.000 kg/ha)</w:t>
      </w:r>
      <w:r w:rsidR="00993A3F" w:rsidRPr="00B6647E">
        <w:rPr>
          <w:rFonts w:ascii="Arial" w:hAnsi="Arial" w:cs="Arial"/>
          <w:sz w:val="20"/>
          <w:szCs w:val="20"/>
          <w:lang w:eastAsia="fr-FR"/>
        </w:rPr>
        <w:t xml:space="preserve"> et en saison C dans Muramvya (4.556 kg/ha).</w:t>
      </w:r>
    </w:p>
    <w:p w:rsidR="000D5B66" w:rsidRPr="00B6647E" w:rsidRDefault="00993A3F" w:rsidP="000210DA">
      <w:pPr>
        <w:spacing w:line="240" w:lineRule="auto"/>
        <w:jc w:val="both"/>
        <w:rPr>
          <w:rFonts w:ascii="Arial" w:hAnsi="Arial" w:cs="Arial"/>
          <w:sz w:val="20"/>
          <w:szCs w:val="20"/>
          <w:lang w:eastAsia="fr-FR"/>
        </w:rPr>
      </w:pPr>
      <w:r w:rsidRPr="00B6647E">
        <w:rPr>
          <w:rFonts w:ascii="Arial" w:hAnsi="Arial" w:cs="Arial"/>
          <w:sz w:val="20"/>
          <w:szCs w:val="20"/>
          <w:lang w:eastAsia="fr-FR"/>
        </w:rPr>
        <w:t xml:space="preserve">A l’opposé, </w:t>
      </w:r>
      <w:r w:rsidR="00866EBA" w:rsidRPr="00B6647E">
        <w:rPr>
          <w:rFonts w:ascii="Arial" w:hAnsi="Arial" w:cs="Arial"/>
          <w:sz w:val="20"/>
          <w:szCs w:val="20"/>
          <w:lang w:eastAsia="fr-FR"/>
        </w:rPr>
        <w:t xml:space="preserve">les plus faibles ont été estimés </w:t>
      </w:r>
      <w:r w:rsidR="00E3730B" w:rsidRPr="00B6647E">
        <w:rPr>
          <w:rFonts w:ascii="Arial" w:hAnsi="Arial" w:cs="Arial"/>
          <w:sz w:val="20"/>
          <w:szCs w:val="20"/>
          <w:lang w:eastAsia="fr-FR"/>
        </w:rPr>
        <w:t xml:space="preserve">en saison A </w:t>
      </w:r>
      <w:r w:rsidR="00866EBA" w:rsidRPr="00B6647E">
        <w:rPr>
          <w:rFonts w:ascii="Arial" w:hAnsi="Arial" w:cs="Arial"/>
          <w:sz w:val="20"/>
          <w:szCs w:val="20"/>
          <w:lang w:eastAsia="fr-FR"/>
        </w:rPr>
        <w:t xml:space="preserve">dans les provinces de Muyinga (1.000 kg/ha) et </w:t>
      </w:r>
      <w:r w:rsidR="00E3730B" w:rsidRPr="00B6647E">
        <w:rPr>
          <w:rFonts w:ascii="Arial" w:hAnsi="Arial" w:cs="Arial"/>
          <w:sz w:val="20"/>
          <w:szCs w:val="20"/>
          <w:lang w:eastAsia="fr-FR"/>
        </w:rPr>
        <w:t xml:space="preserve">Muramvya (2.833 kg/ha), pendant la saison B dans Bururi (2.380 kg/ha) et dans </w:t>
      </w:r>
      <w:r w:rsidRPr="00B6647E">
        <w:rPr>
          <w:rFonts w:ascii="Arial" w:hAnsi="Arial" w:cs="Arial"/>
          <w:sz w:val="20"/>
          <w:szCs w:val="20"/>
          <w:lang w:eastAsia="fr-FR"/>
        </w:rPr>
        <w:t>Kayanza</w:t>
      </w:r>
      <w:r w:rsidR="00E3730B" w:rsidRPr="00B6647E">
        <w:rPr>
          <w:rFonts w:ascii="Arial" w:hAnsi="Arial" w:cs="Arial"/>
          <w:sz w:val="20"/>
          <w:szCs w:val="20"/>
          <w:lang w:eastAsia="fr-FR"/>
        </w:rPr>
        <w:t xml:space="preserve"> (3.</w:t>
      </w:r>
      <w:r w:rsidRPr="00B6647E">
        <w:rPr>
          <w:rFonts w:ascii="Arial" w:hAnsi="Arial" w:cs="Arial"/>
          <w:sz w:val="20"/>
          <w:szCs w:val="20"/>
          <w:lang w:eastAsia="fr-FR"/>
        </w:rPr>
        <w:t>215 kg/ha) et au cours de la saison C dans Gitega (3.718 kg/ha).</w:t>
      </w:r>
    </w:p>
    <w:p w:rsidR="00AF3C00" w:rsidRPr="00B6647E" w:rsidRDefault="00AA3FAC" w:rsidP="000210DA">
      <w:pPr>
        <w:pStyle w:val="Lgende"/>
        <w:keepNext/>
        <w:jc w:val="both"/>
        <w:rPr>
          <w:rFonts w:ascii="Arial" w:hAnsi="Arial" w:cs="Arial"/>
        </w:rPr>
      </w:pPr>
      <w:r w:rsidRPr="00B6647E">
        <w:rPr>
          <w:rFonts w:ascii="Arial" w:hAnsi="Arial" w:cs="Arial"/>
        </w:rPr>
        <w:lastRenderedPageBreak/>
        <w:t>Tableau 1</w:t>
      </w:r>
      <w:r w:rsidR="007A4D44">
        <w:rPr>
          <w:rFonts w:ascii="Arial" w:hAnsi="Arial" w:cs="Arial"/>
        </w:rPr>
        <w:t>3</w:t>
      </w:r>
      <w:r w:rsidRPr="00B6647E">
        <w:rPr>
          <w:rFonts w:ascii="Arial" w:hAnsi="Arial" w:cs="Arial"/>
        </w:rPr>
        <w:t>9 :</w:t>
      </w:r>
      <w:r w:rsidR="00AF3C00" w:rsidRPr="00B6647E">
        <w:rPr>
          <w:rFonts w:ascii="Arial" w:hAnsi="Arial" w:cs="Arial"/>
        </w:rPr>
        <w:t xml:space="preserve"> Rendement de la banane à bière en culture</w:t>
      </w:r>
      <w:r w:rsidR="00B00366" w:rsidRPr="00B6647E">
        <w:rPr>
          <w:rFonts w:ascii="Arial" w:hAnsi="Arial" w:cs="Arial"/>
        </w:rPr>
        <w:t xml:space="preserve"> pure par province et par saison</w:t>
      </w:r>
    </w:p>
    <w:p w:rsidR="00AF3C00" w:rsidRPr="00B6647E" w:rsidRDefault="00770FDF" w:rsidP="000210DA">
      <w:pPr>
        <w:spacing w:line="240" w:lineRule="auto"/>
        <w:rPr>
          <w:rFonts w:ascii="Arial" w:hAnsi="Arial" w:cs="Arial"/>
          <w:sz w:val="20"/>
          <w:szCs w:val="20"/>
          <w:lang w:eastAsia="fr-FR"/>
        </w:rPr>
      </w:pPr>
      <w:r w:rsidRPr="00B6647E">
        <w:rPr>
          <w:noProof/>
          <w:szCs w:val="20"/>
          <w:lang w:val="fr-FR" w:eastAsia="fr-FR"/>
        </w:rPr>
        <w:drawing>
          <wp:inline distT="0" distB="0" distL="0" distR="0">
            <wp:extent cx="3305175" cy="3867150"/>
            <wp:effectExtent l="19050" t="0" r="9525" b="0"/>
            <wp:docPr id="447"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5" cstate="print"/>
                    <a:srcRect/>
                    <a:stretch>
                      <a:fillRect/>
                    </a:stretch>
                  </pic:blipFill>
                  <pic:spPr bwMode="auto">
                    <a:xfrm>
                      <a:off x="0" y="0"/>
                      <a:ext cx="3305175" cy="3867150"/>
                    </a:xfrm>
                    <a:prstGeom prst="rect">
                      <a:avLst/>
                    </a:prstGeom>
                    <a:noFill/>
                    <a:ln w="9525">
                      <a:noFill/>
                      <a:miter lim="800000"/>
                      <a:headEnd/>
                      <a:tailEnd/>
                    </a:ln>
                  </pic:spPr>
                </pic:pic>
              </a:graphicData>
            </a:graphic>
          </wp:inline>
        </w:drawing>
      </w:r>
    </w:p>
    <w:p w:rsidR="00993A3F" w:rsidRPr="00B6647E" w:rsidRDefault="00993A3F" w:rsidP="000210DA">
      <w:pPr>
        <w:spacing w:line="240" w:lineRule="auto"/>
        <w:jc w:val="both"/>
        <w:rPr>
          <w:rFonts w:ascii="Arial" w:hAnsi="Arial" w:cs="Arial"/>
          <w:sz w:val="20"/>
          <w:szCs w:val="20"/>
          <w:lang w:eastAsia="fr-FR"/>
        </w:rPr>
      </w:pPr>
      <w:r w:rsidRPr="00B6647E">
        <w:rPr>
          <w:rFonts w:ascii="Arial" w:hAnsi="Arial" w:cs="Arial"/>
          <w:sz w:val="20"/>
          <w:szCs w:val="20"/>
          <w:lang w:eastAsia="fr-FR"/>
        </w:rPr>
        <w:t xml:space="preserve">La banane à cuire en tant que culture pure n’a pas été </w:t>
      </w:r>
      <w:r w:rsidR="009A1F42">
        <w:rPr>
          <w:rFonts w:ascii="Arial" w:hAnsi="Arial" w:cs="Arial"/>
          <w:sz w:val="20"/>
          <w:szCs w:val="20"/>
          <w:lang w:eastAsia="fr-FR"/>
        </w:rPr>
        <w:t>récoltée</w:t>
      </w:r>
      <w:r w:rsidRPr="00B6647E">
        <w:rPr>
          <w:rFonts w:ascii="Arial" w:hAnsi="Arial" w:cs="Arial"/>
          <w:sz w:val="20"/>
          <w:szCs w:val="20"/>
          <w:lang w:eastAsia="fr-FR"/>
        </w:rPr>
        <w:t xml:space="preserve"> dans les provinces de Bururi, Cibitoke, </w:t>
      </w:r>
      <w:r w:rsidR="00633D44" w:rsidRPr="00B6647E">
        <w:rPr>
          <w:rFonts w:ascii="Arial" w:hAnsi="Arial" w:cs="Arial"/>
          <w:sz w:val="20"/>
          <w:szCs w:val="20"/>
          <w:lang w:eastAsia="fr-FR"/>
        </w:rPr>
        <w:t xml:space="preserve">Kayanza, Muyinga et Rutana pendant la saison A. </w:t>
      </w:r>
    </w:p>
    <w:p w:rsidR="00AF3C00" w:rsidRPr="00B6647E" w:rsidRDefault="00AA3FAC" w:rsidP="003E58AD">
      <w:pPr>
        <w:pStyle w:val="Lgende"/>
        <w:keepNext/>
        <w:spacing w:after="120"/>
        <w:jc w:val="both"/>
        <w:rPr>
          <w:rFonts w:ascii="Arial" w:hAnsi="Arial" w:cs="Arial"/>
        </w:rPr>
      </w:pPr>
      <w:r w:rsidRPr="00B6647E">
        <w:rPr>
          <w:rFonts w:ascii="Arial" w:hAnsi="Arial" w:cs="Arial"/>
        </w:rPr>
        <w:t>Tableau 1</w:t>
      </w:r>
      <w:r w:rsidR="007A4D44">
        <w:rPr>
          <w:rFonts w:ascii="Arial" w:hAnsi="Arial" w:cs="Arial"/>
        </w:rPr>
        <w:t>4</w:t>
      </w:r>
      <w:r w:rsidRPr="00B6647E">
        <w:rPr>
          <w:rFonts w:ascii="Arial" w:hAnsi="Arial" w:cs="Arial"/>
        </w:rPr>
        <w:t>0 :</w:t>
      </w:r>
      <w:r w:rsidR="00AF3C00" w:rsidRPr="00B6647E">
        <w:rPr>
          <w:rFonts w:ascii="Arial" w:hAnsi="Arial" w:cs="Arial"/>
        </w:rPr>
        <w:t xml:space="preserve"> Rendement de la banane à cuire en culture pure par province pendant les trois saisons</w:t>
      </w:r>
    </w:p>
    <w:p w:rsidR="00AF3C00" w:rsidRPr="00B6647E" w:rsidRDefault="00770FDF" w:rsidP="003E58AD">
      <w:pPr>
        <w:spacing w:after="120" w:line="240" w:lineRule="auto"/>
        <w:jc w:val="both"/>
        <w:rPr>
          <w:rFonts w:ascii="Arial" w:hAnsi="Arial" w:cs="Arial"/>
          <w:sz w:val="20"/>
          <w:szCs w:val="20"/>
          <w:lang w:eastAsia="fr-FR"/>
        </w:rPr>
      </w:pPr>
      <w:r w:rsidRPr="00B6647E">
        <w:rPr>
          <w:noProof/>
          <w:szCs w:val="20"/>
          <w:lang w:val="fr-FR" w:eastAsia="fr-FR"/>
        </w:rPr>
        <w:drawing>
          <wp:inline distT="0" distB="0" distL="0" distR="0">
            <wp:extent cx="3305175" cy="3867150"/>
            <wp:effectExtent l="19050" t="0" r="9525" b="0"/>
            <wp:docPr id="448"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6" cstate="print"/>
                    <a:srcRect/>
                    <a:stretch>
                      <a:fillRect/>
                    </a:stretch>
                  </pic:blipFill>
                  <pic:spPr bwMode="auto">
                    <a:xfrm>
                      <a:off x="0" y="0"/>
                      <a:ext cx="3305175" cy="3867150"/>
                    </a:xfrm>
                    <a:prstGeom prst="rect">
                      <a:avLst/>
                    </a:prstGeom>
                    <a:noFill/>
                    <a:ln w="9525">
                      <a:noFill/>
                      <a:miter lim="800000"/>
                      <a:headEnd/>
                      <a:tailEnd/>
                    </a:ln>
                  </pic:spPr>
                </pic:pic>
              </a:graphicData>
            </a:graphic>
          </wp:inline>
        </w:drawing>
      </w:r>
    </w:p>
    <w:p w:rsidR="00B00366" w:rsidRPr="00B6647E" w:rsidRDefault="00B00366" w:rsidP="00B00366">
      <w:pPr>
        <w:spacing w:line="240" w:lineRule="auto"/>
        <w:jc w:val="both"/>
        <w:rPr>
          <w:rFonts w:ascii="Arial" w:hAnsi="Arial" w:cs="Arial"/>
          <w:sz w:val="20"/>
          <w:szCs w:val="20"/>
          <w:lang w:eastAsia="fr-FR"/>
        </w:rPr>
      </w:pPr>
      <w:r w:rsidRPr="00B6647E">
        <w:rPr>
          <w:rFonts w:ascii="Arial" w:hAnsi="Arial" w:cs="Arial"/>
          <w:sz w:val="20"/>
          <w:szCs w:val="20"/>
          <w:lang w:eastAsia="fr-FR"/>
        </w:rPr>
        <w:lastRenderedPageBreak/>
        <w:t xml:space="preserve">De même, Bujumbura rural, Bururi, Cibitoke et Mwaro ne l’ont pas </w:t>
      </w:r>
      <w:r w:rsidR="009A1F42">
        <w:rPr>
          <w:rFonts w:ascii="Arial" w:hAnsi="Arial" w:cs="Arial"/>
          <w:sz w:val="20"/>
          <w:szCs w:val="20"/>
          <w:lang w:eastAsia="fr-FR"/>
        </w:rPr>
        <w:t>récolté</w:t>
      </w:r>
      <w:r w:rsidRPr="00B6647E">
        <w:rPr>
          <w:rFonts w:ascii="Arial" w:hAnsi="Arial" w:cs="Arial"/>
          <w:sz w:val="20"/>
          <w:szCs w:val="20"/>
          <w:lang w:eastAsia="fr-FR"/>
        </w:rPr>
        <w:t xml:space="preserve"> au cours de la saison B et en saison C ce sont Bururi, Makamba et Rutana qui n’ont pas enregistré la banane à cuire en pur. Dans les provinces où cette culture a été faite, les rendements varient entre 2.500 kg/ha dans Mwaro à 5.000 kg/ha dans Bujumbura rural et Gitega au cours de la saison A. Pendant la saison B, ils vont de 2.800 kg/ha dans Muramvya à 5.000 kg/ha dans Bubanza et Rutana et en saison C, de 3.029 kg/ha dans Kayanza à 5.000 kg/ha dans Bubanza.</w:t>
      </w:r>
    </w:p>
    <w:p w:rsidR="000B5134" w:rsidRPr="00B6647E" w:rsidRDefault="000632F0" w:rsidP="003E58AD">
      <w:pPr>
        <w:spacing w:after="120" w:line="240" w:lineRule="auto"/>
        <w:jc w:val="both"/>
        <w:rPr>
          <w:rFonts w:ascii="Arial" w:hAnsi="Arial" w:cs="Arial"/>
          <w:sz w:val="20"/>
          <w:szCs w:val="20"/>
          <w:lang w:eastAsia="fr-FR"/>
        </w:rPr>
      </w:pPr>
      <w:r w:rsidRPr="00B6647E">
        <w:rPr>
          <w:rFonts w:ascii="Arial" w:hAnsi="Arial" w:cs="Arial"/>
          <w:sz w:val="20"/>
          <w:szCs w:val="20"/>
          <w:lang w:eastAsia="fr-FR"/>
        </w:rPr>
        <w:t>La banane à fruit en culture pure n’a été enregistrée que dans six provinces (Bubanza, Bujumbura rural, Cankuzo, Karuzi, Kirundo et Ngozi) au cours de la saison A.</w:t>
      </w:r>
    </w:p>
    <w:p w:rsidR="00AF3C00" w:rsidRPr="00B6647E" w:rsidRDefault="007A4D44" w:rsidP="003E58AD">
      <w:pPr>
        <w:pStyle w:val="Lgende"/>
        <w:keepNext/>
        <w:spacing w:after="120"/>
        <w:jc w:val="both"/>
        <w:rPr>
          <w:rFonts w:ascii="Arial" w:hAnsi="Arial" w:cs="Arial"/>
        </w:rPr>
      </w:pPr>
      <w:r>
        <w:rPr>
          <w:rFonts w:ascii="Arial" w:hAnsi="Arial" w:cs="Arial"/>
        </w:rPr>
        <w:t>Tableau 14</w:t>
      </w:r>
      <w:r w:rsidR="00AA3FAC" w:rsidRPr="00B6647E">
        <w:rPr>
          <w:rFonts w:ascii="Arial" w:hAnsi="Arial" w:cs="Arial"/>
        </w:rPr>
        <w:t>1 :</w:t>
      </w:r>
      <w:r w:rsidR="00AF3C00" w:rsidRPr="00B6647E">
        <w:rPr>
          <w:rFonts w:ascii="Arial" w:hAnsi="Arial" w:cs="Arial"/>
        </w:rPr>
        <w:t xml:space="preserve"> Rendement de la banane à fruit en culture pure par province pendant les trois saisons</w:t>
      </w:r>
    </w:p>
    <w:p w:rsidR="00AF3C00" w:rsidRPr="00B6647E" w:rsidRDefault="00770FDF" w:rsidP="003E58AD">
      <w:pPr>
        <w:spacing w:after="120" w:line="240" w:lineRule="auto"/>
        <w:rPr>
          <w:lang w:eastAsia="fr-FR"/>
        </w:rPr>
      </w:pPr>
      <w:r w:rsidRPr="00B6647E">
        <w:rPr>
          <w:noProof/>
          <w:lang w:val="fr-FR" w:eastAsia="fr-FR"/>
        </w:rPr>
        <w:drawing>
          <wp:inline distT="0" distB="0" distL="0" distR="0">
            <wp:extent cx="3305175" cy="3867150"/>
            <wp:effectExtent l="19050" t="0" r="9525" b="0"/>
            <wp:docPr id="449"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7" cstate="print"/>
                    <a:srcRect/>
                    <a:stretch>
                      <a:fillRect/>
                    </a:stretch>
                  </pic:blipFill>
                  <pic:spPr bwMode="auto">
                    <a:xfrm>
                      <a:off x="0" y="0"/>
                      <a:ext cx="3305175" cy="3867150"/>
                    </a:xfrm>
                    <a:prstGeom prst="rect">
                      <a:avLst/>
                    </a:prstGeom>
                    <a:noFill/>
                    <a:ln w="9525">
                      <a:noFill/>
                      <a:miter lim="800000"/>
                      <a:headEnd/>
                      <a:tailEnd/>
                    </a:ln>
                  </pic:spPr>
                </pic:pic>
              </a:graphicData>
            </a:graphic>
          </wp:inline>
        </w:drawing>
      </w:r>
    </w:p>
    <w:p w:rsidR="003E58AD" w:rsidRPr="00B6647E" w:rsidRDefault="003E58AD" w:rsidP="003E58AD">
      <w:pPr>
        <w:spacing w:after="120" w:line="240" w:lineRule="auto"/>
        <w:jc w:val="both"/>
        <w:rPr>
          <w:rFonts w:ascii="Arial" w:hAnsi="Arial" w:cs="Arial"/>
          <w:sz w:val="20"/>
          <w:szCs w:val="20"/>
          <w:lang w:eastAsia="fr-FR"/>
        </w:rPr>
      </w:pPr>
      <w:r w:rsidRPr="00B6647E">
        <w:rPr>
          <w:rFonts w:ascii="Arial" w:hAnsi="Arial" w:cs="Arial"/>
          <w:sz w:val="20"/>
          <w:szCs w:val="20"/>
          <w:lang w:eastAsia="fr-FR"/>
        </w:rPr>
        <w:t>La banane à fruit n’a pas été enregistrée dans six provinces (Bururi, Makamba, Muramvya, Muyinga, Ngozi et Rutana) en saison B et dans quatre provinces (Makamba, Muramvya, Ngozi et Rutana) pendant la saison C. Les rendements sont variables entre les provinces. Pendant la saison A, ils varient entre 1.800 kg/ha dans Cankuzo à 5.000 kg/ha dans Bubanza, Kirundo et Ngozi. En saison B, le plus petit rendement de banane à fruit en pur a été enregistré dans Cankuzo (2.400 kg/ha) et le plus élevé 5.000 kg/ha estimé dans Bubanza, Cibitoke et Kirundo. Au cours de la saison C, les rendements les plus faibles ont été enregistrés dans Kirundo (1.400 kg/ha), Muyinga (2.000 kg/ha) et le plus important (5.000 kg/ha) dans Bubanza, Bujumbura rural et Cibitoke.</w:t>
      </w:r>
    </w:p>
    <w:p w:rsidR="000552AE" w:rsidRPr="00B6647E" w:rsidRDefault="000552AE" w:rsidP="00F822C8">
      <w:pPr>
        <w:pStyle w:val="Titre3"/>
        <w:keepNext w:val="0"/>
        <w:numPr>
          <w:ilvl w:val="2"/>
          <w:numId w:val="1"/>
        </w:numPr>
        <w:spacing w:before="200" w:after="120"/>
        <w:ind w:left="0" w:firstLine="0"/>
        <w:rPr>
          <w:rFonts w:cs="Arial"/>
          <w:szCs w:val="20"/>
        </w:rPr>
      </w:pPr>
      <w:bookmarkStart w:id="239" w:name="_Toc354313886"/>
      <w:r w:rsidRPr="00B6647E">
        <w:rPr>
          <w:rFonts w:cs="Arial"/>
          <w:szCs w:val="20"/>
        </w:rPr>
        <w:t>Productions</w:t>
      </w:r>
      <w:bookmarkEnd w:id="239"/>
    </w:p>
    <w:p w:rsidR="00AE7324" w:rsidRPr="00B6647E" w:rsidRDefault="00AE7324" w:rsidP="00FC3795">
      <w:pPr>
        <w:spacing w:line="240" w:lineRule="auto"/>
        <w:jc w:val="both"/>
        <w:rPr>
          <w:rFonts w:ascii="Arial" w:hAnsi="Arial" w:cs="Arial"/>
          <w:sz w:val="20"/>
          <w:szCs w:val="20"/>
          <w:lang w:eastAsia="fr-FR"/>
        </w:rPr>
      </w:pPr>
      <w:r w:rsidRPr="00B6647E">
        <w:rPr>
          <w:rFonts w:ascii="Arial" w:hAnsi="Arial" w:cs="Arial"/>
          <w:sz w:val="20"/>
          <w:szCs w:val="20"/>
          <w:lang w:eastAsia="fr-FR"/>
        </w:rPr>
        <w:t>La production totale de banane (à bière, à cuire et à fruit) pendant la campagne agricole 2011-2012 est estimée à 1.184.075 tonnes composées de 143.332 tonnes de la saison A (12,1%), 619.898 tonnes de la saison B (52,4%) et 420.845 tonnes produites au cours de la saison C (35,5%).</w:t>
      </w:r>
    </w:p>
    <w:p w:rsidR="00AE7324" w:rsidRPr="00B6647E" w:rsidRDefault="00AE7324" w:rsidP="00FC3795">
      <w:pPr>
        <w:spacing w:line="240" w:lineRule="auto"/>
        <w:jc w:val="both"/>
        <w:rPr>
          <w:rFonts w:ascii="Arial" w:hAnsi="Arial" w:cs="Arial"/>
          <w:sz w:val="20"/>
          <w:szCs w:val="20"/>
          <w:lang w:eastAsia="fr-FR"/>
        </w:rPr>
      </w:pPr>
      <w:r w:rsidRPr="00B6647E">
        <w:rPr>
          <w:rFonts w:ascii="Arial" w:hAnsi="Arial" w:cs="Arial"/>
          <w:sz w:val="20"/>
          <w:szCs w:val="20"/>
          <w:lang w:eastAsia="fr-FR"/>
        </w:rPr>
        <w:t>Cette production est constituée de 840.038 tonnes de banane à bière (71%), de 264.433 tonnes de banane à cuire (22,3%) et de 79.604 tonnes de banane à fruit (6,7%).</w:t>
      </w:r>
    </w:p>
    <w:p w:rsidR="00B00366" w:rsidRPr="00B6647E" w:rsidRDefault="00B00366" w:rsidP="00FC3795">
      <w:pPr>
        <w:spacing w:line="240" w:lineRule="auto"/>
        <w:rPr>
          <w:rFonts w:ascii="Arial" w:hAnsi="Arial" w:cs="Arial"/>
          <w:b/>
          <w:sz w:val="20"/>
          <w:szCs w:val="20"/>
          <w:lang w:val="fr-FR" w:eastAsia="fr-FR"/>
        </w:rPr>
      </w:pPr>
    </w:p>
    <w:p w:rsidR="00B00366" w:rsidRPr="00B6647E" w:rsidRDefault="00B00366" w:rsidP="00FC3795">
      <w:pPr>
        <w:spacing w:line="240" w:lineRule="auto"/>
        <w:rPr>
          <w:rFonts w:ascii="Arial" w:hAnsi="Arial" w:cs="Arial"/>
          <w:b/>
          <w:sz w:val="20"/>
          <w:szCs w:val="20"/>
          <w:lang w:val="fr-FR" w:eastAsia="fr-FR"/>
        </w:rPr>
      </w:pPr>
    </w:p>
    <w:p w:rsidR="00AE7324" w:rsidRPr="00B6647E" w:rsidRDefault="00C73CF3" w:rsidP="00FC3795">
      <w:pPr>
        <w:spacing w:line="240" w:lineRule="auto"/>
        <w:rPr>
          <w:rFonts w:ascii="Arial" w:hAnsi="Arial" w:cs="Arial"/>
          <w:b/>
          <w:sz w:val="20"/>
          <w:szCs w:val="20"/>
          <w:lang w:val="fr-FR" w:eastAsia="fr-FR"/>
        </w:rPr>
      </w:pPr>
      <w:r w:rsidRPr="00B6647E">
        <w:rPr>
          <w:rFonts w:ascii="Arial" w:hAnsi="Arial" w:cs="Arial"/>
          <w:b/>
          <w:sz w:val="20"/>
          <w:szCs w:val="20"/>
          <w:lang w:val="fr-FR" w:eastAsia="fr-FR"/>
        </w:rPr>
        <w:lastRenderedPageBreak/>
        <w:t xml:space="preserve">Graphique </w:t>
      </w:r>
      <w:r w:rsidR="007F30DD">
        <w:rPr>
          <w:rFonts w:ascii="Arial" w:hAnsi="Arial" w:cs="Arial"/>
          <w:b/>
          <w:sz w:val="20"/>
          <w:szCs w:val="20"/>
          <w:lang w:val="fr-FR" w:eastAsia="fr-FR"/>
        </w:rPr>
        <w:t>19</w:t>
      </w:r>
      <w:r w:rsidRPr="00B6647E">
        <w:rPr>
          <w:rFonts w:ascii="Arial" w:hAnsi="Arial" w:cs="Arial"/>
          <w:b/>
          <w:sz w:val="20"/>
          <w:szCs w:val="20"/>
          <w:lang w:val="fr-FR" w:eastAsia="fr-FR"/>
        </w:rPr>
        <w:t> : Production totale de banane par région naturelle (tonnes)</w:t>
      </w:r>
    </w:p>
    <w:p w:rsidR="00C73CF3" w:rsidRPr="00B6647E" w:rsidRDefault="00C73CF3" w:rsidP="00FC3795">
      <w:pPr>
        <w:spacing w:line="240" w:lineRule="auto"/>
        <w:rPr>
          <w:lang w:val="fr-FR" w:eastAsia="fr-FR"/>
        </w:rPr>
      </w:pPr>
      <w:r w:rsidRPr="00B6647E">
        <w:rPr>
          <w:noProof/>
          <w:lang w:val="fr-FR" w:eastAsia="fr-FR"/>
        </w:rPr>
        <w:drawing>
          <wp:inline distT="0" distB="0" distL="0" distR="0">
            <wp:extent cx="5695001" cy="3147237"/>
            <wp:effectExtent l="19050" t="0" r="949" b="0"/>
            <wp:docPr id="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 cstate="print"/>
                    <a:srcRect/>
                    <a:stretch>
                      <a:fillRect/>
                    </a:stretch>
                  </pic:blipFill>
                  <pic:spPr bwMode="auto">
                    <a:xfrm>
                      <a:off x="0" y="0"/>
                      <a:ext cx="5703123" cy="3151725"/>
                    </a:xfrm>
                    <a:prstGeom prst="rect">
                      <a:avLst/>
                    </a:prstGeom>
                    <a:noFill/>
                    <a:ln w="9525">
                      <a:noFill/>
                      <a:miter lim="800000"/>
                      <a:headEnd/>
                      <a:tailEnd/>
                    </a:ln>
                  </pic:spPr>
                </pic:pic>
              </a:graphicData>
            </a:graphic>
          </wp:inline>
        </w:drawing>
      </w:r>
    </w:p>
    <w:p w:rsidR="006573BB" w:rsidRPr="00B6647E" w:rsidRDefault="00E6557F" w:rsidP="00F822C8">
      <w:pPr>
        <w:spacing w:before="200" w:after="120" w:line="240" w:lineRule="auto"/>
        <w:rPr>
          <w:rFonts w:ascii="Arial" w:hAnsi="Arial" w:cs="Arial"/>
          <w:b/>
          <w:sz w:val="20"/>
          <w:szCs w:val="20"/>
          <w:lang w:val="fr-FR" w:eastAsia="fr-FR"/>
        </w:rPr>
      </w:pPr>
      <w:r w:rsidRPr="00B6647E">
        <w:rPr>
          <w:rFonts w:ascii="Arial" w:hAnsi="Arial" w:cs="Arial"/>
          <w:b/>
          <w:sz w:val="20"/>
          <w:szCs w:val="20"/>
          <w:lang w:val="fr-FR" w:eastAsia="fr-FR"/>
        </w:rPr>
        <w:t>a) Production total de la banane dans les régions naturelles et par saison</w:t>
      </w:r>
    </w:p>
    <w:p w:rsidR="003E58AD" w:rsidRPr="00B6647E" w:rsidRDefault="00C73CF3" w:rsidP="00FC3795">
      <w:pPr>
        <w:pStyle w:val="Paragraphedeliste"/>
        <w:spacing w:after="0" w:line="240" w:lineRule="auto"/>
        <w:ind w:left="0"/>
        <w:jc w:val="both"/>
        <w:rPr>
          <w:rFonts w:ascii="Arial" w:hAnsi="Arial" w:cs="Arial"/>
          <w:sz w:val="20"/>
          <w:szCs w:val="20"/>
        </w:rPr>
      </w:pPr>
      <w:r w:rsidRPr="00B6647E">
        <w:rPr>
          <w:rFonts w:ascii="Arial" w:hAnsi="Arial" w:cs="Arial"/>
          <w:sz w:val="20"/>
          <w:szCs w:val="20"/>
        </w:rPr>
        <w:t xml:space="preserve"> La région naturelle de Kirimiro a eu la plus grande production de </w:t>
      </w:r>
      <w:r w:rsidR="00E21D3E" w:rsidRPr="00B6647E">
        <w:rPr>
          <w:rFonts w:ascii="Arial" w:hAnsi="Arial" w:cs="Arial"/>
          <w:sz w:val="20"/>
          <w:szCs w:val="20"/>
        </w:rPr>
        <w:t>banane</w:t>
      </w:r>
      <w:r w:rsidRPr="00B6647E">
        <w:rPr>
          <w:rFonts w:ascii="Arial" w:hAnsi="Arial" w:cs="Arial"/>
          <w:sz w:val="20"/>
          <w:szCs w:val="20"/>
        </w:rPr>
        <w:t xml:space="preserve"> de toute la campagne agricole 2011-2012 (</w:t>
      </w:r>
      <w:r w:rsidR="00E21D3E" w:rsidRPr="00B6647E">
        <w:rPr>
          <w:rFonts w:ascii="Arial" w:hAnsi="Arial" w:cs="Arial"/>
          <w:sz w:val="20"/>
          <w:szCs w:val="20"/>
        </w:rPr>
        <w:t>307</w:t>
      </w:r>
      <w:r w:rsidRPr="00B6647E">
        <w:rPr>
          <w:rFonts w:ascii="Arial" w:hAnsi="Arial" w:cs="Arial"/>
          <w:sz w:val="20"/>
          <w:szCs w:val="20"/>
        </w:rPr>
        <w:t>.</w:t>
      </w:r>
      <w:r w:rsidR="00E21D3E" w:rsidRPr="00B6647E">
        <w:rPr>
          <w:rFonts w:ascii="Arial" w:hAnsi="Arial" w:cs="Arial"/>
          <w:sz w:val="20"/>
          <w:szCs w:val="20"/>
        </w:rPr>
        <w:t>971</w:t>
      </w:r>
      <w:r w:rsidRPr="00B6647E">
        <w:rPr>
          <w:rFonts w:ascii="Arial" w:hAnsi="Arial" w:cs="Arial"/>
          <w:sz w:val="20"/>
          <w:szCs w:val="20"/>
        </w:rPr>
        <w:t xml:space="preserve"> tonnes, soit 2</w:t>
      </w:r>
      <w:r w:rsidR="00E21D3E" w:rsidRPr="00B6647E">
        <w:rPr>
          <w:rFonts w:ascii="Arial" w:hAnsi="Arial" w:cs="Arial"/>
          <w:sz w:val="20"/>
          <w:szCs w:val="20"/>
        </w:rPr>
        <w:t>6</w:t>
      </w:r>
      <w:r w:rsidRPr="00B6647E">
        <w:rPr>
          <w:rFonts w:ascii="Arial" w:hAnsi="Arial" w:cs="Arial"/>
          <w:sz w:val="20"/>
          <w:szCs w:val="20"/>
        </w:rPr>
        <w:t>% du total des trois saisons). Viennent ensuite dans l’ordre Buyenzi (</w:t>
      </w:r>
      <w:r w:rsidR="00E21D3E" w:rsidRPr="00B6647E">
        <w:rPr>
          <w:rFonts w:ascii="Arial" w:hAnsi="Arial" w:cs="Arial"/>
          <w:sz w:val="20"/>
          <w:szCs w:val="20"/>
        </w:rPr>
        <w:t>171</w:t>
      </w:r>
      <w:r w:rsidRPr="00B6647E">
        <w:rPr>
          <w:rFonts w:ascii="Arial" w:hAnsi="Arial" w:cs="Arial"/>
          <w:sz w:val="20"/>
          <w:szCs w:val="20"/>
        </w:rPr>
        <w:t>.</w:t>
      </w:r>
      <w:r w:rsidR="00E21D3E" w:rsidRPr="00B6647E">
        <w:rPr>
          <w:rFonts w:ascii="Arial" w:hAnsi="Arial" w:cs="Arial"/>
          <w:sz w:val="20"/>
          <w:szCs w:val="20"/>
        </w:rPr>
        <w:t>835 tonnes, soit14,5</w:t>
      </w:r>
      <w:r w:rsidRPr="00B6647E">
        <w:rPr>
          <w:rFonts w:ascii="Arial" w:hAnsi="Arial" w:cs="Arial"/>
          <w:sz w:val="20"/>
          <w:szCs w:val="20"/>
        </w:rPr>
        <w:t>%</w:t>
      </w:r>
      <w:r w:rsidR="00E21D3E" w:rsidRPr="00B6647E">
        <w:rPr>
          <w:rFonts w:ascii="Arial" w:hAnsi="Arial" w:cs="Arial"/>
          <w:sz w:val="20"/>
          <w:szCs w:val="20"/>
        </w:rPr>
        <w:t xml:space="preserve"> de la production totale des trois saisons</w:t>
      </w:r>
      <w:r w:rsidRPr="00B6647E">
        <w:rPr>
          <w:rFonts w:ascii="Arial" w:hAnsi="Arial" w:cs="Arial"/>
          <w:sz w:val="20"/>
          <w:szCs w:val="20"/>
        </w:rPr>
        <w:t>), Bweru (</w:t>
      </w:r>
      <w:r w:rsidR="00E21D3E" w:rsidRPr="00B6647E">
        <w:rPr>
          <w:rFonts w:ascii="Arial" w:hAnsi="Arial" w:cs="Arial"/>
          <w:sz w:val="20"/>
          <w:szCs w:val="20"/>
        </w:rPr>
        <w:t>163</w:t>
      </w:r>
      <w:r w:rsidRPr="00B6647E">
        <w:rPr>
          <w:rFonts w:ascii="Arial" w:hAnsi="Arial" w:cs="Arial"/>
          <w:sz w:val="20"/>
          <w:szCs w:val="20"/>
        </w:rPr>
        <w:t>.</w:t>
      </w:r>
      <w:r w:rsidR="00E21D3E" w:rsidRPr="00B6647E">
        <w:rPr>
          <w:rFonts w:ascii="Arial" w:hAnsi="Arial" w:cs="Arial"/>
          <w:sz w:val="20"/>
          <w:szCs w:val="20"/>
        </w:rPr>
        <w:t>548</w:t>
      </w:r>
      <w:r w:rsidRPr="00B6647E">
        <w:rPr>
          <w:rFonts w:ascii="Arial" w:hAnsi="Arial" w:cs="Arial"/>
          <w:sz w:val="20"/>
          <w:szCs w:val="20"/>
        </w:rPr>
        <w:t xml:space="preserve"> tonnes, soit 1</w:t>
      </w:r>
      <w:r w:rsidR="00E21D3E" w:rsidRPr="00B6647E">
        <w:rPr>
          <w:rFonts w:ascii="Arial" w:hAnsi="Arial" w:cs="Arial"/>
          <w:sz w:val="20"/>
          <w:szCs w:val="20"/>
        </w:rPr>
        <w:t>3</w:t>
      </w:r>
      <w:r w:rsidRPr="00B6647E">
        <w:rPr>
          <w:rFonts w:ascii="Arial" w:hAnsi="Arial" w:cs="Arial"/>
          <w:sz w:val="20"/>
          <w:szCs w:val="20"/>
        </w:rPr>
        <w:t>,</w:t>
      </w:r>
      <w:r w:rsidR="00E21D3E" w:rsidRPr="00B6647E">
        <w:rPr>
          <w:rFonts w:ascii="Arial" w:hAnsi="Arial" w:cs="Arial"/>
          <w:sz w:val="20"/>
          <w:szCs w:val="20"/>
        </w:rPr>
        <w:t>8</w:t>
      </w:r>
      <w:r w:rsidRPr="00B6647E">
        <w:rPr>
          <w:rFonts w:ascii="Arial" w:hAnsi="Arial" w:cs="Arial"/>
          <w:sz w:val="20"/>
          <w:szCs w:val="20"/>
        </w:rPr>
        <w:t>%)</w:t>
      </w:r>
      <w:r w:rsidR="00E21D3E" w:rsidRPr="00B6647E">
        <w:rPr>
          <w:rFonts w:ascii="Arial" w:hAnsi="Arial" w:cs="Arial"/>
          <w:sz w:val="20"/>
          <w:szCs w:val="20"/>
        </w:rPr>
        <w:t>, Mumirwa (139.638 tonnes, soit 11,8%), Bugese</w:t>
      </w:r>
      <w:r w:rsidR="003E58AD" w:rsidRPr="00B6647E">
        <w:rPr>
          <w:rFonts w:ascii="Arial" w:hAnsi="Arial" w:cs="Arial"/>
          <w:sz w:val="20"/>
          <w:szCs w:val="20"/>
        </w:rPr>
        <w:t>ra (105.266 tonnes, soit 8,9%).</w:t>
      </w:r>
    </w:p>
    <w:p w:rsidR="003E58AD" w:rsidRPr="00B6647E" w:rsidRDefault="003E58AD" w:rsidP="00FC3795">
      <w:pPr>
        <w:pStyle w:val="Paragraphedeliste"/>
        <w:spacing w:after="0" w:line="240" w:lineRule="auto"/>
        <w:ind w:left="0"/>
        <w:jc w:val="both"/>
        <w:rPr>
          <w:rFonts w:ascii="Arial" w:hAnsi="Arial" w:cs="Arial"/>
          <w:sz w:val="20"/>
          <w:szCs w:val="20"/>
        </w:rPr>
      </w:pPr>
    </w:p>
    <w:p w:rsidR="00C73CF3" w:rsidRPr="00B6647E" w:rsidRDefault="00C73CF3" w:rsidP="00FC3795">
      <w:pPr>
        <w:pStyle w:val="Paragraphedeliste"/>
        <w:spacing w:after="0" w:line="240" w:lineRule="auto"/>
        <w:ind w:left="0"/>
        <w:jc w:val="both"/>
        <w:rPr>
          <w:rFonts w:ascii="Arial" w:hAnsi="Arial" w:cs="Arial"/>
          <w:sz w:val="20"/>
          <w:szCs w:val="20"/>
        </w:rPr>
      </w:pPr>
      <w:r w:rsidRPr="00B6647E">
        <w:rPr>
          <w:rFonts w:ascii="Arial" w:hAnsi="Arial" w:cs="Arial"/>
          <w:sz w:val="20"/>
          <w:szCs w:val="20"/>
        </w:rPr>
        <w:t>Les plus faibles productions ont été enregistrées dans les régions de Buragane (</w:t>
      </w:r>
      <w:r w:rsidR="00E21D3E" w:rsidRPr="00B6647E">
        <w:rPr>
          <w:rFonts w:ascii="Arial" w:hAnsi="Arial" w:cs="Arial"/>
          <w:sz w:val="20"/>
          <w:szCs w:val="20"/>
        </w:rPr>
        <w:t>9</w:t>
      </w:r>
      <w:r w:rsidRPr="00B6647E">
        <w:rPr>
          <w:rFonts w:ascii="Arial" w:hAnsi="Arial" w:cs="Arial"/>
          <w:sz w:val="20"/>
          <w:szCs w:val="20"/>
        </w:rPr>
        <w:t>.</w:t>
      </w:r>
      <w:r w:rsidR="00E21D3E" w:rsidRPr="00B6647E">
        <w:rPr>
          <w:rFonts w:ascii="Arial" w:hAnsi="Arial" w:cs="Arial"/>
          <w:sz w:val="20"/>
          <w:szCs w:val="20"/>
        </w:rPr>
        <w:t>518</w:t>
      </w:r>
      <w:r w:rsidRPr="00B6647E">
        <w:rPr>
          <w:rFonts w:ascii="Arial" w:hAnsi="Arial" w:cs="Arial"/>
          <w:sz w:val="20"/>
          <w:szCs w:val="20"/>
        </w:rPr>
        <w:t xml:space="preserve"> tonnes, soit </w:t>
      </w:r>
      <w:r w:rsidR="00E21D3E" w:rsidRPr="00B6647E">
        <w:rPr>
          <w:rFonts w:ascii="Arial" w:hAnsi="Arial" w:cs="Arial"/>
          <w:sz w:val="20"/>
          <w:szCs w:val="20"/>
        </w:rPr>
        <w:t>0,8</w:t>
      </w:r>
      <w:r w:rsidRPr="00B6647E">
        <w:rPr>
          <w:rFonts w:ascii="Arial" w:hAnsi="Arial" w:cs="Arial"/>
          <w:sz w:val="20"/>
          <w:szCs w:val="20"/>
        </w:rPr>
        <w:t>%)</w:t>
      </w:r>
      <w:r w:rsidR="00E21D3E" w:rsidRPr="00B6647E">
        <w:rPr>
          <w:rFonts w:ascii="Arial" w:hAnsi="Arial" w:cs="Arial"/>
          <w:sz w:val="20"/>
          <w:szCs w:val="20"/>
        </w:rPr>
        <w:t>,</w:t>
      </w:r>
      <w:r w:rsidRPr="00B6647E">
        <w:rPr>
          <w:rFonts w:ascii="Arial" w:hAnsi="Arial" w:cs="Arial"/>
          <w:sz w:val="20"/>
          <w:szCs w:val="20"/>
        </w:rPr>
        <w:t xml:space="preserve"> Bututsi (</w:t>
      </w:r>
      <w:r w:rsidR="00E21D3E" w:rsidRPr="00B6647E">
        <w:rPr>
          <w:rFonts w:ascii="Arial" w:hAnsi="Arial" w:cs="Arial"/>
          <w:sz w:val="20"/>
          <w:szCs w:val="20"/>
        </w:rPr>
        <w:t>26</w:t>
      </w:r>
      <w:r w:rsidRPr="00B6647E">
        <w:rPr>
          <w:rFonts w:ascii="Arial" w:hAnsi="Arial" w:cs="Arial"/>
          <w:sz w:val="20"/>
          <w:szCs w:val="20"/>
        </w:rPr>
        <w:t>.</w:t>
      </w:r>
      <w:r w:rsidR="00E21D3E" w:rsidRPr="00B6647E">
        <w:rPr>
          <w:rFonts w:ascii="Arial" w:hAnsi="Arial" w:cs="Arial"/>
          <w:sz w:val="20"/>
          <w:szCs w:val="20"/>
        </w:rPr>
        <w:t>701</w:t>
      </w:r>
      <w:r w:rsidRPr="00B6647E">
        <w:rPr>
          <w:rFonts w:ascii="Arial" w:hAnsi="Arial" w:cs="Arial"/>
          <w:sz w:val="20"/>
          <w:szCs w:val="20"/>
        </w:rPr>
        <w:t xml:space="preserve"> tonnes, soit 2,</w:t>
      </w:r>
      <w:r w:rsidR="00E21D3E" w:rsidRPr="00B6647E">
        <w:rPr>
          <w:rFonts w:ascii="Arial" w:hAnsi="Arial" w:cs="Arial"/>
          <w:sz w:val="20"/>
          <w:szCs w:val="20"/>
        </w:rPr>
        <w:t>3</w:t>
      </w:r>
      <w:r w:rsidRPr="00B6647E">
        <w:rPr>
          <w:rFonts w:ascii="Arial" w:hAnsi="Arial" w:cs="Arial"/>
          <w:sz w:val="20"/>
          <w:szCs w:val="20"/>
        </w:rPr>
        <w:t>%)</w:t>
      </w:r>
      <w:r w:rsidR="00E21D3E" w:rsidRPr="00B6647E">
        <w:rPr>
          <w:rFonts w:ascii="Arial" w:hAnsi="Arial" w:cs="Arial"/>
          <w:sz w:val="20"/>
          <w:szCs w:val="20"/>
        </w:rPr>
        <w:t>, Imbo (30.781 tonnes, soit 2,6%)</w:t>
      </w:r>
      <w:r w:rsidRPr="00B6647E">
        <w:rPr>
          <w:rFonts w:ascii="Arial" w:hAnsi="Arial" w:cs="Arial"/>
          <w:sz w:val="20"/>
          <w:szCs w:val="20"/>
        </w:rPr>
        <w:t>.</w:t>
      </w:r>
    </w:p>
    <w:p w:rsidR="006573BB" w:rsidRPr="00B6647E" w:rsidRDefault="007A4D44" w:rsidP="003E58AD">
      <w:pPr>
        <w:keepNext/>
        <w:spacing w:before="120" w:after="120" w:line="240" w:lineRule="auto"/>
        <w:rPr>
          <w:rFonts w:ascii="Arial" w:hAnsi="Arial" w:cs="Arial"/>
          <w:b/>
          <w:sz w:val="20"/>
          <w:szCs w:val="20"/>
          <w:lang w:val="fr-FR" w:eastAsia="fr-FR"/>
        </w:rPr>
      </w:pPr>
      <w:r>
        <w:rPr>
          <w:rFonts w:ascii="Arial" w:hAnsi="Arial" w:cs="Arial"/>
          <w:b/>
          <w:sz w:val="20"/>
          <w:szCs w:val="20"/>
          <w:lang w:val="fr-FR" w:eastAsia="fr-FR"/>
        </w:rPr>
        <w:t>Tableau 14</w:t>
      </w:r>
      <w:r w:rsidR="00AA3FAC" w:rsidRPr="00B6647E">
        <w:rPr>
          <w:rFonts w:ascii="Arial" w:hAnsi="Arial" w:cs="Arial"/>
          <w:b/>
          <w:sz w:val="20"/>
          <w:szCs w:val="20"/>
          <w:lang w:val="fr-FR" w:eastAsia="fr-FR"/>
        </w:rPr>
        <w:t xml:space="preserve">2 : </w:t>
      </w:r>
      <w:r w:rsidR="006573BB" w:rsidRPr="00B6647E">
        <w:rPr>
          <w:rFonts w:ascii="Arial" w:hAnsi="Arial" w:cs="Arial"/>
          <w:b/>
          <w:sz w:val="20"/>
          <w:szCs w:val="20"/>
          <w:lang w:val="fr-FR" w:eastAsia="fr-FR"/>
        </w:rPr>
        <w:t>Production totale de banane par région et par saison</w:t>
      </w:r>
    </w:p>
    <w:p w:rsidR="006573BB" w:rsidRPr="00B6647E" w:rsidRDefault="00CC75C9" w:rsidP="003E58AD">
      <w:pPr>
        <w:keepNext/>
        <w:spacing w:line="240" w:lineRule="auto"/>
        <w:rPr>
          <w:lang w:val="fr-FR" w:eastAsia="fr-FR"/>
        </w:rPr>
      </w:pPr>
      <w:r w:rsidRPr="00B6647E">
        <w:rPr>
          <w:noProof/>
          <w:lang w:val="fr-FR" w:eastAsia="fr-FR"/>
        </w:rPr>
        <w:drawing>
          <wp:inline distT="0" distB="0" distL="0" distR="0">
            <wp:extent cx="4191000" cy="2914650"/>
            <wp:effectExtent l="19050" t="0" r="0" b="0"/>
            <wp:docPr id="3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 cstate="print"/>
                    <a:srcRect/>
                    <a:stretch>
                      <a:fillRect/>
                    </a:stretch>
                  </pic:blipFill>
                  <pic:spPr bwMode="auto">
                    <a:xfrm>
                      <a:off x="0" y="0"/>
                      <a:ext cx="4191000" cy="2914650"/>
                    </a:xfrm>
                    <a:prstGeom prst="rect">
                      <a:avLst/>
                    </a:prstGeom>
                    <a:noFill/>
                    <a:ln w="9525">
                      <a:noFill/>
                      <a:miter lim="800000"/>
                      <a:headEnd/>
                      <a:tailEnd/>
                    </a:ln>
                  </pic:spPr>
                </pic:pic>
              </a:graphicData>
            </a:graphic>
          </wp:inline>
        </w:drawing>
      </w:r>
    </w:p>
    <w:p w:rsidR="00885919" w:rsidRPr="00B6647E" w:rsidRDefault="00885919" w:rsidP="00FC3795">
      <w:pPr>
        <w:spacing w:line="240" w:lineRule="auto"/>
        <w:jc w:val="both"/>
        <w:rPr>
          <w:rFonts w:ascii="Arial" w:hAnsi="Arial" w:cs="Arial"/>
          <w:sz w:val="20"/>
          <w:szCs w:val="20"/>
          <w:lang w:eastAsia="fr-FR"/>
        </w:rPr>
      </w:pPr>
      <w:r w:rsidRPr="00B6647E">
        <w:rPr>
          <w:rFonts w:ascii="Arial" w:hAnsi="Arial" w:cs="Arial"/>
          <w:sz w:val="20"/>
          <w:szCs w:val="20"/>
          <w:lang w:eastAsia="fr-FR"/>
        </w:rPr>
        <w:t xml:space="preserve">La production totale de banane à bière été estimée à 840.038 tonnes, soit 71% de la production totale de banane. La saison B a produit 396.507 tonnes de banane à bière, soit 47,2% de la production totale et 33,5% de toute la banane (à bière, à cuire et à fruit). En saison C, cette production est estimée à 349.342 tonnes correspondant 41,6% de la production totale de la banane à bière et de </w:t>
      </w:r>
      <w:r w:rsidRPr="00B6647E">
        <w:rPr>
          <w:rFonts w:ascii="Arial" w:hAnsi="Arial" w:cs="Arial"/>
          <w:sz w:val="20"/>
          <w:szCs w:val="20"/>
          <w:lang w:eastAsia="fr-FR"/>
        </w:rPr>
        <w:lastRenderedPageBreak/>
        <w:t>29,5% de l’ensemble de la banane</w:t>
      </w:r>
      <w:r w:rsidR="00F62116" w:rsidRPr="00B6647E">
        <w:rPr>
          <w:rFonts w:ascii="Arial" w:hAnsi="Arial" w:cs="Arial"/>
          <w:sz w:val="20"/>
          <w:szCs w:val="20"/>
          <w:lang w:eastAsia="fr-FR"/>
        </w:rPr>
        <w:t>. La production de cette culture enregistrée au cours de la saison A est de 94.190 tonnes (11,2% du total de la banane à bière et de 8% de l’ensemble de la banane).</w:t>
      </w:r>
    </w:p>
    <w:p w:rsidR="00885919" w:rsidRPr="00B6647E" w:rsidRDefault="00C946ED" w:rsidP="00FC3795">
      <w:pPr>
        <w:spacing w:line="240" w:lineRule="auto"/>
        <w:jc w:val="both"/>
        <w:rPr>
          <w:rFonts w:ascii="Arial" w:hAnsi="Arial" w:cs="Arial"/>
          <w:sz w:val="20"/>
          <w:szCs w:val="20"/>
          <w:lang w:eastAsia="fr-FR"/>
        </w:rPr>
      </w:pPr>
      <w:r w:rsidRPr="00B6647E">
        <w:rPr>
          <w:rFonts w:ascii="Arial" w:hAnsi="Arial" w:cs="Arial"/>
          <w:sz w:val="20"/>
          <w:szCs w:val="20"/>
          <w:lang w:eastAsia="fr-FR"/>
        </w:rPr>
        <w:t>Du fait de l’</w:t>
      </w:r>
      <w:r w:rsidR="00F62116" w:rsidRPr="00B6647E">
        <w:rPr>
          <w:rFonts w:ascii="Arial" w:hAnsi="Arial" w:cs="Arial"/>
          <w:sz w:val="20"/>
          <w:szCs w:val="20"/>
          <w:lang w:eastAsia="fr-FR"/>
        </w:rPr>
        <w:t xml:space="preserve">importance (71%) </w:t>
      </w:r>
      <w:r w:rsidRPr="00B6647E">
        <w:rPr>
          <w:rFonts w:ascii="Arial" w:hAnsi="Arial" w:cs="Arial"/>
          <w:sz w:val="20"/>
          <w:szCs w:val="20"/>
          <w:lang w:eastAsia="fr-FR"/>
        </w:rPr>
        <w:t xml:space="preserve">de la banane à bière </w:t>
      </w:r>
      <w:r w:rsidR="00F62116" w:rsidRPr="00B6647E">
        <w:rPr>
          <w:rFonts w:ascii="Arial" w:hAnsi="Arial" w:cs="Arial"/>
          <w:sz w:val="20"/>
          <w:szCs w:val="20"/>
          <w:lang w:eastAsia="fr-FR"/>
        </w:rPr>
        <w:t>comme composante de l’ensemble de la banane (à bière, à cuire et à fruit), la structure de sa production dans les régions naturelles suit glob</w:t>
      </w:r>
      <w:r w:rsidRPr="00B6647E">
        <w:rPr>
          <w:rFonts w:ascii="Arial" w:hAnsi="Arial" w:cs="Arial"/>
          <w:sz w:val="20"/>
          <w:szCs w:val="20"/>
          <w:lang w:eastAsia="fr-FR"/>
        </w:rPr>
        <w:t>a</w:t>
      </w:r>
      <w:r w:rsidR="00F62116" w:rsidRPr="00B6647E">
        <w:rPr>
          <w:rFonts w:ascii="Arial" w:hAnsi="Arial" w:cs="Arial"/>
          <w:sz w:val="20"/>
          <w:szCs w:val="20"/>
          <w:lang w:eastAsia="fr-FR"/>
        </w:rPr>
        <w:t>l</w:t>
      </w:r>
      <w:r w:rsidRPr="00B6647E">
        <w:rPr>
          <w:rFonts w:ascii="Arial" w:hAnsi="Arial" w:cs="Arial"/>
          <w:sz w:val="20"/>
          <w:szCs w:val="20"/>
          <w:lang w:eastAsia="fr-FR"/>
        </w:rPr>
        <w:t>em</w:t>
      </w:r>
      <w:r w:rsidR="00F62116" w:rsidRPr="00B6647E">
        <w:rPr>
          <w:rFonts w:ascii="Arial" w:hAnsi="Arial" w:cs="Arial"/>
          <w:sz w:val="20"/>
          <w:szCs w:val="20"/>
          <w:lang w:eastAsia="fr-FR"/>
        </w:rPr>
        <w:t xml:space="preserve">ent </w:t>
      </w:r>
      <w:r w:rsidRPr="00B6647E">
        <w:rPr>
          <w:rFonts w:ascii="Arial" w:hAnsi="Arial" w:cs="Arial"/>
          <w:sz w:val="20"/>
          <w:szCs w:val="20"/>
          <w:lang w:eastAsia="fr-FR"/>
        </w:rPr>
        <w:t>celle de to</w:t>
      </w:r>
      <w:r w:rsidR="00F62116" w:rsidRPr="00B6647E">
        <w:rPr>
          <w:rFonts w:ascii="Arial" w:hAnsi="Arial" w:cs="Arial"/>
          <w:sz w:val="20"/>
          <w:szCs w:val="20"/>
          <w:lang w:eastAsia="fr-FR"/>
        </w:rPr>
        <w:t>u</w:t>
      </w:r>
      <w:r w:rsidRPr="00B6647E">
        <w:rPr>
          <w:rFonts w:ascii="Arial" w:hAnsi="Arial" w:cs="Arial"/>
          <w:sz w:val="20"/>
          <w:szCs w:val="20"/>
          <w:lang w:eastAsia="fr-FR"/>
        </w:rPr>
        <w:t>t</w:t>
      </w:r>
      <w:r w:rsidR="00F62116" w:rsidRPr="00B6647E">
        <w:rPr>
          <w:rFonts w:ascii="Arial" w:hAnsi="Arial" w:cs="Arial"/>
          <w:sz w:val="20"/>
          <w:szCs w:val="20"/>
          <w:lang w:eastAsia="fr-FR"/>
        </w:rPr>
        <w:t xml:space="preserve">e la banne. </w:t>
      </w:r>
      <w:r w:rsidRPr="00B6647E">
        <w:rPr>
          <w:rFonts w:ascii="Arial" w:hAnsi="Arial" w:cs="Arial"/>
          <w:sz w:val="20"/>
          <w:szCs w:val="20"/>
          <w:lang w:eastAsia="fr-FR"/>
        </w:rPr>
        <w:t>Les productions de banane à bière les plus élevées ont été enregistrées dans les régions de Kirimiro (225.401 tonnes, soit 26,8% de la banane à bière), Buyenzi</w:t>
      </w:r>
      <w:r w:rsidR="00885919" w:rsidRPr="00B6647E">
        <w:rPr>
          <w:rFonts w:ascii="Arial" w:hAnsi="Arial" w:cs="Arial"/>
          <w:sz w:val="20"/>
          <w:szCs w:val="20"/>
          <w:lang w:eastAsia="fr-FR"/>
        </w:rPr>
        <w:t xml:space="preserve"> (</w:t>
      </w:r>
      <w:r w:rsidRPr="00B6647E">
        <w:rPr>
          <w:rFonts w:ascii="Arial" w:hAnsi="Arial" w:cs="Arial"/>
          <w:sz w:val="20"/>
          <w:szCs w:val="20"/>
          <w:lang w:eastAsia="fr-FR"/>
        </w:rPr>
        <w:t>130.142</w:t>
      </w:r>
      <w:r w:rsidR="00885919" w:rsidRPr="00B6647E">
        <w:rPr>
          <w:rFonts w:ascii="Arial" w:hAnsi="Arial" w:cs="Arial"/>
          <w:sz w:val="20"/>
          <w:szCs w:val="20"/>
          <w:lang w:eastAsia="fr-FR"/>
        </w:rPr>
        <w:t xml:space="preserve"> tonnes, soit </w:t>
      </w:r>
      <w:r w:rsidRPr="00B6647E">
        <w:rPr>
          <w:rFonts w:ascii="Arial" w:hAnsi="Arial" w:cs="Arial"/>
          <w:sz w:val="20"/>
          <w:szCs w:val="20"/>
          <w:lang w:eastAsia="fr-FR"/>
        </w:rPr>
        <w:t>15,5</w:t>
      </w:r>
      <w:r w:rsidR="00885919" w:rsidRPr="00B6647E">
        <w:rPr>
          <w:rFonts w:ascii="Arial" w:hAnsi="Arial" w:cs="Arial"/>
          <w:sz w:val="20"/>
          <w:szCs w:val="20"/>
          <w:lang w:eastAsia="fr-FR"/>
        </w:rPr>
        <w:t xml:space="preserve">%), </w:t>
      </w:r>
      <w:r w:rsidRPr="00B6647E">
        <w:rPr>
          <w:rFonts w:ascii="Arial" w:hAnsi="Arial" w:cs="Arial"/>
          <w:sz w:val="20"/>
          <w:szCs w:val="20"/>
          <w:lang w:eastAsia="fr-FR"/>
        </w:rPr>
        <w:t>Mumirwa</w:t>
      </w:r>
      <w:r w:rsidR="00885919" w:rsidRPr="00B6647E">
        <w:rPr>
          <w:rFonts w:ascii="Arial" w:hAnsi="Arial" w:cs="Arial"/>
          <w:sz w:val="20"/>
          <w:szCs w:val="20"/>
          <w:lang w:eastAsia="fr-FR"/>
        </w:rPr>
        <w:t xml:space="preserve"> (</w:t>
      </w:r>
      <w:r w:rsidRPr="00B6647E">
        <w:rPr>
          <w:rFonts w:ascii="Arial" w:hAnsi="Arial" w:cs="Arial"/>
          <w:sz w:val="20"/>
          <w:szCs w:val="20"/>
          <w:lang w:eastAsia="fr-FR"/>
        </w:rPr>
        <w:t>98.610</w:t>
      </w:r>
      <w:r w:rsidR="00885919" w:rsidRPr="00B6647E">
        <w:rPr>
          <w:rFonts w:ascii="Arial" w:hAnsi="Arial" w:cs="Arial"/>
          <w:sz w:val="20"/>
          <w:szCs w:val="20"/>
          <w:lang w:eastAsia="fr-FR"/>
        </w:rPr>
        <w:t xml:space="preserve"> tonnes, soit 1</w:t>
      </w:r>
      <w:r w:rsidRPr="00B6647E">
        <w:rPr>
          <w:rFonts w:ascii="Arial" w:hAnsi="Arial" w:cs="Arial"/>
          <w:sz w:val="20"/>
          <w:szCs w:val="20"/>
          <w:lang w:eastAsia="fr-FR"/>
        </w:rPr>
        <w:t>1,7</w:t>
      </w:r>
      <w:r w:rsidR="00885919" w:rsidRPr="00B6647E">
        <w:rPr>
          <w:rFonts w:ascii="Arial" w:hAnsi="Arial" w:cs="Arial"/>
          <w:sz w:val="20"/>
          <w:szCs w:val="20"/>
          <w:lang w:eastAsia="fr-FR"/>
        </w:rPr>
        <w:t xml:space="preserve">%), </w:t>
      </w:r>
      <w:r w:rsidRPr="00B6647E">
        <w:rPr>
          <w:rFonts w:ascii="Arial" w:hAnsi="Arial" w:cs="Arial"/>
          <w:sz w:val="20"/>
          <w:szCs w:val="20"/>
          <w:lang w:eastAsia="fr-FR"/>
        </w:rPr>
        <w:t>Bweru</w:t>
      </w:r>
      <w:r w:rsidR="00885919" w:rsidRPr="00B6647E">
        <w:rPr>
          <w:rFonts w:ascii="Arial" w:hAnsi="Arial" w:cs="Arial"/>
          <w:sz w:val="20"/>
          <w:szCs w:val="20"/>
          <w:lang w:eastAsia="fr-FR"/>
        </w:rPr>
        <w:t xml:space="preserve"> (</w:t>
      </w:r>
      <w:r w:rsidRPr="00B6647E">
        <w:rPr>
          <w:rFonts w:ascii="Arial" w:hAnsi="Arial" w:cs="Arial"/>
          <w:sz w:val="20"/>
          <w:szCs w:val="20"/>
          <w:lang w:eastAsia="fr-FR"/>
        </w:rPr>
        <w:t>96.861</w:t>
      </w:r>
      <w:r w:rsidR="00885919" w:rsidRPr="00B6647E">
        <w:rPr>
          <w:rFonts w:ascii="Arial" w:hAnsi="Arial" w:cs="Arial"/>
          <w:sz w:val="20"/>
          <w:szCs w:val="20"/>
          <w:lang w:eastAsia="fr-FR"/>
        </w:rPr>
        <w:t xml:space="preserve"> tonnes, soit 1</w:t>
      </w:r>
      <w:r w:rsidRPr="00B6647E">
        <w:rPr>
          <w:rFonts w:ascii="Arial" w:hAnsi="Arial" w:cs="Arial"/>
          <w:sz w:val="20"/>
          <w:szCs w:val="20"/>
          <w:lang w:eastAsia="fr-FR"/>
        </w:rPr>
        <w:t>1</w:t>
      </w:r>
      <w:r w:rsidR="00885919" w:rsidRPr="00B6647E">
        <w:rPr>
          <w:rFonts w:ascii="Arial" w:hAnsi="Arial" w:cs="Arial"/>
          <w:sz w:val="20"/>
          <w:szCs w:val="20"/>
          <w:lang w:eastAsia="fr-FR"/>
        </w:rPr>
        <w:t>,</w:t>
      </w:r>
      <w:r w:rsidRPr="00B6647E">
        <w:rPr>
          <w:rFonts w:ascii="Arial" w:hAnsi="Arial" w:cs="Arial"/>
          <w:sz w:val="20"/>
          <w:szCs w:val="20"/>
          <w:lang w:eastAsia="fr-FR"/>
        </w:rPr>
        <w:t>5</w:t>
      </w:r>
      <w:r w:rsidR="00885919" w:rsidRPr="00B6647E">
        <w:rPr>
          <w:rFonts w:ascii="Arial" w:hAnsi="Arial" w:cs="Arial"/>
          <w:sz w:val="20"/>
          <w:szCs w:val="20"/>
          <w:lang w:eastAsia="fr-FR"/>
        </w:rPr>
        <w:t>%)</w:t>
      </w:r>
      <w:r w:rsidRPr="00B6647E">
        <w:rPr>
          <w:rFonts w:ascii="Arial" w:hAnsi="Arial" w:cs="Arial"/>
          <w:sz w:val="20"/>
          <w:szCs w:val="20"/>
          <w:lang w:eastAsia="fr-FR"/>
        </w:rPr>
        <w:t>, Bugesera (67.848 tonnes, soit 8,1%).</w:t>
      </w:r>
    </w:p>
    <w:p w:rsidR="006573BB" w:rsidRPr="00B6647E" w:rsidRDefault="007A4D44" w:rsidP="00AA3FAC">
      <w:pPr>
        <w:spacing w:before="120" w:after="120" w:line="240" w:lineRule="auto"/>
        <w:rPr>
          <w:rFonts w:ascii="Arial" w:hAnsi="Arial" w:cs="Arial"/>
          <w:b/>
          <w:sz w:val="20"/>
          <w:szCs w:val="20"/>
          <w:lang w:val="fr-FR" w:eastAsia="fr-FR"/>
        </w:rPr>
      </w:pPr>
      <w:r>
        <w:rPr>
          <w:rFonts w:ascii="Arial" w:hAnsi="Arial" w:cs="Arial"/>
          <w:b/>
          <w:sz w:val="20"/>
          <w:szCs w:val="20"/>
          <w:lang w:val="fr-FR" w:eastAsia="fr-FR"/>
        </w:rPr>
        <w:t>Tableau 14</w:t>
      </w:r>
      <w:r w:rsidR="00AA3FAC" w:rsidRPr="00B6647E">
        <w:rPr>
          <w:rFonts w:ascii="Arial" w:hAnsi="Arial" w:cs="Arial"/>
          <w:b/>
          <w:sz w:val="20"/>
          <w:szCs w:val="20"/>
          <w:lang w:val="fr-FR" w:eastAsia="fr-FR"/>
        </w:rPr>
        <w:t xml:space="preserve">3 : </w:t>
      </w:r>
      <w:r w:rsidR="006573BB" w:rsidRPr="00B6647E">
        <w:rPr>
          <w:rFonts w:ascii="Arial" w:hAnsi="Arial" w:cs="Arial"/>
          <w:b/>
          <w:sz w:val="20"/>
          <w:szCs w:val="20"/>
          <w:lang w:val="fr-FR" w:eastAsia="fr-FR"/>
        </w:rPr>
        <w:t>Production totale de banane à bière par région et par saison</w:t>
      </w:r>
    </w:p>
    <w:p w:rsidR="006573BB" w:rsidRPr="00B6647E" w:rsidRDefault="00CC75C9" w:rsidP="00FC3795">
      <w:pPr>
        <w:spacing w:line="240" w:lineRule="auto"/>
        <w:rPr>
          <w:lang w:val="fr-FR" w:eastAsia="fr-FR"/>
        </w:rPr>
      </w:pPr>
      <w:r w:rsidRPr="00B6647E">
        <w:rPr>
          <w:noProof/>
          <w:lang w:val="fr-FR" w:eastAsia="fr-FR"/>
        </w:rPr>
        <w:drawing>
          <wp:inline distT="0" distB="0" distL="0" distR="0">
            <wp:extent cx="4191000" cy="2914650"/>
            <wp:effectExtent l="19050" t="0" r="0" b="0"/>
            <wp:docPr id="6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0" cstate="print"/>
                    <a:srcRect/>
                    <a:stretch>
                      <a:fillRect/>
                    </a:stretch>
                  </pic:blipFill>
                  <pic:spPr bwMode="auto">
                    <a:xfrm>
                      <a:off x="0" y="0"/>
                      <a:ext cx="4191000" cy="2914650"/>
                    </a:xfrm>
                    <a:prstGeom prst="rect">
                      <a:avLst/>
                    </a:prstGeom>
                    <a:noFill/>
                    <a:ln w="9525">
                      <a:noFill/>
                      <a:miter lim="800000"/>
                      <a:headEnd/>
                      <a:tailEnd/>
                    </a:ln>
                  </pic:spPr>
                </pic:pic>
              </a:graphicData>
            </a:graphic>
          </wp:inline>
        </w:drawing>
      </w:r>
    </w:p>
    <w:p w:rsidR="00B00366" w:rsidRPr="00B6647E" w:rsidRDefault="004A7BB7" w:rsidP="00FC3795">
      <w:pPr>
        <w:spacing w:line="240" w:lineRule="auto"/>
        <w:jc w:val="both"/>
        <w:rPr>
          <w:rFonts w:ascii="Arial" w:hAnsi="Arial" w:cs="Arial"/>
          <w:sz w:val="20"/>
          <w:szCs w:val="20"/>
          <w:lang w:eastAsia="fr-FR"/>
        </w:rPr>
      </w:pPr>
      <w:r w:rsidRPr="00B6647E">
        <w:rPr>
          <w:rFonts w:ascii="Arial" w:hAnsi="Arial" w:cs="Arial"/>
          <w:sz w:val="20"/>
          <w:szCs w:val="20"/>
          <w:lang w:eastAsia="fr-FR"/>
        </w:rPr>
        <w:t>La production totale d</w:t>
      </w:r>
      <w:r w:rsidR="00253395" w:rsidRPr="00B6647E">
        <w:rPr>
          <w:rFonts w:ascii="Arial" w:hAnsi="Arial" w:cs="Arial"/>
          <w:sz w:val="20"/>
          <w:szCs w:val="20"/>
          <w:lang w:eastAsia="fr-FR"/>
        </w:rPr>
        <w:t>e banane à cuire</w:t>
      </w:r>
      <w:r w:rsidRPr="00B6647E">
        <w:rPr>
          <w:rFonts w:ascii="Arial" w:hAnsi="Arial" w:cs="Arial"/>
          <w:sz w:val="20"/>
          <w:szCs w:val="20"/>
          <w:lang w:eastAsia="fr-FR"/>
        </w:rPr>
        <w:t xml:space="preserve"> (</w:t>
      </w:r>
      <w:r w:rsidR="00253395" w:rsidRPr="00B6647E">
        <w:rPr>
          <w:rFonts w:ascii="Arial" w:hAnsi="Arial" w:cs="Arial"/>
          <w:sz w:val="20"/>
          <w:szCs w:val="20"/>
          <w:lang w:eastAsia="fr-FR"/>
        </w:rPr>
        <w:t>264</w:t>
      </w:r>
      <w:r w:rsidRPr="00B6647E">
        <w:rPr>
          <w:rFonts w:ascii="Arial" w:hAnsi="Arial" w:cs="Arial"/>
          <w:sz w:val="20"/>
          <w:szCs w:val="20"/>
          <w:lang w:eastAsia="fr-FR"/>
        </w:rPr>
        <w:t>.</w:t>
      </w:r>
      <w:r w:rsidR="00253395" w:rsidRPr="00B6647E">
        <w:rPr>
          <w:rFonts w:ascii="Arial" w:hAnsi="Arial" w:cs="Arial"/>
          <w:sz w:val="20"/>
          <w:szCs w:val="20"/>
          <w:lang w:eastAsia="fr-FR"/>
        </w:rPr>
        <w:t>433</w:t>
      </w:r>
      <w:r w:rsidRPr="00B6647E">
        <w:rPr>
          <w:rFonts w:ascii="Arial" w:hAnsi="Arial" w:cs="Arial"/>
          <w:sz w:val="20"/>
          <w:szCs w:val="20"/>
          <w:lang w:eastAsia="fr-FR"/>
        </w:rPr>
        <w:t xml:space="preserve"> tonnes) représente </w:t>
      </w:r>
      <w:r w:rsidR="00253395" w:rsidRPr="00B6647E">
        <w:rPr>
          <w:rFonts w:ascii="Arial" w:hAnsi="Arial" w:cs="Arial"/>
          <w:sz w:val="20"/>
          <w:szCs w:val="20"/>
          <w:lang w:eastAsia="fr-FR"/>
        </w:rPr>
        <w:t>23,3</w:t>
      </w:r>
      <w:r w:rsidRPr="00B6647E">
        <w:rPr>
          <w:rFonts w:ascii="Arial" w:hAnsi="Arial" w:cs="Arial"/>
          <w:sz w:val="20"/>
          <w:szCs w:val="20"/>
          <w:lang w:eastAsia="fr-FR"/>
        </w:rPr>
        <w:t>% de la production totale d</w:t>
      </w:r>
      <w:r w:rsidR="00253395" w:rsidRPr="00B6647E">
        <w:rPr>
          <w:rFonts w:ascii="Arial" w:hAnsi="Arial" w:cs="Arial"/>
          <w:sz w:val="20"/>
          <w:szCs w:val="20"/>
          <w:lang w:eastAsia="fr-FR"/>
        </w:rPr>
        <w:t>e banane</w:t>
      </w:r>
      <w:r w:rsidRPr="00B6647E">
        <w:rPr>
          <w:rFonts w:ascii="Arial" w:hAnsi="Arial" w:cs="Arial"/>
          <w:sz w:val="20"/>
          <w:szCs w:val="20"/>
          <w:lang w:eastAsia="fr-FR"/>
        </w:rPr>
        <w:t xml:space="preserve"> totale de la campagne agricole 2011-2012.</w:t>
      </w:r>
    </w:p>
    <w:p w:rsidR="004A7BB7" w:rsidRPr="00B6647E" w:rsidRDefault="00A73B04" w:rsidP="00FC3795">
      <w:pPr>
        <w:spacing w:line="240" w:lineRule="auto"/>
        <w:jc w:val="both"/>
        <w:rPr>
          <w:rFonts w:ascii="Arial" w:hAnsi="Arial" w:cs="Arial"/>
          <w:sz w:val="20"/>
          <w:szCs w:val="20"/>
          <w:lang w:eastAsia="fr-FR"/>
        </w:rPr>
      </w:pPr>
      <w:r w:rsidRPr="00B6647E">
        <w:rPr>
          <w:rFonts w:ascii="Arial" w:hAnsi="Arial" w:cs="Arial"/>
          <w:sz w:val="20"/>
          <w:szCs w:val="20"/>
          <w:lang w:eastAsia="fr-FR"/>
        </w:rPr>
        <w:t>La production de cette culture a été estimée à 189.885 tonnes au cours de la saison B, soit 71,8% de sa production totale de toute la campagne agricole 2011-2012</w:t>
      </w:r>
      <w:r w:rsidR="00713214" w:rsidRPr="00B6647E">
        <w:rPr>
          <w:rFonts w:ascii="Arial" w:hAnsi="Arial" w:cs="Arial"/>
          <w:sz w:val="20"/>
          <w:szCs w:val="20"/>
          <w:lang w:eastAsia="fr-FR"/>
        </w:rPr>
        <w:t>, à 61.084 tonnes (23,1%) en saison C et à 13.463 tonnes (5,</w:t>
      </w:r>
      <w:r w:rsidR="001E0B18" w:rsidRPr="00B6647E">
        <w:rPr>
          <w:rFonts w:ascii="Arial" w:hAnsi="Arial" w:cs="Arial"/>
          <w:sz w:val="20"/>
          <w:szCs w:val="20"/>
          <w:lang w:eastAsia="fr-FR"/>
        </w:rPr>
        <w:t>1</w:t>
      </w:r>
      <w:r w:rsidR="00713214" w:rsidRPr="00B6647E">
        <w:rPr>
          <w:rFonts w:ascii="Arial" w:hAnsi="Arial" w:cs="Arial"/>
          <w:sz w:val="20"/>
          <w:szCs w:val="20"/>
          <w:lang w:eastAsia="fr-FR"/>
        </w:rPr>
        <w:t>%) pendant la saison A.</w:t>
      </w:r>
    </w:p>
    <w:p w:rsidR="00B00366" w:rsidRPr="00B6647E" w:rsidRDefault="00A73B04" w:rsidP="00FC3795">
      <w:pPr>
        <w:spacing w:line="240" w:lineRule="auto"/>
        <w:jc w:val="both"/>
        <w:rPr>
          <w:rFonts w:ascii="Arial" w:hAnsi="Arial" w:cs="Arial"/>
          <w:sz w:val="20"/>
          <w:szCs w:val="20"/>
          <w:lang w:eastAsia="fr-FR"/>
        </w:rPr>
      </w:pPr>
      <w:r w:rsidRPr="00B6647E">
        <w:rPr>
          <w:rFonts w:ascii="Arial" w:hAnsi="Arial" w:cs="Arial"/>
          <w:sz w:val="20"/>
          <w:szCs w:val="20"/>
          <w:lang w:eastAsia="fr-FR"/>
        </w:rPr>
        <w:t>Les productions les plus élevées de banane à cuire ont été estimées dans les</w:t>
      </w:r>
      <w:r w:rsidR="004A7BB7" w:rsidRPr="00B6647E">
        <w:rPr>
          <w:rFonts w:ascii="Arial" w:hAnsi="Arial" w:cs="Arial"/>
          <w:sz w:val="20"/>
          <w:szCs w:val="20"/>
          <w:lang w:eastAsia="fr-FR"/>
        </w:rPr>
        <w:t xml:space="preserve"> régions naturelles de </w:t>
      </w:r>
      <w:r w:rsidRPr="00B6647E">
        <w:rPr>
          <w:rFonts w:ascii="Arial" w:hAnsi="Arial" w:cs="Arial"/>
          <w:sz w:val="20"/>
          <w:szCs w:val="20"/>
          <w:lang w:eastAsia="fr-FR"/>
        </w:rPr>
        <w:t xml:space="preserve">Bweru (63.727 tonnes, soit 24,1%), de </w:t>
      </w:r>
      <w:r w:rsidR="004A7BB7" w:rsidRPr="00B6647E">
        <w:rPr>
          <w:rFonts w:ascii="Arial" w:hAnsi="Arial" w:cs="Arial"/>
          <w:sz w:val="20"/>
          <w:szCs w:val="20"/>
          <w:lang w:eastAsia="fr-FR"/>
        </w:rPr>
        <w:t>Kirimiro (</w:t>
      </w:r>
      <w:r w:rsidRPr="00B6647E">
        <w:rPr>
          <w:rFonts w:ascii="Arial" w:hAnsi="Arial" w:cs="Arial"/>
          <w:sz w:val="20"/>
          <w:szCs w:val="20"/>
          <w:lang w:eastAsia="fr-FR"/>
        </w:rPr>
        <w:t>48.448</w:t>
      </w:r>
      <w:r w:rsidR="004A7BB7" w:rsidRPr="00B6647E">
        <w:rPr>
          <w:rFonts w:ascii="Arial" w:hAnsi="Arial" w:cs="Arial"/>
          <w:sz w:val="20"/>
          <w:szCs w:val="20"/>
          <w:lang w:eastAsia="fr-FR"/>
        </w:rPr>
        <w:t xml:space="preserve"> tonnes, soit </w:t>
      </w:r>
      <w:r w:rsidRPr="00B6647E">
        <w:rPr>
          <w:rFonts w:ascii="Arial" w:hAnsi="Arial" w:cs="Arial"/>
          <w:sz w:val="20"/>
          <w:szCs w:val="20"/>
          <w:lang w:eastAsia="fr-FR"/>
        </w:rPr>
        <w:t>18,</w:t>
      </w:r>
      <w:r w:rsidR="004A7BB7" w:rsidRPr="00B6647E">
        <w:rPr>
          <w:rFonts w:ascii="Arial" w:hAnsi="Arial" w:cs="Arial"/>
          <w:sz w:val="20"/>
          <w:szCs w:val="20"/>
          <w:lang w:eastAsia="fr-FR"/>
        </w:rPr>
        <w:t>3% du total de la campagne)</w:t>
      </w:r>
      <w:r w:rsidRPr="00B6647E">
        <w:rPr>
          <w:rFonts w:ascii="Arial" w:hAnsi="Arial" w:cs="Arial"/>
          <w:sz w:val="20"/>
          <w:szCs w:val="20"/>
          <w:lang w:eastAsia="fr-FR"/>
        </w:rPr>
        <w:t>,</w:t>
      </w:r>
      <w:r w:rsidR="004A7BB7" w:rsidRPr="00B6647E">
        <w:rPr>
          <w:rFonts w:ascii="Arial" w:hAnsi="Arial" w:cs="Arial"/>
          <w:sz w:val="20"/>
          <w:szCs w:val="20"/>
          <w:lang w:eastAsia="fr-FR"/>
        </w:rPr>
        <w:t xml:space="preserve"> </w:t>
      </w:r>
      <w:r w:rsidRPr="00B6647E">
        <w:rPr>
          <w:rFonts w:ascii="Arial" w:hAnsi="Arial" w:cs="Arial"/>
          <w:sz w:val="20"/>
          <w:szCs w:val="20"/>
          <w:lang w:eastAsia="fr-FR"/>
        </w:rPr>
        <w:t>Bugesera (36.687 tonnes, soit 13,9%)</w:t>
      </w:r>
      <w:r w:rsidR="00713214" w:rsidRPr="00B6647E">
        <w:rPr>
          <w:rFonts w:ascii="Arial" w:hAnsi="Arial" w:cs="Arial"/>
          <w:sz w:val="20"/>
          <w:szCs w:val="20"/>
          <w:lang w:eastAsia="fr-FR"/>
        </w:rPr>
        <w:t>,</w:t>
      </w:r>
      <w:r w:rsidR="004A7BB7" w:rsidRPr="00B6647E">
        <w:rPr>
          <w:rFonts w:ascii="Arial" w:hAnsi="Arial" w:cs="Arial"/>
          <w:sz w:val="20"/>
          <w:szCs w:val="20"/>
          <w:lang w:eastAsia="fr-FR"/>
        </w:rPr>
        <w:t xml:space="preserve"> Buyenzi (</w:t>
      </w:r>
      <w:r w:rsidR="00713214" w:rsidRPr="00B6647E">
        <w:rPr>
          <w:rFonts w:ascii="Arial" w:hAnsi="Arial" w:cs="Arial"/>
          <w:sz w:val="20"/>
          <w:szCs w:val="20"/>
          <w:lang w:eastAsia="fr-FR"/>
        </w:rPr>
        <w:t>33.314</w:t>
      </w:r>
      <w:r w:rsidR="004A7BB7" w:rsidRPr="00B6647E">
        <w:rPr>
          <w:rFonts w:ascii="Arial" w:hAnsi="Arial" w:cs="Arial"/>
          <w:sz w:val="20"/>
          <w:szCs w:val="20"/>
          <w:lang w:eastAsia="fr-FR"/>
        </w:rPr>
        <w:t xml:space="preserve"> tonnes, soit </w:t>
      </w:r>
      <w:r w:rsidR="00713214" w:rsidRPr="00B6647E">
        <w:rPr>
          <w:rFonts w:ascii="Arial" w:hAnsi="Arial" w:cs="Arial"/>
          <w:sz w:val="20"/>
          <w:szCs w:val="20"/>
          <w:lang w:eastAsia="fr-FR"/>
        </w:rPr>
        <w:t>12,6</w:t>
      </w:r>
      <w:r w:rsidR="004A7BB7" w:rsidRPr="00B6647E">
        <w:rPr>
          <w:rFonts w:ascii="Arial" w:hAnsi="Arial" w:cs="Arial"/>
          <w:sz w:val="20"/>
          <w:szCs w:val="20"/>
          <w:lang w:eastAsia="fr-FR"/>
        </w:rPr>
        <w:t>%).</w:t>
      </w:r>
    </w:p>
    <w:p w:rsidR="004A7BB7" w:rsidRPr="00B6647E" w:rsidRDefault="004A7BB7" w:rsidP="00FC3795">
      <w:pPr>
        <w:spacing w:line="240" w:lineRule="auto"/>
        <w:jc w:val="both"/>
        <w:rPr>
          <w:rFonts w:ascii="Arial" w:hAnsi="Arial" w:cs="Arial"/>
          <w:sz w:val="20"/>
          <w:szCs w:val="20"/>
          <w:lang w:eastAsia="fr-FR"/>
        </w:rPr>
      </w:pPr>
      <w:r w:rsidRPr="00B6647E">
        <w:rPr>
          <w:rFonts w:ascii="Arial" w:hAnsi="Arial" w:cs="Arial"/>
          <w:sz w:val="20"/>
          <w:szCs w:val="20"/>
          <w:lang w:eastAsia="fr-FR"/>
        </w:rPr>
        <w:t>Au cours de la saison B, cette production est 57.416 tonnes (71,8%). En saison A, la production de haricot volubile a été estimée à 19.017 tonnes (23,8%) et pendant la saison C à 3.529 tonnes (4,4%).</w:t>
      </w:r>
    </w:p>
    <w:p w:rsidR="00B00366" w:rsidRPr="00B6647E" w:rsidRDefault="00B00366">
      <w:pPr>
        <w:rPr>
          <w:rFonts w:ascii="Arial" w:hAnsi="Arial" w:cs="Arial"/>
          <w:b/>
          <w:sz w:val="20"/>
          <w:szCs w:val="20"/>
          <w:lang w:val="fr-FR" w:eastAsia="fr-FR"/>
        </w:rPr>
      </w:pPr>
      <w:r w:rsidRPr="00B6647E">
        <w:rPr>
          <w:rFonts w:ascii="Arial" w:hAnsi="Arial" w:cs="Arial"/>
          <w:b/>
          <w:sz w:val="20"/>
          <w:szCs w:val="20"/>
          <w:lang w:val="fr-FR" w:eastAsia="fr-FR"/>
        </w:rPr>
        <w:br w:type="page"/>
      </w:r>
    </w:p>
    <w:p w:rsidR="006573BB" w:rsidRPr="00B6647E" w:rsidRDefault="007A4D44" w:rsidP="00AA3FAC">
      <w:pPr>
        <w:spacing w:before="120" w:after="120" w:line="240" w:lineRule="auto"/>
        <w:rPr>
          <w:rFonts w:ascii="Arial" w:hAnsi="Arial" w:cs="Arial"/>
          <w:b/>
          <w:sz w:val="20"/>
          <w:szCs w:val="20"/>
          <w:lang w:val="fr-FR" w:eastAsia="fr-FR"/>
        </w:rPr>
      </w:pPr>
      <w:r>
        <w:rPr>
          <w:rFonts w:ascii="Arial" w:hAnsi="Arial" w:cs="Arial"/>
          <w:b/>
          <w:sz w:val="20"/>
          <w:szCs w:val="20"/>
          <w:lang w:val="fr-FR" w:eastAsia="fr-FR"/>
        </w:rPr>
        <w:lastRenderedPageBreak/>
        <w:t>Tableau 14</w:t>
      </w:r>
      <w:r w:rsidR="00AA3FAC" w:rsidRPr="00B6647E">
        <w:rPr>
          <w:rFonts w:ascii="Arial" w:hAnsi="Arial" w:cs="Arial"/>
          <w:b/>
          <w:sz w:val="20"/>
          <w:szCs w:val="20"/>
          <w:lang w:val="fr-FR" w:eastAsia="fr-FR"/>
        </w:rPr>
        <w:t xml:space="preserve">4 : </w:t>
      </w:r>
      <w:r w:rsidR="006573BB" w:rsidRPr="00B6647E">
        <w:rPr>
          <w:rFonts w:ascii="Arial" w:hAnsi="Arial" w:cs="Arial"/>
          <w:b/>
          <w:sz w:val="20"/>
          <w:szCs w:val="20"/>
          <w:lang w:val="fr-FR" w:eastAsia="fr-FR"/>
        </w:rPr>
        <w:t>Production totale de banane à cuire par région et par saison</w:t>
      </w:r>
    </w:p>
    <w:p w:rsidR="006573BB" w:rsidRPr="00B6647E" w:rsidRDefault="00CC75C9" w:rsidP="00917163">
      <w:pPr>
        <w:spacing w:line="240" w:lineRule="auto"/>
        <w:rPr>
          <w:lang w:val="fr-FR" w:eastAsia="fr-FR"/>
        </w:rPr>
      </w:pPr>
      <w:r w:rsidRPr="00B6647E">
        <w:rPr>
          <w:noProof/>
          <w:lang w:val="fr-FR" w:eastAsia="fr-FR"/>
        </w:rPr>
        <w:drawing>
          <wp:inline distT="0" distB="0" distL="0" distR="0">
            <wp:extent cx="4191000" cy="2914650"/>
            <wp:effectExtent l="19050" t="0" r="0" b="0"/>
            <wp:docPr id="6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1" cstate="print"/>
                    <a:srcRect/>
                    <a:stretch>
                      <a:fillRect/>
                    </a:stretch>
                  </pic:blipFill>
                  <pic:spPr bwMode="auto">
                    <a:xfrm>
                      <a:off x="0" y="0"/>
                      <a:ext cx="4191000" cy="2914650"/>
                    </a:xfrm>
                    <a:prstGeom prst="rect">
                      <a:avLst/>
                    </a:prstGeom>
                    <a:noFill/>
                    <a:ln w="9525">
                      <a:noFill/>
                      <a:miter lim="800000"/>
                      <a:headEnd/>
                      <a:tailEnd/>
                    </a:ln>
                  </pic:spPr>
                </pic:pic>
              </a:graphicData>
            </a:graphic>
          </wp:inline>
        </w:drawing>
      </w:r>
    </w:p>
    <w:p w:rsidR="00322976" w:rsidRPr="00B6647E" w:rsidRDefault="00153A7A" w:rsidP="00917163">
      <w:pPr>
        <w:spacing w:line="240" w:lineRule="auto"/>
        <w:jc w:val="both"/>
        <w:rPr>
          <w:rFonts w:ascii="Arial" w:hAnsi="Arial" w:cs="Arial"/>
          <w:sz w:val="20"/>
          <w:szCs w:val="20"/>
        </w:rPr>
      </w:pPr>
      <w:r w:rsidRPr="00B6647E">
        <w:rPr>
          <w:rFonts w:ascii="Arial" w:hAnsi="Arial" w:cs="Arial"/>
          <w:sz w:val="20"/>
          <w:szCs w:val="20"/>
        </w:rPr>
        <w:t xml:space="preserve">La production totale de banane à fruit qui est estimée à 79.604 tonnes représente 6,7% de la production totale de banane de la campagne agricole concernée. Cette production a été principalement produite au cours de la saison A (35.680 tonnes, soit 44,8%) et de la saison B (33.506 tonnes, soit 42,1%). La saison C a produit </w:t>
      </w:r>
      <w:r w:rsidR="00FC3795" w:rsidRPr="00B6647E">
        <w:rPr>
          <w:rFonts w:ascii="Arial" w:hAnsi="Arial" w:cs="Arial"/>
          <w:sz w:val="20"/>
          <w:szCs w:val="20"/>
        </w:rPr>
        <w:t xml:space="preserve">10.419 </w:t>
      </w:r>
      <w:r w:rsidRPr="00B6647E">
        <w:rPr>
          <w:rFonts w:ascii="Arial" w:hAnsi="Arial" w:cs="Arial"/>
          <w:sz w:val="20"/>
          <w:szCs w:val="20"/>
        </w:rPr>
        <w:t>tonne</w:t>
      </w:r>
      <w:r w:rsidR="00FC3795" w:rsidRPr="00B6647E">
        <w:rPr>
          <w:rFonts w:ascii="Arial" w:hAnsi="Arial" w:cs="Arial"/>
          <w:sz w:val="20"/>
          <w:szCs w:val="20"/>
        </w:rPr>
        <w:t>s</w:t>
      </w:r>
      <w:r w:rsidRPr="00B6647E">
        <w:rPr>
          <w:rFonts w:ascii="Arial" w:hAnsi="Arial" w:cs="Arial"/>
          <w:sz w:val="20"/>
          <w:szCs w:val="20"/>
        </w:rPr>
        <w:t xml:space="preserve"> (</w:t>
      </w:r>
      <w:r w:rsidR="00FC3795" w:rsidRPr="00B6647E">
        <w:rPr>
          <w:rFonts w:ascii="Arial" w:hAnsi="Arial" w:cs="Arial"/>
          <w:sz w:val="20"/>
          <w:szCs w:val="20"/>
        </w:rPr>
        <w:t>13,1</w:t>
      </w:r>
      <w:r w:rsidRPr="00B6647E">
        <w:rPr>
          <w:rFonts w:ascii="Arial" w:hAnsi="Arial" w:cs="Arial"/>
          <w:sz w:val="20"/>
          <w:szCs w:val="20"/>
        </w:rPr>
        <w:t xml:space="preserve">%). </w:t>
      </w:r>
    </w:p>
    <w:p w:rsidR="006573BB" w:rsidRPr="00B6647E" w:rsidRDefault="007A4D44" w:rsidP="00AA3FAC">
      <w:pPr>
        <w:spacing w:before="120" w:after="120" w:line="240" w:lineRule="auto"/>
        <w:rPr>
          <w:rFonts w:ascii="Arial" w:hAnsi="Arial" w:cs="Arial"/>
          <w:b/>
          <w:sz w:val="20"/>
          <w:szCs w:val="20"/>
          <w:lang w:val="fr-FR" w:eastAsia="fr-FR"/>
        </w:rPr>
      </w:pPr>
      <w:r>
        <w:rPr>
          <w:rFonts w:ascii="Arial" w:hAnsi="Arial" w:cs="Arial"/>
          <w:b/>
          <w:sz w:val="20"/>
          <w:szCs w:val="20"/>
          <w:lang w:val="fr-FR" w:eastAsia="fr-FR"/>
        </w:rPr>
        <w:t>Tableau 14</w:t>
      </w:r>
      <w:r w:rsidR="00AA3FAC" w:rsidRPr="00B6647E">
        <w:rPr>
          <w:rFonts w:ascii="Arial" w:hAnsi="Arial" w:cs="Arial"/>
          <w:b/>
          <w:sz w:val="20"/>
          <w:szCs w:val="20"/>
          <w:lang w:val="fr-FR" w:eastAsia="fr-FR"/>
        </w:rPr>
        <w:t xml:space="preserve">5 : </w:t>
      </w:r>
      <w:r w:rsidR="006573BB" w:rsidRPr="00B6647E">
        <w:rPr>
          <w:rFonts w:ascii="Arial" w:hAnsi="Arial" w:cs="Arial"/>
          <w:b/>
          <w:sz w:val="20"/>
          <w:szCs w:val="20"/>
          <w:lang w:val="fr-FR" w:eastAsia="fr-FR"/>
        </w:rPr>
        <w:t>Production totale de banane à fruit par région et par saison</w:t>
      </w:r>
    </w:p>
    <w:p w:rsidR="006573BB" w:rsidRPr="00B6647E" w:rsidRDefault="00CC75C9" w:rsidP="00917163">
      <w:pPr>
        <w:spacing w:line="240" w:lineRule="auto"/>
        <w:rPr>
          <w:lang w:val="fr-FR" w:eastAsia="fr-FR"/>
        </w:rPr>
      </w:pPr>
      <w:r w:rsidRPr="00B6647E">
        <w:rPr>
          <w:noProof/>
          <w:lang w:val="fr-FR" w:eastAsia="fr-FR"/>
        </w:rPr>
        <w:drawing>
          <wp:inline distT="0" distB="0" distL="0" distR="0">
            <wp:extent cx="4191000" cy="2914650"/>
            <wp:effectExtent l="19050" t="0" r="0" b="0"/>
            <wp:docPr id="6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2" cstate="print"/>
                    <a:srcRect/>
                    <a:stretch>
                      <a:fillRect/>
                    </a:stretch>
                  </pic:blipFill>
                  <pic:spPr bwMode="auto">
                    <a:xfrm>
                      <a:off x="0" y="0"/>
                      <a:ext cx="4191000" cy="2914650"/>
                    </a:xfrm>
                    <a:prstGeom prst="rect">
                      <a:avLst/>
                    </a:prstGeom>
                    <a:noFill/>
                    <a:ln w="9525">
                      <a:noFill/>
                      <a:miter lim="800000"/>
                      <a:headEnd/>
                      <a:tailEnd/>
                    </a:ln>
                  </pic:spPr>
                </pic:pic>
              </a:graphicData>
            </a:graphic>
          </wp:inline>
        </w:drawing>
      </w:r>
    </w:p>
    <w:p w:rsidR="003E58AD" w:rsidRPr="00B6647E" w:rsidRDefault="003E58AD" w:rsidP="003E58AD">
      <w:pPr>
        <w:spacing w:line="240" w:lineRule="auto"/>
        <w:jc w:val="both"/>
        <w:rPr>
          <w:rFonts w:ascii="Arial" w:hAnsi="Arial" w:cs="Arial"/>
          <w:sz w:val="20"/>
          <w:szCs w:val="20"/>
        </w:rPr>
      </w:pPr>
      <w:r w:rsidRPr="00B6647E">
        <w:rPr>
          <w:rFonts w:ascii="Arial" w:hAnsi="Arial" w:cs="Arial"/>
          <w:sz w:val="20"/>
          <w:szCs w:val="20"/>
        </w:rPr>
        <w:t>La région de l’Imbo a produit 34.122 tonnes de banane à fruit, soit 42,9% de la production totale des trois saisons. Les trois régions qui viennent après sont : Mumirwa (17.236 tonnes, soit 21,7%), Buyogoma (8.668 tonnes, soit 10,9%) et Buyenzi (8.380 tonnes, soit 10,5%). Buragane a eu une production de banane à fruit très faible (38 tonnes).</w:t>
      </w:r>
    </w:p>
    <w:p w:rsidR="006573BB" w:rsidRPr="00B6647E" w:rsidRDefault="00E6557F" w:rsidP="00F822C8">
      <w:pPr>
        <w:spacing w:before="200" w:after="120" w:line="240" w:lineRule="auto"/>
        <w:rPr>
          <w:rFonts w:ascii="Arial" w:hAnsi="Arial" w:cs="Arial"/>
          <w:b/>
          <w:sz w:val="20"/>
          <w:szCs w:val="20"/>
          <w:lang w:val="fr-FR" w:eastAsia="fr-FR"/>
        </w:rPr>
      </w:pPr>
      <w:r w:rsidRPr="00B6647E">
        <w:rPr>
          <w:rFonts w:ascii="Arial" w:hAnsi="Arial" w:cs="Arial"/>
          <w:b/>
          <w:sz w:val="20"/>
          <w:szCs w:val="20"/>
          <w:lang w:val="fr-FR" w:eastAsia="fr-FR"/>
        </w:rPr>
        <w:t xml:space="preserve">b) </w:t>
      </w:r>
      <w:r w:rsidR="006573BB" w:rsidRPr="00B6647E">
        <w:rPr>
          <w:rFonts w:ascii="Arial" w:hAnsi="Arial" w:cs="Arial"/>
          <w:b/>
          <w:sz w:val="20"/>
          <w:szCs w:val="20"/>
          <w:lang w:val="fr-FR" w:eastAsia="fr-FR"/>
        </w:rPr>
        <w:t>Production totale de banane par province et par saison</w:t>
      </w:r>
    </w:p>
    <w:p w:rsidR="00EC2BF9" w:rsidRPr="00B6647E" w:rsidRDefault="00EC2BF9" w:rsidP="00917163">
      <w:pPr>
        <w:spacing w:line="240" w:lineRule="auto"/>
        <w:jc w:val="both"/>
        <w:rPr>
          <w:rFonts w:ascii="Arial" w:hAnsi="Arial" w:cs="Arial"/>
          <w:sz w:val="20"/>
          <w:szCs w:val="20"/>
          <w:lang w:eastAsia="fr-FR"/>
        </w:rPr>
      </w:pPr>
      <w:r w:rsidRPr="00B6647E">
        <w:rPr>
          <w:rFonts w:ascii="Arial" w:hAnsi="Arial" w:cs="Arial"/>
          <w:sz w:val="20"/>
          <w:szCs w:val="20"/>
          <w:lang w:eastAsia="fr-FR"/>
        </w:rPr>
        <w:t>La production totale de banane (à bière, à cuire et à fruit) pendant la campagne agricole 2011-2012 est estimée à 1.184.075 tonnes composées de 143.332 tonnes de la saison A (12,1%), 619.898 tonnes de la saison B (52,4%) et 420.845 tonnes produites au cours de la saison C (35,5%).</w:t>
      </w:r>
    </w:p>
    <w:p w:rsidR="00EC2BF9" w:rsidRPr="00B6647E" w:rsidRDefault="00EC2BF9" w:rsidP="00917163">
      <w:pPr>
        <w:spacing w:line="240" w:lineRule="auto"/>
        <w:jc w:val="both"/>
        <w:rPr>
          <w:rFonts w:ascii="Arial" w:hAnsi="Arial" w:cs="Arial"/>
          <w:sz w:val="20"/>
          <w:szCs w:val="20"/>
          <w:lang w:eastAsia="fr-FR"/>
        </w:rPr>
      </w:pPr>
      <w:r w:rsidRPr="00B6647E">
        <w:rPr>
          <w:rFonts w:ascii="Arial" w:hAnsi="Arial" w:cs="Arial"/>
          <w:sz w:val="20"/>
          <w:szCs w:val="20"/>
          <w:lang w:eastAsia="fr-FR"/>
        </w:rPr>
        <w:lastRenderedPageBreak/>
        <w:t>Cette production est constituée de 840.038 tonnes de banane à bière (71%), de 264.433 tonnes de banane à cuire (22,3%) et de 79.604 tonnes de banane à fruit (6,7%).</w:t>
      </w:r>
    </w:p>
    <w:p w:rsidR="00950C10" w:rsidRPr="00B6647E" w:rsidRDefault="00EC2BF9" w:rsidP="00917163">
      <w:pPr>
        <w:spacing w:line="240" w:lineRule="auto"/>
        <w:jc w:val="both"/>
        <w:rPr>
          <w:rFonts w:ascii="Arial" w:hAnsi="Arial" w:cs="Arial"/>
          <w:sz w:val="20"/>
          <w:szCs w:val="20"/>
          <w:lang w:eastAsia="fr-FR"/>
        </w:rPr>
      </w:pPr>
      <w:r w:rsidRPr="00B6647E">
        <w:rPr>
          <w:rFonts w:ascii="Arial" w:hAnsi="Arial" w:cs="Arial"/>
          <w:sz w:val="20"/>
          <w:szCs w:val="20"/>
          <w:lang w:eastAsia="fr-FR"/>
        </w:rPr>
        <w:t>Les plus grandes provinces productrices de banane (à bière, à cuire et à fruit) au cours de la campagne agricole 2011-2012 sont dans l’ordre : Karuzi (171.105 tonnes, soit 14,5% de l’ensemble de la banane), Kirundo (144.963 tonnes, soit 12,2%), Muyinga (139.651 tonnes, soit 11,8%), Cibitoke (92.103 tonnes, soit 7,8%), Ngozi (88.880 tonnes, soit 7,5%).</w:t>
      </w:r>
    </w:p>
    <w:p w:rsidR="00AA3FAC" w:rsidRPr="00B6647E" w:rsidRDefault="007A4D44" w:rsidP="00AA3FAC">
      <w:pPr>
        <w:spacing w:before="120" w:after="120" w:line="240" w:lineRule="auto"/>
        <w:rPr>
          <w:rFonts w:ascii="Arial" w:hAnsi="Arial" w:cs="Arial"/>
          <w:b/>
          <w:sz w:val="20"/>
          <w:szCs w:val="20"/>
          <w:lang w:val="fr-FR" w:eastAsia="fr-FR"/>
        </w:rPr>
      </w:pPr>
      <w:r>
        <w:rPr>
          <w:rFonts w:ascii="Arial" w:hAnsi="Arial" w:cs="Arial"/>
          <w:b/>
          <w:sz w:val="20"/>
          <w:szCs w:val="20"/>
          <w:lang w:val="fr-FR" w:eastAsia="fr-FR"/>
        </w:rPr>
        <w:t>Tableau 14</w:t>
      </w:r>
      <w:r w:rsidR="00AA3FAC" w:rsidRPr="00B6647E">
        <w:rPr>
          <w:rFonts w:ascii="Arial" w:hAnsi="Arial" w:cs="Arial"/>
          <w:b/>
          <w:sz w:val="20"/>
          <w:szCs w:val="20"/>
          <w:lang w:val="fr-FR" w:eastAsia="fr-FR"/>
        </w:rPr>
        <w:t>6 : Production totale de banane par province et par saison</w:t>
      </w:r>
    </w:p>
    <w:p w:rsidR="006573BB" w:rsidRPr="00B6647E" w:rsidRDefault="00CC75C9" w:rsidP="00917163">
      <w:pPr>
        <w:spacing w:line="240" w:lineRule="auto"/>
        <w:rPr>
          <w:lang w:val="fr-FR" w:eastAsia="fr-FR"/>
        </w:rPr>
      </w:pPr>
      <w:r w:rsidRPr="00B6647E">
        <w:rPr>
          <w:noProof/>
          <w:lang w:val="fr-FR" w:eastAsia="fr-FR"/>
        </w:rPr>
        <w:drawing>
          <wp:inline distT="0" distB="0" distL="0" distR="0">
            <wp:extent cx="4191000" cy="3867150"/>
            <wp:effectExtent l="19050" t="0" r="0" b="0"/>
            <wp:docPr id="6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3" cstate="print"/>
                    <a:srcRect/>
                    <a:stretch>
                      <a:fillRect/>
                    </a:stretch>
                  </pic:blipFill>
                  <pic:spPr bwMode="auto">
                    <a:xfrm>
                      <a:off x="0" y="0"/>
                      <a:ext cx="4191000" cy="3867150"/>
                    </a:xfrm>
                    <a:prstGeom prst="rect">
                      <a:avLst/>
                    </a:prstGeom>
                    <a:noFill/>
                    <a:ln w="9525">
                      <a:noFill/>
                      <a:miter lim="800000"/>
                      <a:headEnd/>
                      <a:tailEnd/>
                    </a:ln>
                  </pic:spPr>
                </pic:pic>
              </a:graphicData>
            </a:graphic>
          </wp:inline>
        </w:drawing>
      </w:r>
    </w:p>
    <w:p w:rsidR="00B00366" w:rsidRPr="00B6647E" w:rsidRDefault="00701513" w:rsidP="00917163">
      <w:pPr>
        <w:spacing w:line="240" w:lineRule="auto"/>
        <w:jc w:val="both"/>
        <w:rPr>
          <w:rFonts w:ascii="Arial" w:hAnsi="Arial" w:cs="Arial"/>
          <w:sz w:val="20"/>
          <w:szCs w:val="20"/>
          <w:lang w:eastAsia="fr-FR"/>
        </w:rPr>
      </w:pPr>
      <w:r w:rsidRPr="00B6647E">
        <w:rPr>
          <w:rFonts w:ascii="Arial" w:hAnsi="Arial" w:cs="Arial"/>
          <w:sz w:val="20"/>
          <w:szCs w:val="20"/>
          <w:lang w:eastAsia="fr-FR"/>
        </w:rPr>
        <w:t>La production totale de banane à bière été estimée à 840.038 tonnes, soit 71% de la production totale de banane. La saison B a produit 396.507 tonnes de banane à bière, soit 47,2% de la production totale et 33,5% de toute la banane</w:t>
      </w:r>
      <w:r w:rsidR="00B00366" w:rsidRPr="00B6647E">
        <w:rPr>
          <w:rFonts w:ascii="Arial" w:hAnsi="Arial" w:cs="Arial"/>
          <w:sz w:val="20"/>
          <w:szCs w:val="20"/>
          <w:lang w:eastAsia="fr-FR"/>
        </w:rPr>
        <w:t xml:space="preserve"> (à bière, à cuire et à fruit).</w:t>
      </w:r>
    </w:p>
    <w:p w:rsidR="00701513" w:rsidRPr="00B6647E" w:rsidRDefault="00701513" w:rsidP="00917163">
      <w:pPr>
        <w:spacing w:line="240" w:lineRule="auto"/>
        <w:jc w:val="both"/>
        <w:rPr>
          <w:rFonts w:ascii="Arial" w:hAnsi="Arial" w:cs="Arial"/>
          <w:sz w:val="20"/>
          <w:szCs w:val="20"/>
          <w:lang w:eastAsia="fr-FR"/>
        </w:rPr>
      </w:pPr>
      <w:r w:rsidRPr="00B6647E">
        <w:rPr>
          <w:rFonts w:ascii="Arial" w:hAnsi="Arial" w:cs="Arial"/>
          <w:sz w:val="20"/>
          <w:szCs w:val="20"/>
          <w:lang w:eastAsia="fr-FR"/>
        </w:rPr>
        <w:t>En saison C, cette production est estimée à 349.342 tonnes correspondant 41,6% de la production totale de la banane à bière et de 29,5% de l’ensemble de la banane. La production de cette culture enregistrée au cours de la saison A est de 94.190 tonnes (11,2% du total de la banane à bière et de 8% de l’ensemble de la banane).</w:t>
      </w:r>
    </w:p>
    <w:p w:rsidR="00701513" w:rsidRPr="00B6647E" w:rsidRDefault="00701513" w:rsidP="00917163">
      <w:pPr>
        <w:spacing w:line="240" w:lineRule="auto"/>
        <w:jc w:val="both"/>
        <w:rPr>
          <w:rFonts w:ascii="Arial" w:hAnsi="Arial" w:cs="Arial"/>
          <w:sz w:val="20"/>
          <w:szCs w:val="20"/>
          <w:lang w:eastAsia="fr-FR"/>
        </w:rPr>
      </w:pPr>
      <w:r w:rsidRPr="00B6647E">
        <w:rPr>
          <w:rFonts w:ascii="Arial" w:hAnsi="Arial" w:cs="Arial"/>
          <w:sz w:val="20"/>
          <w:szCs w:val="20"/>
          <w:lang w:eastAsia="fr-FR"/>
        </w:rPr>
        <w:t>Les productions les plus élevées de banane de la banane à bière ont été estimées dans les provinces de Karuzi (130.866 tonnes, soit 15,6% de la production totale de cette culture), de Kirundo (100.286 tonnes, soit 11,9%), Muyinga (</w:t>
      </w:r>
      <w:r w:rsidR="001E0B18" w:rsidRPr="00B6647E">
        <w:rPr>
          <w:rFonts w:ascii="Arial" w:hAnsi="Arial" w:cs="Arial"/>
          <w:sz w:val="20"/>
          <w:szCs w:val="20"/>
          <w:lang w:eastAsia="fr-FR"/>
        </w:rPr>
        <w:t>78.143 tonnes, soit 9,3%), Cibitoke (72.040 tonnes, soit 8,6%), Ngozi (68.175 tonnes, soit 8,1%).</w:t>
      </w:r>
    </w:p>
    <w:p w:rsidR="003E58AD" w:rsidRPr="00B6647E" w:rsidRDefault="003E58AD" w:rsidP="00AA3FAC">
      <w:pPr>
        <w:spacing w:before="120" w:after="120" w:line="240" w:lineRule="auto"/>
        <w:rPr>
          <w:rFonts w:ascii="Arial" w:hAnsi="Arial" w:cs="Arial"/>
          <w:b/>
          <w:sz w:val="20"/>
          <w:szCs w:val="20"/>
          <w:lang w:val="fr-FR" w:eastAsia="fr-FR"/>
        </w:rPr>
      </w:pPr>
    </w:p>
    <w:p w:rsidR="00B00366" w:rsidRPr="00B6647E" w:rsidRDefault="00B00366">
      <w:pPr>
        <w:rPr>
          <w:rFonts w:ascii="Arial" w:hAnsi="Arial" w:cs="Arial"/>
          <w:b/>
          <w:sz w:val="20"/>
          <w:szCs w:val="20"/>
          <w:lang w:val="fr-FR" w:eastAsia="fr-FR"/>
        </w:rPr>
      </w:pPr>
      <w:r w:rsidRPr="00B6647E">
        <w:rPr>
          <w:rFonts w:ascii="Arial" w:hAnsi="Arial" w:cs="Arial"/>
          <w:b/>
          <w:sz w:val="20"/>
          <w:szCs w:val="20"/>
          <w:lang w:val="fr-FR" w:eastAsia="fr-FR"/>
        </w:rPr>
        <w:br w:type="page"/>
      </w:r>
    </w:p>
    <w:p w:rsidR="006573BB" w:rsidRPr="00B6647E" w:rsidRDefault="001C637F" w:rsidP="003E58AD">
      <w:pPr>
        <w:spacing w:after="0" w:line="240" w:lineRule="auto"/>
        <w:rPr>
          <w:rFonts w:ascii="Arial" w:hAnsi="Arial" w:cs="Arial"/>
          <w:b/>
          <w:sz w:val="20"/>
          <w:szCs w:val="20"/>
          <w:lang w:val="fr-FR" w:eastAsia="fr-FR"/>
        </w:rPr>
      </w:pPr>
      <w:r w:rsidRPr="00B6647E">
        <w:rPr>
          <w:rFonts w:ascii="Arial" w:hAnsi="Arial" w:cs="Arial"/>
          <w:b/>
          <w:sz w:val="20"/>
          <w:szCs w:val="20"/>
          <w:lang w:val="fr-FR" w:eastAsia="fr-FR"/>
        </w:rPr>
        <w:lastRenderedPageBreak/>
        <w:t xml:space="preserve">Tableau </w:t>
      </w:r>
      <w:r w:rsidR="007A4D44">
        <w:rPr>
          <w:rFonts w:ascii="Arial" w:hAnsi="Arial" w:cs="Arial"/>
          <w:b/>
          <w:sz w:val="20"/>
          <w:szCs w:val="20"/>
          <w:lang w:val="fr-FR" w:eastAsia="fr-FR"/>
        </w:rPr>
        <w:t>14</w:t>
      </w:r>
      <w:r w:rsidR="00AA3FAC" w:rsidRPr="00B6647E">
        <w:rPr>
          <w:rFonts w:ascii="Arial" w:hAnsi="Arial" w:cs="Arial"/>
          <w:b/>
          <w:sz w:val="20"/>
          <w:szCs w:val="20"/>
          <w:lang w:val="fr-FR" w:eastAsia="fr-FR"/>
        </w:rPr>
        <w:t>7 :</w:t>
      </w:r>
      <w:r w:rsidRPr="00B6647E">
        <w:rPr>
          <w:rFonts w:ascii="Arial" w:hAnsi="Arial" w:cs="Arial"/>
          <w:b/>
          <w:sz w:val="20"/>
          <w:szCs w:val="20"/>
          <w:lang w:val="fr-FR" w:eastAsia="fr-FR"/>
        </w:rPr>
        <w:t xml:space="preserve"> </w:t>
      </w:r>
      <w:r w:rsidR="006573BB" w:rsidRPr="00B6647E">
        <w:rPr>
          <w:rFonts w:ascii="Arial" w:hAnsi="Arial" w:cs="Arial"/>
          <w:b/>
          <w:sz w:val="20"/>
          <w:szCs w:val="20"/>
          <w:lang w:val="fr-FR" w:eastAsia="fr-FR"/>
        </w:rPr>
        <w:t>Production totale de banane à bière par province et par saison</w:t>
      </w:r>
    </w:p>
    <w:p w:rsidR="006573BB" w:rsidRPr="00B6647E" w:rsidRDefault="00CC75C9" w:rsidP="003E58AD">
      <w:pPr>
        <w:spacing w:after="0" w:line="240" w:lineRule="auto"/>
        <w:rPr>
          <w:lang w:val="fr-FR" w:eastAsia="fr-FR"/>
        </w:rPr>
      </w:pPr>
      <w:r w:rsidRPr="00B6647E">
        <w:rPr>
          <w:noProof/>
          <w:lang w:val="fr-FR" w:eastAsia="fr-FR"/>
        </w:rPr>
        <w:drawing>
          <wp:inline distT="0" distB="0" distL="0" distR="0">
            <wp:extent cx="4191000" cy="3867150"/>
            <wp:effectExtent l="19050" t="0" r="0" b="0"/>
            <wp:docPr id="6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4" cstate="print"/>
                    <a:srcRect/>
                    <a:stretch>
                      <a:fillRect/>
                    </a:stretch>
                  </pic:blipFill>
                  <pic:spPr bwMode="auto">
                    <a:xfrm>
                      <a:off x="0" y="0"/>
                      <a:ext cx="4191000" cy="3867150"/>
                    </a:xfrm>
                    <a:prstGeom prst="rect">
                      <a:avLst/>
                    </a:prstGeom>
                    <a:noFill/>
                    <a:ln w="9525">
                      <a:noFill/>
                      <a:miter lim="800000"/>
                      <a:headEnd/>
                      <a:tailEnd/>
                    </a:ln>
                  </pic:spPr>
                </pic:pic>
              </a:graphicData>
            </a:graphic>
          </wp:inline>
        </w:drawing>
      </w:r>
    </w:p>
    <w:p w:rsidR="003E58AD" w:rsidRPr="00B6647E" w:rsidRDefault="001E0B18" w:rsidP="003E58AD">
      <w:pPr>
        <w:spacing w:after="0" w:line="240" w:lineRule="auto"/>
        <w:jc w:val="both"/>
        <w:rPr>
          <w:rFonts w:ascii="Arial" w:hAnsi="Arial" w:cs="Arial"/>
          <w:sz w:val="20"/>
          <w:szCs w:val="20"/>
          <w:lang w:eastAsia="fr-FR"/>
        </w:rPr>
      </w:pPr>
      <w:r w:rsidRPr="00B6647E">
        <w:rPr>
          <w:rFonts w:ascii="Arial" w:hAnsi="Arial" w:cs="Arial"/>
          <w:sz w:val="20"/>
          <w:szCs w:val="20"/>
          <w:lang w:eastAsia="fr-FR"/>
        </w:rPr>
        <w:t xml:space="preserve">La production totale de banane à cuire (264.433 tonnes) représente 23,3% de la production totale de banane totale de la campagne agricole 2011-2012. </w:t>
      </w:r>
    </w:p>
    <w:p w:rsidR="003E58AD" w:rsidRPr="00B6647E" w:rsidRDefault="003E58AD" w:rsidP="003E58AD">
      <w:pPr>
        <w:spacing w:after="0" w:line="240" w:lineRule="auto"/>
        <w:jc w:val="both"/>
        <w:rPr>
          <w:rFonts w:ascii="Arial" w:hAnsi="Arial" w:cs="Arial"/>
          <w:sz w:val="20"/>
          <w:szCs w:val="20"/>
          <w:lang w:eastAsia="fr-FR"/>
        </w:rPr>
      </w:pPr>
    </w:p>
    <w:p w:rsidR="006573BB" w:rsidRPr="00B6647E" w:rsidRDefault="001C637F" w:rsidP="00AA3FAC">
      <w:pPr>
        <w:spacing w:before="120" w:after="120" w:line="240" w:lineRule="auto"/>
        <w:rPr>
          <w:rFonts w:ascii="Arial" w:hAnsi="Arial" w:cs="Arial"/>
          <w:b/>
          <w:sz w:val="20"/>
          <w:szCs w:val="20"/>
          <w:lang w:val="fr-FR" w:eastAsia="fr-FR"/>
        </w:rPr>
      </w:pPr>
      <w:r w:rsidRPr="00B6647E">
        <w:rPr>
          <w:rFonts w:ascii="Arial" w:hAnsi="Arial" w:cs="Arial"/>
          <w:b/>
          <w:sz w:val="20"/>
          <w:szCs w:val="20"/>
          <w:lang w:val="fr-FR" w:eastAsia="fr-FR"/>
        </w:rPr>
        <w:t xml:space="preserve">Tableau </w:t>
      </w:r>
      <w:r w:rsidR="007A4D44">
        <w:rPr>
          <w:rFonts w:ascii="Arial" w:hAnsi="Arial" w:cs="Arial"/>
          <w:b/>
          <w:sz w:val="20"/>
          <w:szCs w:val="20"/>
          <w:lang w:val="fr-FR" w:eastAsia="fr-FR"/>
        </w:rPr>
        <w:t>14</w:t>
      </w:r>
      <w:r w:rsidR="00AA3FAC" w:rsidRPr="00B6647E">
        <w:rPr>
          <w:rFonts w:ascii="Arial" w:hAnsi="Arial" w:cs="Arial"/>
          <w:b/>
          <w:sz w:val="20"/>
          <w:szCs w:val="20"/>
          <w:lang w:val="fr-FR" w:eastAsia="fr-FR"/>
        </w:rPr>
        <w:t>8</w:t>
      </w:r>
      <w:r w:rsidRPr="00B6647E">
        <w:rPr>
          <w:rFonts w:ascii="Arial" w:hAnsi="Arial" w:cs="Arial"/>
          <w:b/>
          <w:sz w:val="20"/>
          <w:szCs w:val="20"/>
          <w:lang w:val="fr-FR" w:eastAsia="fr-FR"/>
        </w:rPr>
        <w:t xml:space="preserve"> : </w:t>
      </w:r>
      <w:r w:rsidR="006573BB" w:rsidRPr="00B6647E">
        <w:rPr>
          <w:rFonts w:ascii="Arial" w:hAnsi="Arial" w:cs="Arial"/>
          <w:b/>
          <w:sz w:val="20"/>
          <w:szCs w:val="20"/>
          <w:lang w:val="fr-FR" w:eastAsia="fr-FR"/>
        </w:rPr>
        <w:t>Production totale de banane à cuire par province et par saison</w:t>
      </w:r>
    </w:p>
    <w:p w:rsidR="006573BB" w:rsidRPr="00B6647E" w:rsidRDefault="00CC75C9" w:rsidP="00917163">
      <w:pPr>
        <w:spacing w:line="240" w:lineRule="auto"/>
        <w:rPr>
          <w:lang w:val="fr-FR" w:eastAsia="fr-FR"/>
        </w:rPr>
      </w:pPr>
      <w:r w:rsidRPr="00B6647E">
        <w:rPr>
          <w:noProof/>
          <w:lang w:val="fr-FR" w:eastAsia="fr-FR"/>
        </w:rPr>
        <w:drawing>
          <wp:inline distT="0" distB="0" distL="0" distR="0">
            <wp:extent cx="4191000" cy="3867150"/>
            <wp:effectExtent l="19050" t="0" r="0" b="0"/>
            <wp:docPr id="7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5" cstate="print"/>
                    <a:srcRect/>
                    <a:stretch>
                      <a:fillRect/>
                    </a:stretch>
                  </pic:blipFill>
                  <pic:spPr bwMode="auto">
                    <a:xfrm>
                      <a:off x="0" y="0"/>
                      <a:ext cx="4191000" cy="3867150"/>
                    </a:xfrm>
                    <a:prstGeom prst="rect">
                      <a:avLst/>
                    </a:prstGeom>
                    <a:noFill/>
                    <a:ln w="9525">
                      <a:noFill/>
                      <a:miter lim="800000"/>
                      <a:headEnd/>
                      <a:tailEnd/>
                    </a:ln>
                  </pic:spPr>
                </pic:pic>
              </a:graphicData>
            </a:graphic>
          </wp:inline>
        </w:drawing>
      </w:r>
    </w:p>
    <w:p w:rsidR="003E58AD" w:rsidRPr="00B6647E" w:rsidRDefault="003E58AD" w:rsidP="00C8534E">
      <w:pPr>
        <w:spacing w:line="240" w:lineRule="auto"/>
        <w:jc w:val="both"/>
        <w:rPr>
          <w:rFonts w:ascii="Arial" w:hAnsi="Arial" w:cs="Arial"/>
          <w:sz w:val="20"/>
          <w:szCs w:val="20"/>
        </w:rPr>
      </w:pPr>
      <w:r w:rsidRPr="00B6647E">
        <w:rPr>
          <w:rFonts w:ascii="Arial" w:hAnsi="Arial" w:cs="Arial"/>
          <w:sz w:val="20"/>
          <w:szCs w:val="20"/>
        </w:rPr>
        <w:lastRenderedPageBreak/>
        <w:t>La production de cette culture a été estimée à 189.885 tonnes au cours de la saison B, soit 71,8% de sa production totale de toute la campagne agricole 2011-2012, à 61.084 tonnes (23,1%) en saison C et à 13.463 tonnes (5,1%) pendant la saison A.</w:t>
      </w:r>
    </w:p>
    <w:p w:rsidR="003E58AD" w:rsidRPr="00B6647E" w:rsidRDefault="003E58AD" w:rsidP="00C8534E">
      <w:pPr>
        <w:spacing w:line="240" w:lineRule="auto"/>
        <w:jc w:val="both"/>
        <w:rPr>
          <w:rFonts w:ascii="Arial" w:hAnsi="Arial" w:cs="Arial"/>
          <w:sz w:val="20"/>
          <w:szCs w:val="20"/>
        </w:rPr>
      </w:pPr>
      <w:r w:rsidRPr="00B6647E">
        <w:rPr>
          <w:rFonts w:ascii="Arial" w:hAnsi="Arial" w:cs="Arial"/>
          <w:sz w:val="20"/>
          <w:szCs w:val="20"/>
        </w:rPr>
        <w:t>Sur la production totale de la banane à cuire, la province de Muyinga a produit 60.451 tonnes (22,9%), Kirundo en a récolté 41.198 tonnes (15,6%). On a estimé à 25.993 tonnes (9,8%) la production de Karuzi, à 22.411 tonnes (11,5%) dans Cankuzo, à 18.311 tonnes  (6,9%) dans Gitega et à 18.061 tonnes (6,8%) dans Cibitoke et à 16.900 tonnes (6,4%) celle de Ngozi.</w:t>
      </w:r>
    </w:p>
    <w:p w:rsidR="00322976" w:rsidRPr="00B6647E" w:rsidRDefault="00322976" w:rsidP="00917163">
      <w:pPr>
        <w:spacing w:line="240" w:lineRule="auto"/>
        <w:jc w:val="both"/>
        <w:rPr>
          <w:rFonts w:ascii="Arial" w:hAnsi="Arial" w:cs="Arial"/>
          <w:sz w:val="20"/>
          <w:szCs w:val="20"/>
        </w:rPr>
      </w:pPr>
      <w:r w:rsidRPr="00B6647E">
        <w:rPr>
          <w:rFonts w:ascii="Arial" w:hAnsi="Arial" w:cs="Arial"/>
          <w:sz w:val="20"/>
          <w:szCs w:val="20"/>
        </w:rPr>
        <w:t xml:space="preserve">La production totale de banane à fruit qui est estimée à 79.604 tonnes représente 6,7% de la production totale de banane de la campagne agricole concernée. Cette production a été principalement produite au cours de la saison A (35.680 tonnes, soit 44,8%) et de la saison B (33.506 tonnes, soit 42,1%). La saison C a produit 10.419 tonnes (13,1%). </w:t>
      </w:r>
    </w:p>
    <w:p w:rsidR="00322976" w:rsidRPr="00B6647E" w:rsidRDefault="00322976" w:rsidP="00917163">
      <w:pPr>
        <w:spacing w:line="240" w:lineRule="auto"/>
        <w:jc w:val="both"/>
        <w:rPr>
          <w:rFonts w:ascii="Arial" w:hAnsi="Arial" w:cs="Arial"/>
          <w:sz w:val="20"/>
          <w:szCs w:val="20"/>
          <w:lang w:eastAsia="fr-FR"/>
        </w:rPr>
      </w:pPr>
      <w:r w:rsidRPr="00B6647E">
        <w:rPr>
          <w:rFonts w:ascii="Arial" w:hAnsi="Arial" w:cs="Arial"/>
          <w:sz w:val="20"/>
          <w:szCs w:val="20"/>
          <w:lang w:eastAsia="fr-FR"/>
        </w:rPr>
        <w:t xml:space="preserve">Les productions les plus élevées de banane à </w:t>
      </w:r>
      <w:r w:rsidR="004C619D" w:rsidRPr="00B6647E">
        <w:rPr>
          <w:rFonts w:ascii="Arial" w:hAnsi="Arial" w:cs="Arial"/>
          <w:sz w:val="20"/>
          <w:szCs w:val="20"/>
          <w:lang w:eastAsia="fr-FR"/>
        </w:rPr>
        <w:t>fruit</w:t>
      </w:r>
      <w:r w:rsidRPr="00B6647E">
        <w:rPr>
          <w:rFonts w:ascii="Arial" w:hAnsi="Arial" w:cs="Arial"/>
          <w:sz w:val="20"/>
          <w:szCs w:val="20"/>
          <w:lang w:eastAsia="fr-FR"/>
        </w:rPr>
        <w:t xml:space="preserve"> ont été estimées dans les provinces de </w:t>
      </w:r>
      <w:r w:rsidR="004C619D" w:rsidRPr="00B6647E">
        <w:rPr>
          <w:rFonts w:ascii="Arial" w:hAnsi="Arial" w:cs="Arial"/>
          <w:sz w:val="20"/>
          <w:szCs w:val="20"/>
          <w:lang w:eastAsia="fr-FR"/>
        </w:rPr>
        <w:t>Cankuzo</w:t>
      </w:r>
      <w:r w:rsidRPr="00B6647E">
        <w:rPr>
          <w:rFonts w:ascii="Arial" w:hAnsi="Arial" w:cs="Arial"/>
          <w:sz w:val="20"/>
          <w:szCs w:val="20"/>
          <w:lang w:eastAsia="fr-FR"/>
        </w:rPr>
        <w:t xml:space="preserve"> (</w:t>
      </w:r>
      <w:r w:rsidR="004C619D" w:rsidRPr="00B6647E">
        <w:rPr>
          <w:rFonts w:ascii="Arial" w:hAnsi="Arial" w:cs="Arial"/>
          <w:sz w:val="20"/>
          <w:szCs w:val="20"/>
          <w:lang w:eastAsia="fr-FR"/>
        </w:rPr>
        <w:t>14</w:t>
      </w:r>
      <w:r w:rsidRPr="00B6647E">
        <w:rPr>
          <w:rFonts w:ascii="Arial" w:hAnsi="Arial" w:cs="Arial"/>
          <w:sz w:val="20"/>
          <w:szCs w:val="20"/>
          <w:lang w:eastAsia="fr-FR"/>
        </w:rPr>
        <w:t>.</w:t>
      </w:r>
      <w:r w:rsidR="004C619D" w:rsidRPr="00B6647E">
        <w:rPr>
          <w:rFonts w:ascii="Arial" w:hAnsi="Arial" w:cs="Arial"/>
          <w:sz w:val="20"/>
          <w:szCs w:val="20"/>
          <w:lang w:eastAsia="fr-FR"/>
        </w:rPr>
        <w:t>497</w:t>
      </w:r>
      <w:r w:rsidRPr="00B6647E">
        <w:rPr>
          <w:rFonts w:ascii="Arial" w:hAnsi="Arial" w:cs="Arial"/>
          <w:sz w:val="20"/>
          <w:szCs w:val="20"/>
          <w:lang w:eastAsia="fr-FR"/>
        </w:rPr>
        <w:t xml:space="preserve"> tonnes, soit </w:t>
      </w:r>
      <w:r w:rsidR="004C619D" w:rsidRPr="00B6647E">
        <w:rPr>
          <w:rFonts w:ascii="Arial" w:hAnsi="Arial" w:cs="Arial"/>
          <w:sz w:val="20"/>
          <w:szCs w:val="20"/>
          <w:lang w:eastAsia="fr-FR"/>
        </w:rPr>
        <w:t>18,2</w:t>
      </w:r>
      <w:r w:rsidRPr="00B6647E">
        <w:rPr>
          <w:rFonts w:ascii="Arial" w:hAnsi="Arial" w:cs="Arial"/>
          <w:sz w:val="20"/>
          <w:szCs w:val="20"/>
          <w:lang w:eastAsia="fr-FR"/>
        </w:rPr>
        <w:t>%</w:t>
      </w:r>
      <w:r w:rsidR="004C619D" w:rsidRPr="00B6647E">
        <w:rPr>
          <w:rFonts w:ascii="Arial" w:hAnsi="Arial" w:cs="Arial"/>
          <w:sz w:val="20"/>
          <w:szCs w:val="20"/>
          <w:lang w:eastAsia="fr-FR"/>
        </w:rPr>
        <w:t xml:space="preserve"> de la production totale de banane à fruit des trois saisons</w:t>
      </w:r>
      <w:r w:rsidRPr="00B6647E">
        <w:rPr>
          <w:rFonts w:ascii="Arial" w:hAnsi="Arial" w:cs="Arial"/>
          <w:sz w:val="20"/>
          <w:szCs w:val="20"/>
          <w:lang w:eastAsia="fr-FR"/>
        </w:rPr>
        <w:t xml:space="preserve">), de </w:t>
      </w:r>
      <w:r w:rsidR="004C619D" w:rsidRPr="00B6647E">
        <w:rPr>
          <w:rFonts w:ascii="Arial" w:hAnsi="Arial" w:cs="Arial"/>
          <w:sz w:val="20"/>
          <w:szCs w:val="20"/>
          <w:lang w:eastAsia="fr-FR"/>
        </w:rPr>
        <w:t>Karuzi</w:t>
      </w:r>
      <w:r w:rsidRPr="00B6647E">
        <w:rPr>
          <w:rFonts w:ascii="Arial" w:hAnsi="Arial" w:cs="Arial"/>
          <w:sz w:val="20"/>
          <w:szCs w:val="20"/>
          <w:lang w:eastAsia="fr-FR"/>
        </w:rPr>
        <w:t xml:space="preserve"> (</w:t>
      </w:r>
      <w:r w:rsidR="004C619D" w:rsidRPr="00B6647E">
        <w:rPr>
          <w:rFonts w:ascii="Arial" w:hAnsi="Arial" w:cs="Arial"/>
          <w:sz w:val="20"/>
          <w:szCs w:val="20"/>
          <w:lang w:eastAsia="fr-FR"/>
        </w:rPr>
        <w:t>14.246</w:t>
      </w:r>
      <w:r w:rsidRPr="00B6647E">
        <w:rPr>
          <w:rFonts w:ascii="Arial" w:hAnsi="Arial" w:cs="Arial"/>
          <w:sz w:val="20"/>
          <w:szCs w:val="20"/>
          <w:lang w:eastAsia="fr-FR"/>
        </w:rPr>
        <w:t xml:space="preserve"> tonnes, soit </w:t>
      </w:r>
      <w:r w:rsidR="004C619D" w:rsidRPr="00B6647E">
        <w:rPr>
          <w:rFonts w:ascii="Arial" w:hAnsi="Arial" w:cs="Arial"/>
          <w:sz w:val="20"/>
          <w:szCs w:val="20"/>
          <w:lang w:eastAsia="fr-FR"/>
        </w:rPr>
        <w:t>17</w:t>
      </w:r>
      <w:r w:rsidRPr="00B6647E">
        <w:rPr>
          <w:rFonts w:ascii="Arial" w:hAnsi="Arial" w:cs="Arial"/>
          <w:sz w:val="20"/>
          <w:szCs w:val="20"/>
          <w:lang w:eastAsia="fr-FR"/>
        </w:rPr>
        <w:t>,</w:t>
      </w:r>
      <w:r w:rsidR="004C619D" w:rsidRPr="00B6647E">
        <w:rPr>
          <w:rFonts w:ascii="Arial" w:hAnsi="Arial" w:cs="Arial"/>
          <w:sz w:val="20"/>
          <w:szCs w:val="20"/>
          <w:lang w:eastAsia="fr-FR"/>
        </w:rPr>
        <w:t>9</w:t>
      </w:r>
      <w:r w:rsidRPr="00B6647E">
        <w:rPr>
          <w:rFonts w:ascii="Arial" w:hAnsi="Arial" w:cs="Arial"/>
          <w:sz w:val="20"/>
          <w:szCs w:val="20"/>
          <w:lang w:eastAsia="fr-FR"/>
        </w:rPr>
        <w:t xml:space="preserve">%), </w:t>
      </w:r>
      <w:r w:rsidR="004C619D" w:rsidRPr="00B6647E">
        <w:rPr>
          <w:rFonts w:ascii="Arial" w:hAnsi="Arial" w:cs="Arial"/>
          <w:sz w:val="20"/>
          <w:szCs w:val="20"/>
          <w:lang w:eastAsia="fr-FR"/>
        </w:rPr>
        <w:t>Bururi</w:t>
      </w:r>
      <w:r w:rsidRPr="00B6647E">
        <w:rPr>
          <w:rFonts w:ascii="Arial" w:hAnsi="Arial" w:cs="Arial"/>
          <w:sz w:val="20"/>
          <w:szCs w:val="20"/>
          <w:lang w:eastAsia="fr-FR"/>
        </w:rPr>
        <w:t xml:space="preserve"> (</w:t>
      </w:r>
      <w:r w:rsidR="004C619D" w:rsidRPr="00B6647E">
        <w:rPr>
          <w:rFonts w:ascii="Arial" w:hAnsi="Arial" w:cs="Arial"/>
          <w:sz w:val="20"/>
          <w:szCs w:val="20"/>
          <w:lang w:eastAsia="fr-FR"/>
        </w:rPr>
        <w:t>12</w:t>
      </w:r>
      <w:r w:rsidRPr="00B6647E">
        <w:rPr>
          <w:rFonts w:ascii="Arial" w:hAnsi="Arial" w:cs="Arial"/>
          <w:sz w:val="20"/>
          <w:szCs w:val="20"/>
          <w:lang w:eastAsia="fr-FR"/>
        </w:rPr>
        <w:t>.</w:t>
      </w:r>
      <w:r w:rsidR="004C619D" w:rsidRPr="00B6647E">
        <w:rPr>
          <w:rFonts w:ascii="Arial" w:hAnsi="Arial" w:cs="Arial"/>
          <w:sz w:val="20"/>
          <w:szCs w:val="20"/>
          <w:lang w:eastAsia="fr-FR"/>
        </w:rPr>
        <w:t>372</w:t>
      </w:r>
      <w:r w:rsidRPr="00B6647E">
        <w:rPr>
          <w:rFonts w:ascii="Arial" w:hAnsi="Arial" w:cs="Arial"/>
          <w:sz w:val="20"/>
          <w:szCs w:val="20"/>
          <w:lang w:eastAsia="fr-FR"/>
        </w:rPr>
        <w:t xml:space="preserve"> tonnes, soit 1</w:t>
      </w:r>
      <w:r w:rsidR="004C619D" w:rsidRPr="00B6647E">
        <w:rPr>
          <w:rFonts w:ascii="Arial" w:hAnsi="Arial" w:cs="Arial"/>
          <w:sz w:val="20"/>
          <w:szCs w:val="20"/>
          <w:lang w:eastAsia="fr-FR"/>
        </w:rPr>
        <w:t>5,5</w:t>
      </w:r>
      <w:r w:rsidRPr="00B6647E">
        <w:rPr>
          <w:rFonts w:ascii="Arial" w:hAnsi="Arial" w:cs="Arial"/>
          <w:sz w:val="20"/>
          <w:szCs w:val="20"/>
          <w:lang w:eastAsia="fr-FR"/>
        </w:rPr>
        <w:t xml:space="preserve">%), </w:t>
      </w:r>
      <w:r w:rsidR="004C619D" w:rsidRPr="00B6647E">
        <w:rPr>
          <w:rFonts w:ascii="Arial" w:hAnsi="Arial" w:cs="Arial"/>
          <w:sz w:val="20"/>
          <w:szCs w:val="20"/>
          <w:lang w:eastAsia="fr-FR"/>
        </w:rPr>
        <w:t>Gitega</w:t>
      </w:r>
      <w:r w:rsidRPr="00B6647E">
        <w:rPr>
          <w:rFonts w:ascii="Arial" w:hAnsi="Arial" w:cs="Arial"/>
          <w:sz w:val="20"/>
          <w:szCs w:val="20"/>
          <w:lang w:eastAsia="fr-FR"/>
        </w:rPr>
        <w:t xml:space="preserve"> (</w:t>
      </w:r>
      <w:r w:rsidR="004C619D" w:rsidRPr="00B6647E">
        <w:rPr>
          <w:rFonts w:ascii="Arial" w:hAnsi="Arial" w:cs="Arial"/>
          <w:sz w:val="20"/>
          <w:szCs w:val="20"/>
          <w:lang w:eastAsia="fr-FR"/>
        </w:rPr>
        <w:t>11.785</w:t>
      </w:r>
      <w:r w:rsidRPr="00B6647E">
        <w:rPr>
          <w:rFonts w:ascii="Arial" w:hAnsi="Arial" w:cs="Arial"/>
          <w:sz w:val="20"/>
          <w:szCs w:val="20"/>
          <w:lang w:eastAsia="fr-FR"/>
        </w:rPr>
        <w:t xml:space="preserve"> tonnes, soit 1</w:t>
      </w:r>
      <w:r w:rsidR="004C619D" w:rsidRPr="00B6647E">
        <w:rPr>
          <w:rFonts w:ascii="Arial" w:hAnsi="Arial" w:cs="Arial"/>
          <w:sz w:val="20"/>
          <w:szCs w:val="20"/>
          <w:lang w:eastAsia="fr-FR"/>
        </w:rPr>
        <w:t>4,8</w:t>
      </w:r>
      <w:r w:rsidRPr="00B6647E">
        <w:rPr>
          <w:rFonts w:ascii="Arial" w:hAnsi="Arial" w:cs="Arial"/>
          <w:sz w:val="20"/>
          <w:szCs w:val="20"/>
          <w:lang w:eastAsia="fr-FR"/>
        </w:rPr>
        <w:t xml:space="preserve">%). </w:t>
      </w:r>
      <w:r w:rsidR="000C47D5" w:rsidRPr="00B6647E">
        <w:rPr>
          <w:rFonts w:ascii="Arial" w:hAnsi="Arial" w:cs="Arial"/>
          <w:sz w:val="20"/>
          <w:szCs w:val="20"/>
          <w:lang w:eastAsia="fr-FR"/>
        </w:rPr>
        <w:t>On a estimé à moins de 650 tonnes la production de banane à fruit dans l</w:t>
      </w:r>
      <w:r w:rsidR="004C619D" w:rsidRPr="00B6647E">
        <w:rPr>
          <w:rFonts w:ascii="Arial" w:hAnsi="Arial" w:cs="Arial"/>
          <w:sz w:val="20"/>
          <w:szCs w:val="20"/>
          <w:lang w:eastAsia="fr-FR"/>
        </w:rPr>
        <w:t xml:space="preserve">es provinces de Kayanza (631 tonnes), Muramvya (150 tonnes), Mwaro (375 tonnes), Ruyigi (296 tonnes) et </w:t>
      </w:r>
      <w:r w:rsidR="000C47D5" w:rsidRPr="00B6647E">
        <w:rPr>
          <w:rFonts w:ascii="Arial" w:hAnsi="Arial" w:cs="Arial"/>
          <w:sz w:val="20"/>
          <w:szCs w:val="20"/>
          <w:lang w:eastAsia="fr-FR"/>
        </w:rPr>
        <w:t>Rutana (23 tonnes).</w:t>
      </w:r>
    </w:p>
    <w:p w:rsidR="006573BB" w:rsidRPr="00B6647E" w:rsidRDefault="001C637F" w:rsidP="00AA3FAC">
      <w:pPr>
        <w:spacing w:before="120" w:after="120" w:line="240" w:lineRule="auto"/>
        <w:rPr>
          <w:rFonts w:ascii="Arial" w:hAnsi="Arial" w:cs="Arial"/>
          <w:b/>
          <w:sz w:val="20"/>
          <w:szCs w:val="20"/>
          <w:lang w:val="fr-FR" w:eastAsia="fr-FR"/>
        </w:rPr>
      </w:pPr>
      <w:r w:rsidRPr="00B6647E">
        <w:rPr>
          <w:rFonts w:ascii="Arial" w:hAnsi="Arial" w:cs="Arial"/>
          <w:b/>
          <w:sz w:val="20"/>
          <w:szCs w:val="20"/>
          <w:lang w:val="fr-FR" w:eastAsia="fr-FR"/>
        </w:rPr>
        <w:t xml:space="preserve">Tableau </w:t>
      </w:r>
      <w:r w:rsidR="007A4D44">
        <w:rPr>
          <w:rFonts w:ascii="Arial" w:hAnsi="Arial" w:cs="Arial"/>
          <w:b/>
          <w:sz w:val="20"/>
          <w:szCs w:val="20"/>
          <w:lang w:val="fr-FR" w:eastAsia="fr-FR"/>
        </w:rPr>
        <w:t>14</w:t>
      </w:r>
      <w:r w:rsidR="00AA3FAC" w:rsidRPr="00B6647E">
        <w:rPr>
          <w:rFonts w:ascii="Arial" w:hAnsi="Arial" w:cs="Arial"/>
          <w:b/>
          <w:sz w:val="20"/>
          <w:szCs w:val="20"/>
          <w:lang w:val="fr-FR" w:eastAsia="fr-FR"/>
        </w:rPr>
        <w:t>9</w:t>
      </w:r>
      <w:r w:rsidRPr="00B6647E">
        <w:rPr>
          <w:rFonts w:ascii="Arial" w:hAnsi="Arial" w:cs="Arial"/>
          <w:b/>
          <w:sz w:val="20"/>
          <w:szCs w:val="20"/>
          <w:lang w:val="fr-FR" w:eastAsia="fr-FR"/>
        </w:rPr>
        <w:t xml:space="preserve"> : </w:t>
      </w:r>
      <w:r w:rsidR="006573BB" w:rsidRPr="00B6647E">
        <w:rPr>
          <w:rFonts w:ascii="Arial" w:hAnsi="Arial" w:cs="Arial"/>
          <w:b/>
          <w:sz w:val="20"/>
          <w:szCs w:val="20"/>
          <w:lang w:val="fr-FR" w:eastAsia="fr-FR"/>
        </w:rPr>
        <w:t>Production totale de banane à fruit par province et par saison</w:t>
      </w:r>
    </w:p>
    <w:p w:rsidR="006573BB" w:rsidRPr="00B6647E" w:rsidRDefault="00CC75C9" w:rsidP="00917163">
      <w:pPr>
        <w:spacing w:line="240" w:lineRule="auto"/>
        <w:rPr>
          <w:rFonts w:ascii="Arial" w:hAnsi="Arial" w:cs="Arial"/>
          <w:sz w:val="20"/>
          <w:szCs w:val="20"/>
          <w:lang w:eastAsia="fr-FR"/>
        </w:rPr>
      </w:pPr>
      <w:r w:rsidRPr="00B6647E">
        <w:rPr>
          <w:noProof/>
          <w:szCs w:val="20"/>
          <w:lang w:val="fr-FR" w:eastAsia="fr-FR"/>
        </w:rPr>
        <w:drawing>
          <wp:inline distT="0" distB="0" distL="0" distR="0">
            <wp:extent cx="4191000" cy="3867150"/>
            <wp:effectExtent l="19050" t="0" r="0" b="0"/>
            <wp:docPr id="7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6" cstate="print"/>
                    <a:srcRect/>
                    <a:stretch>
                      <a:fillRect/>
                    </a:stretch>
                  </pic:blipFill>
                  <pic:spPr bwMode="auto">
                    <a:xfrm>
                      <a:off x="0" y="0"/>
                      <a:ext cx="4191000" cy="3867150"/>
                    </a:xfrm>
                    <a:prstGeom prst="rect">
                      <a:avLst/>
                    </a:prstGeom>
                    <a:noFill/>
                    <a:ln w="9525">
                      <a:noFill/>
                      <a:miter lim="800000"/>
                      <a:headEnd/>
                      <a:tailEnd/>
                    </a:ln>
                  </pic:spPr>
                </pic:pic>
              </a:graphicData>
            </a:graphic>
          </wp:inline>
        </w:drawing>
      </w:r>
    </w:p>
    <w:p w:rsidR="003E58AD" w:rsidRPr="00B6647E" w:rsidRDefault="003E58AD" w:rsidP="00917163">
      <w:pPr>
        <w:spacing w:line="240" w:lineRule="auto"/>
        <w:rPr>
          <w:rFonts w:ascii="Arial" w:hAnsi="Arial" w:cs="Arial"/>
          <w:b/>
          <w:sz w:val="20"/>
          <w:szCs w:val="20"/>
          <w:lang w:eastAsia="fr-FR"/>
        </w:rPr>
      </w:pPr>
    </w:p>
    <w:p w:rsidR="003E58AD" w:rsidRPr="00B6647E" w:rsidRDefault="003E58AD" w:rsidP="00917163">
      <w:pPr>
        <w:spacing w:line="240" w:lineRule="auto"/>
        <w:rPr>
          <w:rFonts w:ascii="Arial" w:hAnsi="Arial" w:cs="Arial"/>
          <w:b/>
          <w:sz w:val="20"/>
          <w:szCs w:val="20"/>
          <w:lang w:eastAsia="fr-FR"/>
        </w:rPr>
      </w:pPr>
    </w:p>
    <w:p w:rsidR="003E58AD" w:rsidRPr="00B6647E" w:rsidRDefault="003E58AD" w:rsidP="00917163">
      <w:pPr>
        <w:spacing w:line="240" w:lineRule="auto"/>
        <w:rPr>
          <w:rFonts w:ascii="Arial" w:hAnsi="Arial" w:cs="Arial"/>
          <w:b/>
          <w:sz w:val="20"/>
          <w:szCs w:val="20"/>
          <w:lang w:eastAsia="fr-FR"/>
        </w:rPr>
      </w:pPr>
    </w:p>
    <w:p w:rsidR="003E58AD" w:rsidRDefault="003E58AD" w:rsidP="00917163">
      <w:pPr>
        <w:spacing w:line="240" w:lineRule="auto"/>
        <w:rPr>
          <w:rFonts w:ascii="Arial" w:hAnsi="Arial" w:cs="Arial"/>
          <w:b/>
          <w:sz w:val="20"/>
          <w:szCs w:val="20"/>
          <w:lang w:eastAsia="fr-FR"/>
        </w:rPr>
      </w:pPr>
    </w:p>
    <w:p w:rsidR="00C8534E" w:rsidRPr="00B6647E" w:rsidRDefault="00C8534E" w:rsidP="00917163">
      <w:pPr>
        <w:spacing w:line="240" w:lineRule="auto"/>
        <w:rPr>
          <w:rFonts w:ascii="Arial" w:hAnsi="Arial" w:cs="Arial"/>
          <w:b/>
          <w:sz w:val="20"/>
          <w:szCs w:val="20"/>
          <w:lang w:eastAsia="fr-FR"/>
        </w:rPr>
      </w:pPr>
    </w:p>
    <w:p w:rsidR="003E58AD" w:rsidRPr="00B6647E" w:rsidRDefault="003E58AD" w:rsidP="00917163">
      <w:pPr>
        <w:spacing w:line="240" w:lineRule="auto"/>
        <w:rPr>
          <w:rFonts w:ascii="Arial" w:hAnsi="Arial" w:cs="Arial"/>
          <w:b/>
          <w:sz w:val="20"/>
          <w:szCs w:val="20"/>
          <w:lang w:eastAsia="fr-FR"/>
        </w:rPr>
      </w:pPr>
    </w:p>
    <w:p w:rsidR="00917163" w:rsidRPr="00B6647E" w:rsidRDefault="00917163" w:rsidP="00917163">
      <w:pPr>
        <w:spacing w:line="240" w:lineRule="auto"/>
        <w:rPr>
          <w:rFonts w:ascii="Arial" w:hAnsi="Arial" w:cs="Arial"/>
          <w:b/>
          <w:sz w:val="20"/>
          <w:szCs w:val="20"/>
          <w:lang w:eastAsia="fr-FR"/>
        </w:rPr>
      </w:pPr>
      <w:r w:rsidRPr="00B6647E">
        <w:rPr>
          <w:rFonts w:ascii="Arial" w:hAnsi="Arial" w:cs="Arial"/>
          <w:b/>
          <w:sz w:val="20"/>
          <w:szCs w:val="20"/>
          <w:lang w:eastAsia="fr-FR"/>
        </w:rPr>
        <w:lastRenderedPageBreak/>
        <w:t xml:space="preserve">Carte </w:t>
      </w:r>
      <w:r w:rsidR="00613D0F" w:rsidRPr="00B6647E">
        <w:rPr>
          <w:rFonts w:ascii="Arial" w:hAnsi="Arial" w:cs="Arial"/>
          <w:b/>
          <w:sz w:val="20"/>
          <w:szCs w:val="20"/>
          <w:lang w:eastAsia="fr-FR"/>
        </w:rPr>
        <w:t>12</w:t>
      </w:r>
      <w:r w:rsidRPr="00B6647E">
        <w:rPr>
          <w:rFonts w:ascii="Arial" w:hAnsi="Arial" w:cs="Arial"/>
          <w:b/>
          <w:sz w:val="20"/>
          <w:szCs w:val="20"/>
          <w:lang w:eastAsia="fr-FR"/>
        </w:rPr>
        <w:t> : Production totale de banane par province</w:t>
      </w:r>
    </w:p>
    <w:p w:rsidR="00917163" w:rsidRPr="00B6647E" w:rsidRDefault="000F786D" w:rsidP="00B00366">
      <w:pPr>
        <w:tabs>
          <w:tab w:val="left" w:pos="8910"/>
        </w:tabs>
        <w:rPr>
          <w:rFonts w:ascii="Arial" w:hAnsi="Arial" w:cs="Arial"/>
          <w:sz w:val="20"/>
          <w:szCs w:val="20"/>
          <w:lang w:eastAsia="fr-FR"/>
        </w:rPr>
      </w:pPr>
      <w:r w:rsidRPr="00B6647E">
        <w:rPr>
          <w:rFonts w:ascii="Arial" w:hAnsi="Arial" w:cs="Arial"/>
          <w:noProof/>
          <w:sz w:val="20"/>
          <w:szCs w:val="20"/>
          <w:lang w:val="fr-FR" w:eastAsia="fr-FR"/>
        </w:rPr>
        <w:drawing>
          <wp:inline distT="0" distB="0" distL="0" distR="0">
            <wp:extent cx="5670423" cy="3997701"/>
            <wp:effectExtent l="19050" t="0" r="6477" b="0"/>
            <wp:docPr id="36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7" cstate="print"/>
                    <a:srcRect l="5152" t="5399" r="5274" b="5399"/>
                    <a:stretch>
                      <a:fillRect/>
                    </a:stretch>
                  </pic:blipFill>
                  <pic:spPr bwMode="auto">
                    <a:xfrm>
                      <a:off x="0" y="0"/>
                      <a:ext cx="5677568" cy="4002738"/>
                    </a:xfrm>
                    <a:prstGeom prst="rect">
                      <a:avLst/>
                    </a:prstGeom>
                    <a:noFill/>
                    <a:ln w="9525">
                      <a:noFill/>
                      <a:miter lim="800000"/>
                      <a:headEnd/>
                      <a:tailEnd/>
                    </a:ln>
                  </pic:spPr>
                </pic:pic>
              </a:graphicData>
            </a:graphic>
          </wp:inline>
        </w:drawing>
      </w:r>
    </w:p>
    <w:p w:rsidR="00EC0C77" w:rsidRPr="00B6647E" w:rsidRDefault="00EC0C77">
      <w:pPr>
        <w:rPr>
          <w:rFonts w:ascii="Arial" w:eastAsia="Times New Roman" w:hAnsi="Arial" w:cs="Arial"/>
          <w:smallCaps/>
          <w:u w:val="dotDash"/>
          <w:lang w:val="fr-FR" w:eastAsia="fr-FR"/>
        </w:rPr>
      </w:pPr>
    </w:p>
    <w:p w:rsidR="001A3AEF" w:rsidRPr="00B6647E" w:rsidRDefault="000552AE" w:rsidP="00C84C4B">
      <w:pPr>
        <w:pStyle w:val="Titre2"/>
        <w:keepNext w:val="0"/>
        <w:numPr>
          <w:ilvl w:val="1"/>
          <w:numId w:val="1"/>
        </w:numPr>
        <w:spacing w:before="120" w:after="200"/>
        <w:ind w:left="0" w:firstLine="0"/>
        <w:rPr>
          <w:rFonts w:cs="Arial"/>
          <w:u w:val="dotDash"/>
        </w:rPr>
      </w:pPr>
      <w:bookmarkStart w:id="240" w:name="_Toc354313887"/>
      <w:r w:rsidRPr="00B6647E">
        <w:rPr>
          <w:rFonts w:cs="Arial"/>
          <w:u w:val="dotDash"/>
        </w:rPr>
        <w:t xml:space="preserve">Tubercules </w:t>
      </w:r>
      <w:r w:rsidR="007871E0" w:rsidRPr="00B6647E">
        <w:rPr>
          <w:rFonts w:cs="Arial"/>
          <w:u w:val="dotDash"/>
        </w:rPr>
        <w:t>et racines</w:t>
      </w:r>
      <w:bookmarkEnd w:id="240"/>
    </w:p>
    <w:p w:rsidR="000552AE" w:rsidRPr="00B6647E" w:rsidRDefault="000552AE" w:rsidP="00C84C4B">
      <w:pPr>
        <w:pStyle w:val="Titre3"/>
        <w:keepNext w:val="0"/>
        <w:numPr>
          <w:ilvl w:val="2"/>
          <w:numId w:val="1"/>
        </w:numPr>
        <w:spacing w:before="200" w:after="120"/>
        <w:ind w:left="0" w:firstLine="0"/>
        <w:rPr>
          <w:rFonts w:cs="Arial"/>
          <w:szCs w:val="20"/>
        </w:rPr>
      </w:pPr>
      <w:bookmarkStart w:id="241" w:name="_Toc354313888"/>
      <w:r w:rsidRPr="00B6647E">
        <w:rPr>
          <w:rFonts w:cs="Arial"/>
          <w:szCs w:val="20"/>
        </w:rPr>
        <w:t>Superficies</w:t>
      </w:r>
      <w:bookmarkEnd w:id="241"/>
    </w:p>
    <w:p w:rsidR="0081024E" w:rsidRPr="00B6647E" w:rsidRDefault="00746659" w:rsidP="005D3950">
      <w:pPr>
        <w:spacing w:line="240" w:lineRule="auto"/>
        <w:jc w:val="both"/>
        <w:rPr>
          <w:rFonts w:ascii="Arial" w:hAnsi="Arial" w:cs="Arial"/>
          <w:sz w:val="20"/>
          <w:szCs w:val="20"/>
        </w:rPr>
      </w:pPr>
      <w:r w:rsidRPr="00B6647E">
        <w:rPr>
          <w:rFonts w:ascii="Arial" w:hAnsi="Arial" w:cs="Arial"/>
          <w:sz w:val="20"/>
          <w:szCs w:val="20"/>
        </w:rPr>
        <w:t xml:space="preserve">La superficie totale en culture pure </w:t>
      </w:r>
      <w:r w:rsidR="00A420F5" w:rsidRPr="00B6647E">
        <w:rPr>
          <w:rFonts w:ascii="Arial" w:hAnsi="Arial" w:cs="Arial"/>
          <w:sz w:val="20"/>
          <w:szCs w:val="20"/>
        </w:rPr>
        <w:t>et principale</w:t>
      </w:r>
      <w:r w:rsidR="00A420F5" w:rsidRPr="00B6647E">
        <w:rPr>
          <w:rStyle w:val="Appelnotedebasdep"/>
          <w:rFonts w:ascii="Arial" w:hAnsi="Arial" w:cs="Arial"/>
          <w:sz w:val="20"/>
          <w:szCs w:val="20"/>
        </w:rPr>
        <w:footnoteReference w:id="38"/>
      </w:r>
      <w:r w:rsidR="00A420F5" w:rsidRPr="00B6647E">
        <w:rPr>
          <w:rFonts w:ascii="Arial" w:hAnsi="Arial" w:cs="Arial"/>
          <w:sz w:val="20"/>
          <w:szCs w:val="20"/>
        </w:rPr>
        <w:t xml:space="preserve"> </w:t>
      </w:r>
      <w:r w:rsidRPr="00B6647E">
        <w:rPr>
          <w:rFonts w:ascii="Arial" w:hAnsi="Arial" w:cs="Arial"/>
          <w:sz w:val="20"/>
          <w:szCs w:val="20"/>
        </w:rPr>
        <w:t xml:space="preserve">des tubercules et racines (manioc, amer, manioc doux, patate douce, pomme de terre, colocase et igname) de la campagne agricole 2011-2012 a été estimée à 427.554 ha. Elle est constituée de 118.822 ha en saison A, de 116.554 ha au cours de la saison B et 192.178 ha pendant la saison C. </w:t>
      </w:r>
    </w:p>
    <w:p w:rsidR="00746659" w:rsidRPr="00B6647E" w:rsidRDefault="00746659" w:rsidP="005D3950">
      <w:pPr>
        <w:spacing w:line="240" w:lineRule="auto"/>
        <w:jc w:val="both"/>
        <w:rPr>
          <w:rFonts w:ascii="Arial" w:hAnsi="Arial" w:cs="Arial"/>
          <w:sz w:val="20"/>
          <w:szCs w:val="20"/>
        </w:rPr>
      </w:pPr>
      <w:r w:rsidRPr="00B6647E">
        <w:rPr>
          <w:rFonts w:ascii="Arial" w:hAnsi="Arial" w:cs="Arial"/>
          <w:sz w:val="20"/>
          <w:szCs w:val="20"/>
        </w:rPr>
        <w:t>La supériorité de la superficie de la saison C par rapport aux deux autres saisons s’explique par le changement de rang du manioc dans les associations. En effet, les proportions de parcelles de manioc en culture pure sont de 8,2% en saison A, 10% pendant la saison B contre 21,5% au cours de la saison C</w:t>
      </w:r>
    </w:p>
    <w:p w:rsidR="00746659" w:rsidRPr="00B6647E" w:rsidRDefault="00746659" w:rsidP="005D3950">
      <w:pPr>
        <w:spacing w:line="240" w:lineRule="auto"/>
        <w:jc w:val="both"/>
        <w:rPr>
          <w:rFonts w:ascii="Arial" w:hAnsi="Arial" w:cs="Arial"/>
          <w:sz w:val="20"/>
          <w:szCs w:val="20"/>
        </w:rPr>
      </w:pPr>
      <w:r w:rsidRPr="00B6647E">
        <w:rPr>
          <w:rFonts w:ascii="Arial" w:hAnsi="Arial" w:cs="Arial"/>
          <w:sz w:val="20"/>
          <w:szCs w:val="20"/>
        </w:rPr>
        <w:t xml:space="preserve">La superficie totale de </w:t>
      </w:r>
      <w:r w:rsidR="00A420F5" w:rsidRPr="00B6647E">
        <w:rPr>
          <w:rFonts w:ascii="Arial" w:hAnsi="Arial" w:cs="Arial"/>
          <w:sz w:val="20"/>
          <w:szCs w:val="20"/>
        </w:rPr>
        <w:t xml:space="preserve">tubercules et racines </w:t>
      </w:r>
      <w:r w:rsidRPr="00B6647E">
        <w:rPr>
          <w:rFonts w:ascii="Arial" w:hAnsi="Arial" w:cs="Arial"/>
          <w:sz w:val="20"/>
          <w:szCs w:val="20"/>
        </w:rPr>
        <w:t xml:space="preserve">culture pure </w:t>
      </w:r>
      <w:r w:rsidR="00A420F5" w:rsidRPr="00B6647E">
        <w:rPr>
          <w:rFonts w:ascii="Arial" w:hAnsi="Arial" w:cs="Arial"/>
          <w:sz w:val="20"/>
          <w:szCs w:val="20"/>
        </w:rPr>
        <w:t xml:space="preserve">et principale </w:t>
      </w:r>
      <w:r w:rsidRPr="00B6647E">
        <w:rPr>
          <w:rFonts w:ascii="Arial" w:hAnsi="Arial" w:cs="Arial"/>
          <w:sz w:val="20"/>
          <w:szCs w:val="20"/>
        </w:rPr>
        <w:t xml:space="preserve">est </w:t>
      </w:r>
      <w:r w:rsidR="00A420F5" w:rsidRPr="00B6647E">
        <w:rPr>
          <w:rFonts w:ascii="Arial" w:hAnsi="Arial" w:cs="Arial"/>
          <w:sz w:val="20"/>
          <w:szCs w:val="20"/>
        </w:rPr>
        <w:t>compos</w:t>
      </w:r>
      <w:r w:rsidRPr="00B6647E">
        <w:rPr>
          <w:rFonts w:ascii="Arial" w:hAnsi="Arial" w:cs="Arial"/>
          <w:sz w:val="20"/>
          <w:szCs w:val="20"/>
        </w:rPr>
        <w:t xml:space="preserve">ée de </w:t>
      </w:r>
      <w:r w:rsidR="00A420F5" w:rsidRPr="00B6647E">
        <w:rPr>
          <w:rFonts w:ascii="Arial" w:hAnsi="Arial" w:cs="Arial"/>
          <w:sz w:val="20"/>
          <w:szCs w:val="20"/>
        </w:rPr>
        <w:t>264.048</w:t>
      </w:r>
      <w:r w:rsidRPr="00B6647E">
        <w:rPr>
          <w:rFonts w:ascii="Arial" w:hAnsi="Arial" w:cs="Arial"/>
          <w:sz w:val="20"/>
          <w:szCs w:val="20"/>
        </w:rPr>
        <w:t xml:space="preserve"> ha (</w:t>
      </w:r>
      <w:r w:rsidR="00A420F5" w:rsidRPr="00B6647E">
        <w:rPr>
          <w:rFonts w:ascii="Arial" w:hAnsi="Arial" w:cs="Arial"/>
          <w:sz w:val="20"/>
          <w:szCs w:val="20"/>
        </w:rPr>
        <w:t>61,8</w:t>
      </w:r>
      <w:r w:rsidRPr="00B6647E">
        <w:rPr>
          <w:rFonts w:ascii="Arial" w:hAnsi="Arial" w:cs="Arial"/>
          <w:sz w:val="20"/>
          <w:szCs w:val="20"/>
        </w:rPr>
        <w:t>%</w:t>
      </w:r>
      <w:r w:rsidR="00A420F5" w:rsidRPr="00B6647E">
        <w:rPr>
          <w:rFonts w:ascii="Arial" w:hAnsi="Arial" w:cs="Arial"/>
          <w:sz w:val="20"/>
          <w:szCs w:val="20"/>
        </w:rPr>
        <w:t xml:space="preserve"> de la superficie totale des tubercules et racines des trois saisons</w:t>
      </w:r>
      <w:r w:rsidRPr="00B6647E">
        <w:rPr>
          <w:rFonts w:ascii="Arial" w:hAnsi="Arial" w:cs="Arial"/>
          <w:sz w:val="20"/>
          <w:szCs w:val="20"/>
        </w:rPr>
        <w:t xml:space="preserve">) de </w:t>
      </w:r>
      <w:r w:rsidR="00A420F5" w:rsidRPr="00B6647E">
        <w:rPr>
          <w:rFonts w:ascii="Arial" w:hAnsi="Arial" w:cs="Arial"/>
          <w:sz w:val="20"/>
          <w:szCs w:val="20"/>
        </w:rPr>
        <w:t>manioc amer</w:t>
      </w:r>
      <w:r w:rsidRPr="00B6647E">
        <w:rPr>
          <w:rFonts w:ascii="Arial" w:hAnsi="Arial" w:cs="Arial"/>
          <w:sz w:val="20"/>
          <w:szCs w:val="20"/>
        </w:rPr>
        <w:t xml:space="preserve">, </w:t>
      </w:r>
      <w:r w:rsidR="00A420F5" w:rsidRPr="00B6647E">
        <w:rPr>
          <w:rFonts w:ascii="Arial" w:hAnsi="Arial" w:cs="Arial"/>
          <w:sz w:val="20"/>
          <w:szCs w:val="20"/>
        </w:rPr>
        <w:t>de 32.638</w:t>
      </w:r>
      <w:r w:rsidRPr="00B6647E">
        <w:rPr>
          <w:rFonts w:ascii="Arial" w:hAnsi="Arial" w:cs="Arial"/>
          <w:sz w:val="20"/>
          <w:szCs w:val="20"/>
        </w:rPr>
        <w:t xml:space="preserve"> ha (</w:t>
      </w:r>
      <w:r w:rsidR="00A420F5" w:rsidRPr="00B6647E">
        <w:rPr>
          <w:rFonts w:ascii="Arial" w:hAnsi="Arial" w:cs="Arial"/>
          <w:sz w:val="20"/>
          <w:szCs w:val="20"/>
        </w:rPr>
        <w:t>7</w:t>
      </w:r>
      <w:r w:rsidRPr="00B6647E">
        <w:rPr>
          <w:rFonts w:ascii="Arial" w:hAnsi="Arial" w:cs="Arial"/>
          <w:sz w:val="20"/>
          <w:szCs w:val="20"/>
        </w:rPr>
        <w:t xml:space="preserve">,4%) de </w:t>
      </w:r>
      <w:r w:rsidR="00A420F5" w:rsidRPr="00B6647E">
        <w:rPr>
          <w:rFonts w:ascii="Arial" w:hAnsi="Arial" w:cs="Arial"/>
          <w:sz w:val="20"/>
          <w:szCs w:val="20"/>
        </w:rPr>
        <w:t>manioc doux, de</w:t>
      </w:r>
      <w:r w:rsidRPr="00B6647E">
        <w:rPr>
          <w:rFonts w:ascii="Arial" w:hAnsi="Arial" w:cs="Arial"/>
          <w:sz w:val="20"/>
          <w:szCs w:val="20"/>
        </w:rPr>
        <w:t xml:space="preserve"> </w:t>
      </w:r>
      <w:r w:rsidR="00A420F5" w:rsidRPr="00B6647E">
        <w:rPr>
          <w:rFonts w:ascii="Arial" w:hAnsi="Arial" w:cs="Arial"/>
          <w:sz w:val="20"/>
          <w:szCs w:val="20"/>
        </w:rPr>
        <w:t>101.421 h</w:t>
      </w:r>
      <w:r w:rsidRPr="00B6647E">
        <w:rPr>
          <w:rFonts w:ascii="Arial" w:hAnsi="Arial" w:cs="Arial"/>
          <w:sz w:val="20"/>
          <w:szCs w:val="20"/>
        </w:rPr>
        <w:t>a (</w:t>
      </w:r>
      <w:r w:rsidR="00A420F5" w:rsidRPr="00B6647E">
        <w:rPr>
          <w:rFonts w:ascii="Arial" w:hAnsi="Arial" w:cs="Arial"/>
          <w:sz w:val="20"/>
          <w:szCs w:val="20"/>
        </w:rPr>
        <w:t>2</w:t>
      </w:r>
      <w:r w:rsidRPr="00B6647E">
        <w:rPr>
          <w:rFonts w:ascii="Arial" w:hAnsi="Arial" w:cs="Arial"/>
          <w:sz w:val="20"/>
          <w:szCs w:val="20"/>
        </w:rPr>
        <w:t>3,</w:t>
      </w:r>
      <w:r w:rsidR="00A420F5" w:rsidRPr="00B6647E">
        <w:rPr>
          <w:rFonts w:ascii="Arial" w:hAnsi="Arial" w:cs="Arial"/>
          <w:sz w:val="20"/>
          <w:szCs w:val="20"/>
        </w:rPr>
        <w:t>7%</w:t>
      </w:r>
      <w:r w:rsidRPr="00B6647E">
        <w:rPr>
          <w:rFonts w:ascii="Arial" w:hAnsi="Arial" w:cs="Arial"/>
          <w:sz w:val="20"/>
          <w:szCs w:val="20"/>
        </w:rPr>
        <w:t xml:space="preserve">) </w:t>
      </w:r>
      <w:r w:rsidR="00A420F5" w:rsidRPr="00B6647E">
        <w:rPr>
          <w:rFonts w:ascii="Arial" w:hAnsi="Arial" w:cs="Arial"/>
          <w:sz w:val="20"/>
          <w:szCs w:val="20"/>
        </w:rPr>
        <w:t>de patate douce, de 15.351 ha (3,6%) de pomme de terre, de 14.397 ha (3,4%) de colocase et 699 ha (0,2%) d’igname</w:t>
      </w:r>
      <w:r w:rsidRPr="00B6647E">
        <w:rPr>
          <w:rFonts w:ascii="Arial" w:hAnsi="Arial" w:cs="Arial"/>
          <w:sz w:val="20"/>
          <w:szCs w:val="20"/>
        </w:rPr>
        <w:t>.</w:t>
      </w:r>
    </w:p>
    <w:p w:rsidR="00CC0424" w:rsidRPr="00B6647E" w:rsidRDefault="002420B1" w:rsidP="00C84C4B">
      <w:pPr>
        <w:spacing w:before="200" w:after="120" w:line="240" w:lineRule="auto"/>
        <w:rPr>
          <w:rFonts w:ascii="Arial" w:hAnsi="Arial" w:cs="Arial"/>
          <w:b/>
          <w:sz w:val="20"/>
          <w:szCs w:val="20"/>
        </w:rPr>
      </w:pPr>
      <w:r w:rsidRPr="00B6647E">
        <w:rPr>
          <w:rFonts w:ascii="Arial" w:hAnsi="Arial" w:cs="Arial"/>
          <w:b/>
          <w:sz w:val="20"/>
          <w:szCs w:val="20"/>
        </w:rPr>
        <w:t xml:space="preserve">a) Superficie </w:t>
      </w:r>
      <w:r w:rsidR="00112D15">
        <w:rPr>
          <w:rFonts w:ascii="Arial" w:hAnsi="Arial" w:cs="Arial"/>
          <w:b/>
          <w:sz w:val="20"/>
          <w:szCs w:val="20"/>
        </w:rPr>
        <w:t xml:space="preserve">totale </w:t>
      </w:r>
      <w:r w:rsidRPr="00B6647E">
        <w:rPr>
          <w:rFonts w:ascii="Arial" w:hAnsi="Arial" w:cs="Arial"/>
          <w:b/>
          <w:sz w:val="20"/>
          <w:szCs w:val="20"/>
        </w:rPr>
        <w:t>en culture pure et principale de tubercules et racines par région</w:t>
      </w:r>
    </w:p>
    <w:p w:rsidR="0081024E" w:rsidRPr="00B6647E" w:rsidRDefault="0081024E" w:rsidP="0081024E">
      <w:pPr>
        <w:spacing w:line="240" w:lineRule="auto"/>
        <w:jc w:val="both"/>
        <w:rPr>
          <w:rFonts w:ascii="Arial" w:hAnsi="Arial" w:cs="Arial"/>
          <w:sz w:val="20"/>
          <w:szCs w:val="20"/>
        </w:rPr>
      </w:pPr>
      <w:r w:rsidRPr="00B6647E">
        <w:rPr>
          <w:rFonts w:ascii="Arial" w:hAnsi="Arial" w:cs="Arial"/>
          <w:sz w:val="20"/>
          <w:szCs w:val="20"/>
        </w:rPr>
        <w:t>Les plus grandes superficies de tubercules et racines en culture pure et principale ont été estimées dans les régions naturelles de Kirimiro (69.797 ha, soit 16,3%), Imbo (65.059 ha, soit 15,2%), Mumirwa (60.652 ha, soit 14,2%), Buyenzi (45.612 ha, soit 10,7%), Bugesera (44.180 ha, soit 10,8%). Seule la région naturelle de Bututsi (6.774 ha, soit 1,6%) a cultivé moins 7.000 ha de tubercules et racines en culture pure et principale.</w:t>
      </w:r>
    </w:p>
    <w:p w:rsidR="00CC0424" w:rsidRPr="00B6647E" w:rsidRDefault="00CC0424" w:rsidP="00AA3FAC">
      <w:pPr>
        <w:spacing w:before="120" w:after="120" w:line="240" w:lineRule="auto"/>
        <w:rPr>
          <w:rFonts w:ascii="Arial" w:hAnsi="Arial" w:cs="Arial"/>
          <w:b/>
          <w:sz w:val="20"/>
          <w:szCs w:val="20"/>
          <w:lang w:val="fr-FR" w:eastAsia="fr-FR"/>
        </w:rPr>
      </w:pPr>
      <w:r w:rsidRPr="00B6647E">
        <w:rPr>
          <w:rFonts w:ascii="Arial" w:hAnsi="Arial" w:cs="Arial"/>
          <w:b/>
          <w:sz w:val="20"/>
          <w:szCs w:val="20"/>
          <w:lang w:val="fr-FR" w:eastAsia="fr-FR"/>
        </w:rPr>
        <w:lastRenderedPageBreak/>
        <w:t xml:space="preserve">Tableau </w:t>
      </w:r>
      <w:r w:rsidR="007A4D44">
        <w:rPr>
          <w:rFonts w:ascii="Arial" w:hAnsi="Arial" w:cs="Arial"/>
          <w:b/>
          <w:sz w:val="20"/>
          <w:szCs w:val="20"/>
          <w:lang w:val="fr-FR" w:eastAsia="fr-FR"/>
        </w:rPr>
        <w:t>15</w:t>
      </w:r>
      <w:r w:rsidR="00AA3FAC" w:rsidRPr="00B6647E">
        <w:rPr>
          <w:rFonts w:ascii="Arial" w:hAnsi="Arial" w:cs="Arial"/>
          <w:b/>
          <w:sz w:val="20"/>
          <w:szCs w:val="20"/>
          <w:lang w:val="fr-FR" w:eastAsia="fr-FR"/>
        </w:rPr>
        <w:t>0 :</w:t>
      </w:r>
      <w:r w:rsidRPr="00B6647E">
        <w:rPr>
          <w:rFonts w:ascii="Arial" w:hAnsi="Arial" w:cs="Arial"/>
          <w:b/>
          <w:sz w:val="20"/>
          <w:szCs w:val="20"/>
          <w:lang w:val="fr-FR" w:eastAsia="fr-FR"/>
        </w:rPr>
        <w:t xml:space="preserve"> Superficie totale cultivée de tubercules par région pendant les trois saisons</w:t>
      </w:r>
    </w:p>
    <w:p w:rsidR="00CC0424" w:rsidRPr="00B6647E" w:rsidRDefault="001C6913" w:rsidP="005D3950">
      <w:pPr>
        <w:spacing w:line="240" w:lineRule="auto"/>
        <w:rPr>
          <w:lang w:eastAsia="fr-FR"/>
        </w:rPr>
      </w:pPr>
      <w:r w:rsidRPr="00B6647E">
        <w:rPr>
          <w:noProof/>
          <w:lang w:val="fr-FR" w:eastAsia="fr-FR"/>
        </w:rPr>
        <w:drawing>
          <wp:inline distT="0" distB="0" distL="0" distR="0">
            <wp:extent cx="4067175" cy="2914650"/>
            <wp:effectExtent l="19050" t="0" r="9525" b="0"/>
            <wp:docPr id="464"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8" cstate="print"/>
                    <a:srcRect/>
                    <a:stretch>
                      <a:fillRect/>
                    </a:stretch>
                  </pic:blipFill>
                  <pic:spPr bwMode="auto">
                    <a:xfrm>
                      <a:off x="0" y="0"/>
                      <a:ext cx="4067175" cy="2914650"/>
                    </a:xfrm>
                    <a:prstGeom prst="rect">
                      <a:avLst/>
                    </a:prstGeom>
                    <a:noFill/>
                    <a:ln w="9525">
                      <a:noFill/>
                      <a:miter lim="800000"/>
                      <a:headEnd/>
                      <a:tailEnd/>
                    </a:ln>
                  </pic:spPr>
                </pic:pic>
              </a:graphicData>
            </a:graphic>
          </wp:inline>
        </w:drawing>
      </w:r>
    </w:p>
    <w:p w:rsidR="00B00366" w:rsidRPr="00B6647E" w:rsidRDefault="00B00366" w:rsidP="00B00366">
      <w:pPr>
        <w:spacing w:line="240" w:lineRule="auto"/>
        <w:jc w:val="both"/>
        <w:rPr>
          <w:rFonts w:ascii="Arial" w:hAnsi="Arial" w:cs="Arial"/>
          <w:sz w:val="20"/>
          <w:szCs w:val="20"/>
        </w:rPr>
      </w:pPr>
      <w:r w:rsidRPr="00B6647E">
        <w:rPr>
          <w:rFonts w:ascii="Arial" w:hAnsi="Arial" w:cs="Arial"/>
          <w:sz w:val="20"/>
          <w:szCs w:val="20"/>
        </w:rPr>
        <w:t xml:space="preserve">La superficie totale des tubercules et racines cumulée au cours des trois saisons est constituées pour plus de deux </w:t>
      </w:r>
      <w:r w:rsidR="00112D15">
        <w:rPr>
          <w:rFonts w:ascii="Arial" w:hAnsi="Arial" w:cs="Arial"/>
          <w:sz w:val="20"/>
          <w:szCs w:val="20"/>
        </w:rPr>
        <w:t xml:space="preserve">tiers </w:t>
      </w:r>
      <w:r w:rsidRPr="00B6647E">
        <w:rPr>
          <w:rFonts w:ascii="Arial" w:hAnsi="Arial" w:cs="Arial"/>
          <w:sz w:val="20"/>
          <w:szCs w:val="20"/>
        </w:rPr>
        <w:t xml:space="preserve">de manioc (amer et doux) dont la superficie totale a été estimée à 295.686 ha, soit 69,2% de la superficie de l’ensemble des tubercules et racines. </w:t>
      </w:r>
    </w:p>
    <w:p w:rsidR="005E1A6F" w:rsidRPr="00B6647E" w:rsidRDefault="005E1A6F" w:rsidP="005D3950">
      <w:pPr>
        <w:spacing w:line="240" w:lineRule="auto"/>
        <w:rPr>
          <w:rFonts w:ascii="Arial" w:hAnsi="Arial" w:cs="Arial"/>
          <w:b/>
          <w:sz w:val="20"/>
          <w:szCs w:val="20"/>
          <w:lang w:val="fr-FR" w:eastAsia="fr-FR"/>
        </w:rPr>
      </w:pPr>
      <w:r w:rsidRPr="00B6647E">
        <w:rPr>
          <w:rFonts w:ascii="Arial" w:hAnsi="Arial" w:cs="Arial"/>
          <w:b/>
          <w:sz w:val="20"/>
          <w:szCs w:val="20"/>
          <w:lang w:val="fr-FR" w:eastAsia="fr-FR"/>
        </w:rPr>
        <w:t xml:space="preserve">Graphique </w:t>
      </w:r>
      <w:r w:rsidR="007F30DD">
        <w:rPr>
          <w:rFonts w:ascii="Arial" w:hAnsi="Arial" w:cs="Arial"/>
          <w:b/>
          <w:sz w:val="20"/>
          <w:szCs w:val="20"/>
          <w:lang w:val="fr-FR" w:eastAsia="fr-FR"/>
        </w:rPr>
        <w:t>20</w:t>
      </w:r>
      <w:r w:rsidR="00112D15">
        <w:rPr>
          <w:rFonts w:ascii="Arial" w:hAnsi="Arial" w:cs="Arial"/>
          <w:b/>
          <w:sz w:val="20"/>
          <w:szCs w:val="20"/>
          <w:lang w:val="fr-FR" w:eastAsia="fr-FR"/>
        </w:rPr>
        <w:t> : S</w:t>
      </w:r>
      <w:r w:rsidRPr="00B6647E">
        <w:rPr>
          <w:rFonts w:ascii="Arial" w:hAnsi="Arial" w:cs="Arial"/>
          <w:b/>
          <w:sz w:val="20"/>
          <w:szCs w:val="20"/>
          <w:lang w:val="fr-FR" w:eastAsia="fr-FR"/>
        </w:rPr>
        <w:t>uperficie des tubercules et racines par région</w:t>
      </w:r>
    </w:p>
    <w:p w:rsidR="005E1A6F" w:rsidRPr="00B6647E" w:rsidRDefault="005E1A6F" w:rsidP="005D3950">
      <w:pPr>
        <w:spacing w:line="240" w:lineRule="auto"/>
        <w:rPr>
          <w:lang w:eastAsia="fr-FR"/>
        </w:rPr>
      </w:pPr>
      <w:r w:rsidRPr="00B6647E">
        <w:rPr>
          <w:noProof/>
          <w:lang w:val="fr-FR" w:eastAsia="fr-FR"/>
        </w:rPr>
        <w:drawing>
          <wp:inline distT="0" distB="0" distL="0" distR="0">
            <wp:extent cx="5705475" cy="3432755"/>
            <wp:effectExtent l="19050" t="0" r="9525" b="0"/>
            <wp:docPr id="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 cstate="print"/>
                    <a:srcRect/>
                    <a:stretch>
                      <a:fillRect/>
                    </a:stretch>
                  </pic:blipFill>
                  <pic:spPr bwMode="auto">
                    <a:xfrm>
                      <a:off x="0" y="0"/>
                      <a:ext cx="5705475" cy="3432755"/>
                    </a:xfrm>
                    <a:prstGeom prst="rect">
                      <a:avLst/>
                    </a:prstGeom>
                    <a:noFill/>
                    <a:ln w="9525">
                      <a:noFill/>
                      <a:miter lim="800000"/>
                      <a:headEnd/>
                      <a:tailEnd/>
                    </a:ln>
                  </pic:spPr>
                </pic:pic>
              </a:graphicData>
            </a:graphic>
          </wp:inline>
        </w:drawing>
      </w:r>
    </w:p>
    <w:p w:rsidR="005B6085" w:rsidRPr="00B6647E" w:rsidRDefault="00CF79D8" w:rsidP="005D3950">
      <w:pPr>
        <w:spacing w:line="240" w:lineRule="auto"/>
        <w:jc w:val="both"/>
        <w:rPr>
          <w:rFonts w:ascii="Arial" w:hAnsi="Arial" w:cs="Arial"/>
          <w:sz w:val="20"/>
          <w:szCs w:val="20"/>
        </w:rPr>
      </w:pPr>
      <w:r w:rsidRPr="00B6647E">
        <w:rPr>
          <w:rFonts w:ascii="Arial" w:hAnsi="Arial" w:cs="Arial"/>
          <w:sz w:val="20"/>
          <w:szCs w:val="20"/>
        </w:rPr>
        <w:t xml:space="preserve">Les </w:t>
      </w:r>
      <w:r w:rsidR="005B6085" w:rsidRPr="00B6647E">
        <w:rPr>
          <w:rFonts w:ascii="Arial" w:hAnsi="Arial" w:cs="Arial"/>
          <w:sz w:val="20"/>
          <w:szCs w:val="20"/>
        </w:rPr>
        <w:t xml:space="preserve">régions de l’Imbo (60.671 ha, soit 20,5% de la superficie de manioc cultivée pendant toute la campagne agricole) et Mumirwa (51.323 ha, soit 17,4%) </w:t>
      </w:r>
      <w:r w:rsidRPr="00B6647E">
        <w:rPr>
          <w:rFonts w:ascii="Arial" w:hAnsi="Arial" w:cs="Arial"/>
          <w:sz w:val="20"/>
          <w:szCs w:val="20"/>
        </w:rPr>
        <w:t>sont</w:t>
      </w:r>
      <w:r w:rsidR="005B6085" w:rsidRPr="00B6647E">
        <w:rPr>
          <w:rFonts w:ascii="Arial" w:hAnsi="Arial" w:cs="Arial"/>
          <w:sz w:val="20"/>
          <w:szCs w:val="20"/>
        </w:rPr>
        <w:t xml:space="preserve"> nettement en tête. Viennent ensuite les régions de Kirimiro (43.972 ha, soit 14,9%</w:t>
      </w:r>
      <w:r w:rsidR="001E2040" w:rsidRPr="00B6647E">
        <w:rPr>
          <w:rFonts w:ascii="Arial" w:hAnsi="Arial" w:cs="Arial"/>
          <w:sz w:val="20"/>
          <w:szCs w:val="20"/>
        </w:rPr>
        <w:t>), Buyenzi (24.053 ha, soit 8,1%</w:t>
      </w:r>
      <w:r w:rsidR="005B6085" w:rsidRPr="00B6647E">
        <w:rPr>
          <w:rFonts w:ascii="Arial" w:hAnsi="Arial" w:cs="Arial"/>
          <w:sz w:val="20"/>
          <w:szCs w:val="20"/>
        </w:rPr>
        <w:t>), Bugesera (23.985 ha, soit 8,1%), Buragane (22.563 ha, soit 7,6%), Bweru (</w:t>
      </w:r>
      <w:r w:rsidR="000F0D18" w:rsidRPr="00B6647E">
        <w:rPr>
          <w:rFonts w:ascii="Arial" w:hAnsi="Arial" w:cs="Arial"/>
          <w:sz w:val="20"/>
          <w:szCs w:val="20"/>
        </w:rPr>
        <w:t xml:space="preserve">21.471 ha, soit 7,3%), </w:t>
      </w:r>
      <w:r w:rsidR="005B6085" w:rsidRPr="00B6647E">
        <w:rPr>
          <w:rFonts w:ascii="Arial" w:hAnsi="Arial" w:cs="Arial"/>
          <w:sz w:val="20"/>
          <w:szCs w:val="20"/>
        </w:rPr>
        <w:t>Moso (</w:t>
      </w:r>
      <w:r w:rsidR="000F0D18" w:rsidRPr="00B6647E">
        <w:rPr>
          <w:rFonts w:ascii="Arial" w:hAnsi="Arial" w:cs="Arial"/>
          <w:sz w:val="20"/>
          <w:szCs w:val="20"/>
        </w:rPr>
        <w:t>20.936 ha, soit 7,1%).</w:t>
      </w:r>
    </w:p>
    <w:p w:rsidR="00CC0424" w:rsidRPr="00B6647E" w:rsidRDefault="00E34AD0" w:rsidP="005D3950">
      <w:pPr>
        <w:pStyle w:val="Lgende"/>
        <w:keepNext/>
        <w:jc w:val="both"/>
        <w:rPr>
          <w:rFonts w:ascii="Arial" w:hAnsi="Arial" w:cs="Arial"/>
        </w:rPr>
      </w:pPr>
      <w:r>
        <w:rPr>
          <w:rFonts w:ascii="Arial" w:hAnsi="Arial" w:cs="Arial"/>
        </w:rPr>
        <w:lastRenderedPageBreak/>
        <w:t>Tableau 15</w:t>
      </w:r>
      <w:r w:rsidR="005E6CB8" w:rsidRPr="00B6647E">
        <w:rPr>
          <w:rFonts w:ascii="Arial" w:hAnsi="Arial" w:cs="Arial"/>
        </w:rPr>
        <w:t>1 :</w:t>
      </w:r>
      <w:r w:rsidR="00CC0424" w:rsidRPr="00B6647E">
        <w:rPr>
          <w:rFonts w:ascii="Arial" w:hAnsi="Arial" w:cs="Arial"/>
        </w:rPr>
        <w:t xml:space="preserve"> Superficie totale cultivée du manioc par région pendant les trois saisons</w:t>
      </w:r>
    </w:p>
    <w:p w:rsidR="00CC0424" w:rsidRPr="00B6647E" w:rsidRDefault="001C6913" w:rsidP="005D3950">
      <w:pPr>
        <w:spacing w:line="240" w:lineRule="auto"/>
        <w:rPr>
          <w:lang w:eastAsia="fr-FR"/>
        </w:rPr>
      </w:pPr>
      <w:r w:rsidRPr="00B6647E">
        <w:rPr>
          <w:noProof/>
          <w:lang w:val="fr-FR" w:eastAsia="fr-FR"/>
        </w:rPr>
        <w:drawing>
          <wp:inline distT="0" distB="0" distL="0" distR="0">
            <wp:extent cx="4067175" cy="2914650"/>
            <wp:effectExtent l="19050" t="0" r="9525" b="0"/>
            <wp:docPr id="465"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0" cstate="print"/>
                    <a:srcRect/>
                    <a:stretch>
                      <a:fillRect/>
                    </a:stretch>
                  </pic:blipFill>
                  <pic:spPr bwMode="auto">
                    <a:xfrm>
                      <a:off x="0" y="0"/>
                      <a:ext cx="4067175" cy="2914650"/>
                    </a:xfrm>
                    <a:prstGeom prst="rect">
                      <a:avLst/>
                    </a:prstGeom>
                    <a:noFill/>
                    <a:ln w="9525">
                      <a:noFill/>
                      <a:miter lim="800000"/>
                      <a:headEnd/>
                      <a:tailEnd/>
                    </a:ln>
                  </pic:spPr>
                </pic:pic>
              </a:graphicData>
            </a:graphic>
          </wp:inline>
        </w:drawing>
      </w:r>
    </w:p>
    <w:p w:rsidR="001C690B" w:rsidRPr="00B6647E" w:rsidRDefault="001C690B" w:rsidP="001C690B">
      <w:pPr>
        <w:spacing w:after="120" w:line="240" w:lineRule="auto"/>
        <w:jc w:val="both"/>
        <w:rPr>
          <w:rFonts w:ascii="Arial" w:hAnsi="Arial" w:cs="Arial"/>
          <w:i/>
          <w:sz w:val="20"/>
          <w:szCs w:val="20"/>
          <w:lang w:val="fr-FR" w:eastAsia="fr-FR"/>
        </w:rPr>
      </w:pPr>
      <w:r w:rsidRPr="00B6647E">
        <w:rPr>
          <w:rFonts w:ascii="Arial" w:hAnsi="Arial" w:cs="Arial"/>
          <w:b/>
          <w:i/>
          <w:sz w:val="20"/>
          <w:szCs w:val="20"/>
          <w:lang w:val="fr-FR" w:eastAsia="fr-FR"/>
        </w:rPr>
        <w:t>NB :</w:t>
      </w:r>
      <w:r w:rsidRPr="00B6647E">
        <w:rPr>
          <w:rFonts w:ascii="Arial" w:hAnsi="Arial" w:cs="Arial"/>
          <w:i/>
          <w:sz w:val="20"/>
          <w:szCs w:val="20"/>
          <w:lang w:val="fr-FR" w:eastAsia="fr-FR"/>
        </w:rPr>
        <w:t xml:space="preserve"> La superficie totale correspond à la somme des superficies cultivées couvrant pour l’essentiel la même portion de terrain au cours des trois saisons. Le manioc n’est en général</w:t>
      </w:r>
      <w:r w:rsidR="00112D15">
        <w:rPr>
          <w:rFonts w:ascii="Arial" w:hAnsi="Arial" w:cs="Arial"/>
          <w:i/>
          <w:sz w:val="20"/>
          <w:szCs w:val="20"/>
          <w:lang w:val="fr-FR" w:eastAsia="fr-FR"/>
        </w:rPr>
        <w:t xml:space="preserve"> pas remis en culture à toutes </w:t>
      </w:r>
      <w:r w:rsidRPr="00B6647E">
        <w:rPr>
          <w:rFonts w:ascii="Arial" w:hAnsi="Arial" w:cs="Arial"/>
          <w:i/>
          <w:sz w:val="20"/>
          <w:szCs w:val="20"/>
          <w:lang w:val="fr-FR" w:eastAsia="fr-FR"/>
        </w:rPr>
        <w:t>l</w:t>
      </w:r>
      <w:r w:rsidR="00112D15">
        <w:rPr>
          <w:rFonts w:ascii="Arial" w:hAnsi="Arial" w:cs="Arial"/>
          <w:i/>
          <w:sz w:val="20"/>
          <w:szCs w:val="20"/>
          <w:lang w:val="fr-FR" w:eastAsia="fr-FR"/>
        </w:rPr>
        <w:t>e</w:t>
      </w:r>
      <w:r w:rsidRPr="00B6647E">
        <w:rPr>
          <w:rFonts w:ascii="Arial" w:hAnsi="Arial" w:cs="Arial"/>
          <w:i/>
          <w:sz w:val="20"/>
          <w:szCs w:val="20"/>
          <w:lang w:val="fr-FR" w:eastAsia="fr-FR"/>
        </w:rPr>
        <w:t xml:space="preserve">s saisons mais les parcelles qu’il occupe, demandent comme toutes </w:t>
      </w:r>
      <w:r w:rsidR="00112D15">
        <w:rPr>
          <w:rFonts w:ascii="Arial" w:hAnsi="Arial" w:cs="Arial"/>
          <w:i/>
          <w:sz w:val="20"/>
          <w:szCs w:val="20"/>
          <w:lang w:val="fr-FR" w:eastAsia="fr-FR"/>
        </w:rPr>
        <w:t xml:space="preserve">cultures </w:t>
      </w:r>
      <w:r w:rsidRPr="00B6647E">
        <w:rPr>
          <w:rFonts w:ascii="Arial" w:hAnsi="Arial" w:cs="Arial"/>
          <w:i/>
          <w:sz w:val="20"/>
          <w:szCs w:val="20"/>
          <w:lang w:val="fr-FR" w:eastAsia="fr-FR"/>
        </w:rPr>
        <w:t>des travaux de labour et d’entretien au cours de chaque saison.</w:t>
      </w:r>
    </w:p>
    <w:p w:rsidR="001C690B" w:rsidRPr="00B6647E" w:rsidRDefault="001C690B" w:rsidP="005D3950">
      <w:pPr>
        <w:spacing w:line="240" w:lineRule="auto"/>
        <w:rPr>
          <w:lang w:val="fr-FR" w:eastAsia="fr-FR"/>
        </w:rPr>
      </w:pPr>
    </w:p>
    <w:p w:rsidR="00C274D7" w:rsidRPr="00B6647E" w:rsidRDefault="00C274D7" w:rsidP="005D3950">
      <w:pPr>
        <w:spacing w:line="240" w:lineRule="auto"/>
        <w:jc w:val="both"/>
        <w:rPr>
          <w:rFonts w:ascii="Arial" w:hAnsi="Arial" w:cs="Arial"/>
          <w:sz w:val="20"/>
          <w:szCs w:val="20"/>
        </w:rPr>
      </w:pPr>
      <w:r w:rsidRPr="00B6647E">
        <w:rPr>
          <w:rFonts w:ascii="Arial" w:hAnsi="Arial" w:cs="Arial"/>
          <w:sz w:val="20"/>
          <w:szCs w:val="20"/>
        </w:rPr>
        <w:t xml:space="preserve">La superficie du manioc amer </w:t>
      </w:r>
      <w:r w:rsidR="003A0EB5" w:rsidRPr="00B6647E">
        <w:rPr>
          <w:rFonts w:ascii="Arial" w:hAnsi="Arial" w:cs="Arial"/>
          <w:sz w:val="20"/>
          <w:szCs w:val="20"/>
        </w:rPr>
        <w:t xml:space="preserve">qui a été estimée à </w:t>
      </w:r>
      <w:r w:rsidRPr="00B6647E">
        <w:rPr>
          <w:rFonts w:ascii="Arial" w:hAnsi="Arial" w:cs="Arial"/>
          <w:sz w:val="20"/>
          <w:szCs w:val="20"/>
        </w:rPr>
        <w:t>264.048 ha</w:t>
      </w:r>
      <w:r w:rsidR="003A0EB5" w:rsidRPr="00B6647E">
        <w:rPr>
          <w:rFonts w:ascii="Arial" w:hAnsi="Arial" w:cs="Arial"/>
          <w:sz w:val="20"/>
          <w:szCs w:val="20"/>
        </w:rPr>
        <w:t xml:space="preserve"> représente 89,3% de l’ensemble du manioc (amer et doux</w:t>
      </w:r>
      <w:r w:rsidR="00C27C92" w:rsidRPr="00B6647E">
        <w:rPr>
          <w:rFonts w:ascii="Arial" w:hAnsi="Arial" w:cs="Arial"/>
          <w:sz w:val="20"/>
          <w:szCs w:val="20"/>
        </w:rPr>
        <w:t>)</w:t>
      </w:r>
      <w:r w:rsidRPr="00B6647E">
        <w:rPr>
          <w:rFonts w:ascii="Arial" w:hAnsi="Arial" w:cs="Arial"/>
          <w:sz w:val="20"/>
          <w:szCs w:val="20"/>
        </w:rPr>
        <w:t xml:space="preserve">. Elle représente 61,8% de la superficie de l’ensemble des tubercules et racines de toute la campagne agricole. Le </w:t>
      </w:r>
      <w:r w:rsidR="000C5145" w:rsidRPr="00B6647E">
        <w:rPr>
          <w:rFonts w:ascii="Arial" w:hAnsi="Arial" w:cs="Arial"/>
          <w:sz w:val="20"/>
          <w:szCs w:val="20"/>
        </w:rPr>
        <w:t>manioc amer</w:t>
      </w:r>
      <w:r w:rsidRPr="00B6647E">
        <w:rPr>
          <w:rFonts w:ascii="Arial" w:hAnsi="Arial" w:cs="Arial"/>
          <w:sz w:val="20"/>
          <w:szCs w:val="20"/>
        </w:rPr>
        <w:t xml:space="preserve"> </w:t>
      </w:r>
      <w:r w:rsidR="000C5145" w:rsidRPr="00B6647E">
        <w:rPr>
          <w:rFonts w:ascii="Arial" w:hAnsi="Arial" w:cs="Arial"/>
          <w:sz w:val="20"/>
          <w:szCs w:val="20"/>
        </w:rPr>
        <w:t xml:space="preserve">en culture pure et principale </w:t>
      </w:r>
      <w:r w:rsidRPr="00B6647E">
        <w:rPr>
          <w:rFonts w:ascii="Arial" w:hAnsi="Arial" w:cs="Arial"/>
          <w:sz w:val="20"/>
          <w:szCs w:val="20"/>
        </w:rPr>
        <w:t xml:space="preserve">est principalement cultivé </w:t>
      </w:r>
      <w:r w:rsidR="000C5145" w:rsidRPr="00B6647E">
        <w:rPr>
          <w:rFonts w:ascii="Arial" w:hAnsi="Arial" w:cs="Arial"/>
          <w:sz w:val="20"/>
          <w:szCs w:val="20"/>
        </w:rPr>
        <w:t>pendant la</w:t>
      </w:r>
      <w:r w:rsidRPr="00B6647E">
        <w:rPr>
          <w:rFonts w:ascii="Arial" w:hAnsi="Arial" w:cs="Arial"/>
          <w:sz w:val="20"/>
          <w:szCs w:val="20"/>
        </w:rPr>
        <w:t xml:space="preserve"> saison B (12</w:t>
      </w:r>
      <w:r w:rsidR="000C5145" w:rsidRPr="00B6647E">
        <w:rPr>
          <w:rFonts w:ascii="Arial" w:hAnsi="Arial" w:cs="Arial"/>
          <w:sz w:val="20"/>
          <w:szCs w:val="20"/>
        </w:rPr>
        <w:t>2</w:t>
      </w:r>
      <w:r w:rsidRPr="00B6647E">
        <w:rPr>
          <w:rFonts w:ascii="Arial" w:hAnsi="Arial" w:cs="Arial"/>
          <w:sz w:val="20"/>
          <w:szCs w:val="20"/>
        </w:rPr>
        <w:t>.8</w:t>
      </w:r>
      <w:r w:rsidR="000C5145" w:rsidRPr="00B6647E">
        <w:rPr>
          <w:rFonts w:ascii="Arial" w:hAnsi="Arial" w:cs="Arial"/>
          <w:sz w:val="20"/>
          <w:szCs w:val="20"/>
        </w:rPr>
        <w:t>96</w:t>
      </w:r>
      <w:r w:rsidRPr="00B6647E">
        <w:rPr>
          <w:rFonts w:ascii="Arial" w:hAnsi="Arial" w:cs="Arial"/>
          <w:sz w:val="20"/>
          <w:szCs w:val="20"/>
        </w:rPr>
        <w:t xml:space="preserve"> ha</w:t>
      </w:r>
      <w:r w:rsidR="000C5145" w:rsidRPr="00B6647E">
        <w:rPr>
          <w:rFonts w:ascii="Arial" w:hAnsi="Arial" w:cs="Arial"/>
          <w:sz w:val="20"/>
          <w:szCs w:val="20"/>
        </w:rPr>
        <w:t>, soit 46,5% de sa superficie cumulée des trois saisons</w:t>
      </w:r>
      <w:r w:rsidRPr="00B6647E">
        <w:rPr>
          <w:rFonts w:ascii="Arial" w:hAnsi="Arial" w:cs="Arial"/>
          <w:sz w:val="20"/>
          <w:szCs w:val="20"/>
        </w:rPr>
        <w:t xml:space="preserve">) et dans les </w:t>
      </w:r>
      <w:r w:rsidR="000C5145" w:rsidRPr="00B6647E">
        <w:rPr>
          <w:rFonts w:ascii="Arial" w:hAnsi="Arial" w:cs="Arial"/>
          <w:sz w:val="20"/>
          <w:szCs w:val="20"/>
        </w:rPr>
        <w:t xml:space="preserve">régions naturelles d’Imbo (50.597 ha, correspondant à 19,2%), Mumirwa (49.936 ha, soit 18,9%), Kirimiro </w:t>
      </w:r>
      <w:r w:rsidRPr="00B6647E">
        <w:rPr>
          <w:rFonts w:ascii="Arial" w:hAnsi="Arial" w:cs="Arial"/>
          <w:sz w:val="20"/>
          <w:szCs w:val="20"/>
        </w:rPr>
        <w:t>(</w:t>
      </w:r>
      <w:r w:rsidR="000C5145" w:rsidRPr="00B6647E">
        <w:rPr>
          <w:rFonts w:ascii="Arial" w:hAnsi="Arial" w:cs="Arial"/>
          <w:sz w:val="20"/>
          <w:szCs w:val="20"/>
        </w:rPr>
        <w:t>39.234 ha</w:t>
      </w:r>
      <w:r w:rsidRPr="00B6647E">
        <w:rPr>
          <w:rFonts w:ascii="Arial" w:hAnsi="Arial" w:cs="Arial"/>
          <w:sz w:val="20"/>
          <w:szCs w:val="20"/>
        </w:rPr>
        <w:t xml:space="preserve">, soit </w:t>
      </w:r>
      <w:r w:rsidR="000C5145" w:rsidRPr="00B6647E">
        <w:rPr>
          <w:rFonts w:ascii="Arial" w:hAnsi="Arial" w:cs="Arial"/>
          <w:sz w:val="20"/>
          <w:szCs w:val="20"/>
        </w:rPr>
        <w:t>14,9</w:t>
      </w:r>
      <w:r w:rsidRPr="00B6647E">
        <w:rPr>
          <w:rFonts w:ascii="Arial" w:hAnsi="Arial" w:cs="Arial"/>
          <w:sz w:val="20"/>
          <w:szCs w:val="20"/>
        </w:rPr>
        <w:t>%).</w:t>
      </w:r>
    </w:p>
    <w:p w:rsidR="00CC0424" w:rsidRPr="00B6647E" w:rsidRDefault="00CC0424" w:rsidP="005D3950">
      <w:pPr>
        <w:pStyle w:val="Lgende"/>
        <w:keepNext/>
        <w:jc w:val="both"/>
        <w:rPr>
          <w:rFonts w:ascii="Arial" w:hAnsi="Arial" w:cs="Arial"/>
        </w:rPr>
      </w:pPr>
      <w:r w:rsidRPr="00B6647E">
        <w:rPr>
          <w:rFonts w:ascii="Arial" w:hAnsi="Arial" w:cs="Arial"/>
        </w:rPr>
        <w:t xml:space="preserve">Tableau </w:t>
      </w:r>
      <w:r w:rsidR="00E34AD0">
        <w:rPr>
          <w:rFonts w:ascii="Arial" w:hAnsi="Arial" w:cs="Arial"/>
        </w:rPr>
        <w:t>15</w:t>
      </w:r>
      <w:r w:rsidR="005E6CB8" w:rsidRPr="00B6647E">
        <w:rPr>
          <w:rFonts w:ascii="Arial" w:hAnsi="Arial" w:cs="Arial"/>
        </w:rPr>
        <w:t>2 :</w:t>
      </w:r>
      <w:r w:rsidRPr="00B6647E">
        <w:rPr>
          <w:rFonts w:ascii="Arial" w:hAnsi="Arial" w:cs="Arial"/>
        </w:rPr>
        <w:t xml:space="preserve"> Superficie totale cultivée du manioc amer par région pendant les trois saisons</w:t>
      </w:r>
    </w:p>
    <w:p w:rsidR="00CC0424" w:rsidRPr="00B6647E" w:rsidRDefault="001C6913" w:rsidP="005D3950">
      <w:pPr>
        <w:spacing w:line="240" w:lineRule="auto"/>
        <w:rPr>
          <w:lang w:eastAsia="fr-FR"/>
        </w:rPr>
      </w:pPr>
      <w:r w:rsidRPr="00B6647E">
        <w:rPr>
          <w:noProof/>
          <w:lang w:val="fr-FR" w:eastAsia="fr-FR"/>
        </w:rPr>
        <w:drawing>
          <wp:inline distT="0" distB="0" distL="0" distR="0">
            <wp:extent cx="4067175" cy="2914650"/>
            <wp:effectExtent l="19050" t="0" r="9525" b="0"/>
            <wp:docPr id="466"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1" cstate="print"/>
                    <a:srcRect/>
                    <a:stretch>
                      <a:fillRect/>
                    </a:stretch>
                  </pic:blipFill>
                  <pic:spPr bwMode="auto">
                    <a:xfrm>
                      <a:off x="0" y="0"/>
                      <a:ext cx="4067175" cy="2914650"/>
                    </a:xfrm>
                    <a:prstGeom prst="rect">
                      <a:avLst/>
                    </a:prstGeom>
                    <a:noFill/>
                    <a:ln w="9525">
                      <a:noFill/>
                      <a:miter lim="800000"/>
                      <a:headEnd/>
                      <a:tailEnd/>
                    </a:ln>
                  </pic:spPr>
                </pic:pic>
              </a:graphicData>
            </a:graphic>
          </wp:inline>
        </w:drawing>
      </w:r>
    </w:p>
    <w:p w:rsidR="000C5145" w:rsidRPr="00B6647E" w:rsidRDefault="000C5145" w:rsidP="005D3950">
      <w:pPr>
        <w:spacing w:line="240" w:lineRule="auto"/>
        <w:jc w:val="both"/>
        <w:rPr>
          <w:rFonts w:ascii="Arial" w:hAnsi="Arial" w:cs="Arial"/>
          <w:sz w:val="20"/>
          <w:szCs w:val="20"/>
          <w:lang w:eastAsia="fr-FR"/>
        </w:rPr>
      </w:pPr>
      <w:r w:rsidRPr="00B6647E">
        <w:rPr>
          <w:rFonts w:ascii="Arial" w:hAnsi="Arial" w:cs="Arial"/>
          <w:sz w:val="20"/>
          <w:szCs w:val="20"/>
          <w:lang w:eastAsia="fr-FR"/>
        </w:rPr>
        <w:t xml:space="preserve">La superficie totale du </w:t>
      </w:r>
      <w:r w:rsidR="003A0EB5" w:rsidRPr="00B6647E">
        <w:rPr>
          <w:rFonts w:ascii="Arial" w:hAnsi="Arial" w:cs="Arial"/>
          <w:sz w:val="20"/>
          <w:szCs w:val="20"/>
          <w:lang w:eastAsia="fr-FR"/>
        </w:rPr>
        <w:t>manioc</w:t>
      </w:r>
      <w:r w:rsidRPr="00B6647E">
        <w:rPr>
          <w:rFonts w:ascii="Arial" w:hAnsi="Arial" w:cs="Arial"/>
          <w:sz w:val="20"/>
          <w:szCs w:val="20"/>
          <w:lang w:eastAsia="fr-FR"/>
        </w:rPr>
        <w:t xml:space="preserve"> </w:t>
      </w:r>
      <w:r w:rsidR="003A0EB5" w:rsidRPr="00B6647E">
        <w:rPr>
          <w:rFonts w:ascii="Arial" w:hAnsi="Arial" w:cs="Arial"/>
          <w:sz w:val="20"/>
          <w:szCs w:val="20"/>
          <w:lang w:eastAsia="fr-FR"/>
        </w:rPr>
        <w:t>doux (31</w:t>
      </w:r>
      <w:r w:rsidRPr="00B6647E">
        <w:rPr>
          <w:rFonts w:ascii="Arial" w:hAnsi="Arial" w:cs="Arial"/>
          <w:sz w:val="20"/>
          <w:szCs w:val="20"/>
          <w:lang w:eastAsia="fr-FR"/>
        </w:rPr>
        <w:t>.</w:t>
      </w:r>
      <w:r w:rsidR="003A0EB5" w:rsidRPr="00B6647E">
        <w:rPr>
          <w:rFonts w:ascii="Arial" w:hAnsi="Arial" w:cs="Arial"/>
          <w:sz w:val="20"/>
          <w:szCs w:val="20"/>
          <w:lang w:eastAsia="fr-FR"/>
        </w:rPr>
        <w:t>638</w:t>
      </w:r>
      <w:r w:rsidRPr="00B6647E">
        <w:rPr>
          <w:rFonts w:ascii="Arial" w:hAnsi="Arial" w:cs="Arial"/>
          <w:sz w:val="20"/>
          <w:szCs w:val="20"/>
          <w:lang w:eastAsia="fr-FR"/>
        </w:rPr>
        <w:t xml:space="preserve"> ha) représente </w:t>
      </w:r>
      <w:r w:rsidR="003A0EB5" w:rsidRPr="00B6647E">
        <w:rPr>
          <w:rFonts w:ascii="Arial" w:hAnsi="Arial" w:cs="Arial"/>
          <w:sz w:val="20"/>
          <w:szCs w:val="20"/>
          <w:lang w:eastAsia="fr-FR"/>
        </w:rPr>
        <w:t>1</w:t>
      </w:r>
      <w:r w:rsidRPr="00B6647E">
        <w:rPr>
          <w:rFonts w:ascii="Arial" w:hAnsi="Arial" w:cs="Arial"/>
          <w:sz w:val="20"/>
          <w:szCs w:val="20"/>
          <w:lang w:eastAsia="fr-FR"/>
        </w:rPr>
        <w:t>0,</w:t>
      </w:r>
      <w:r w:rsidR="003A0EB5" w:rsidRPr="00B6647E">
        <w:rPr>
          <w:rFonts w:ascii="Arial" w:hAnsi="Arial" w:cs="Arial"/>
          <w:sz w:val="20"/>
          <w:szCs w:val="20"/>
          <w:lang w:eastAsia="fr-FR"/>
        </w:rPr>
        <w:t>7</w:t>
      </w:r>
      <w:r w:rsidRPr="00B6647E">
        <w:rPr>
          <w:rFonts w:ascii="Arial" w:hAnsi="Arial" w:cs="Arial"/>
          <w:sz w:val="20"/>
          <w:szCs w:val="20"/>
          <w:lang w:eastAsia="fr-FR"/>
        </w:rPr>
        <w:t xml:space="preserve">% de la superficie totale du </w:t>
      </w:r>
      <w:r w:rsidR="003A0EB5" w:rsidRPr="00B6647E">
        <w:rPr>
          <w:rFonts w:ascii="Arial" w:hAnsi="Arial" w:cs="Arial"/>
          <w:sz w:val="20"/>
          <w:szCs w:val="20"/>
          <w:lang w:eastAsia="fr-FR"/>
        </w:rPr>
        <w:t>manioc</w:t>
      </w:r>
      <w:r w:rsidRPr="00B6647E">
        <w:rPr>
          <w:rFonts w:ascii="Arial" w:hAnsi="Arial" w:cs="Arial"/>
          <w:sz w:val="20"/>
          <w:szCs w:val="20"/>
          <w:lang w:eastAsia="fr-FR"/>
        </w:rPr>
        <w:t xml:space="preserve"> (</w:t>
      </w:r>
      <w:r w:rsidR="003A0EB5" w:rsidRPr="00B6647E">
        <w:rPr>
          <w:rFonts w:ascii="Arial" w:hAnsi="Arial" w:cs="Arial"/>
          <w:sz w:val="20"/>
          <w:szCs w:val="20"/>
          <w:lang w:eastAsia="fr-FR"/>
        </w:rPr>
        <w:t>amer</w:t>
      </w:r>
      <w:r w:rsidRPr="00B6647E">
        <w:rPr>
          <w:rFonts w:ascii="Arial" w:hAnsi="Arial" w:cs="Arial"/>
          <w:sz w:val="20"/>
          <w:szCs w:val="20"/>
          <w:lang w:eastAsia="fr-FR"/>
        </w:rPr>
        <w:t xml:space="preserve"> et </w:t>
      </w:r>
      <w:r w:rsidR="003A0EB5" w:rsidRPr="00B6647E">
        <w:rPr>
          <w:rFonts w:ascii="Arial" w:hAnsi="Arial" w:cs="Arial"/>
          <w:sz w:val="20"/>
          <w:szCs w:val="20"/>
          <w:lang w:eastAsia="fr-FR"/>
        </w:rPr>
        <w:t>doux</w:t>
      </w:r>
      <w:r w:rsidRPr="00B6647E">
        <w:rPr>
          <w:rFonts w:ascii="Arial" w:hAnsi="Arial" w:cs="Arial"/>
          <w:sz w:val="20"/>
          <w:szCs w:val="20"/>
          <w:lang w:eastAsia="fr-FR"/>
        </w:rPr>
        <w:t xml:space="preserve">) et </w:t>
      </w:r>
      <w:r w:rsidR="003A0EB5" w:rsidRPr="00B6647E">
        <w:rPr>
          <w:rFonts w:ascii="Arial" w:hAnsi="Arial" w:cs="Arial"/>
          <w:sz w:val="20"/>
          <w:szCs w:val="20"/>
          <w:lang w:eastAsia="fr-FR"/>
        </w:rPr>
        <w:t>7,4</w:t>
      </w:r>
      <w:r w:rsidRPr="00B6647E">
        <w:rPr>
          <w:rFonts w:ascii="Arial" w:hAnsi="Arial" w:cs="Arial"/>
          <w:sz w:val="20"/>
          <w:szCs w:val="20"/>
          <w:lang w:eastAsia="fr-FR"/>
        </w:rPr>
        <w:t xml:space="preserve">% de la superficie totale de la campagne agricole 2011-2012. Les </w:t>
      </w:r>
      <w:r w:rsidR="006B5D1B" w:rsidRPr="00B6647E">
        <w:rPr>
          <w:rFonts w:ascii="Arial" w:hAnsi="Arial" w:cs="Arial"/>
          <w:sz w:val="20"/>
          <w:szCs w:val="20"/>
          <w:lang w:eastAsia="fr-FR"/>
        </w:rPr>
        <w:t xml:space="preserve">plus grandes superficies ont été enregistrées dans les </w:t>
      </w:r>
      <w:r w:rsidRPr="00B6647E">
        <w:rPr>
          <w:rFonts w:ascii="Arial" w:hAnsi="Arial" w:cs="Arial"/>
          <w:sz w:val="20"/>
          <w:szCs w:val="20"/>
          <w:lang w:eastAsia="fr-FR"/>
        </w:rPr>
        <w:t xml:space="preserve">régions naturelles </w:t>
      </w:r>
      <w:r w:rsidR="003A0EB5" w:rsidRPr="00B6647E">
        <w:rPr>
          <w:rFonts w:ascii="Arial" w:hAnsi="Arial" w:cs="Arial"/>
          <w:sz w:val="20"/>
          <w:szCs w:val="20"/>
          <w:lang w:eastAsia="fr-FR"/>
        </w:rPr>
        <w:t>d’Imbo</w:t>
      </w:r>
      <w:r w:rsidRPr="00B6647E">
        <w:rPr>
          <w:rFonts w:ascii="Arial" w:hAnsi="Arial" w:cs="Arial"/>
          <w:sz w:val="20"/>
          <w:szCs w:val="20"/>
          <w:lang w:eastAsia="fr-FR"/>
        </w:rPr>
        <w:t xml:space="preserve"> (</w:t>
      </w:r>
      <w:r w:rsidR="003A0EB5" w:rsidRPr="00B6647E">
        <w:rPr>
          <w:rFonts w:ascii="Arial" w:hAnsi="Arial" w:cs="Arial"/>
          <w:sz w:val="20"/>
          <w:szCs w:val="20"/>
          <w:lang w:eastAsia="fr-FR"/>
        </w:rPr>
        <w:t>10.074</w:t>
      </w:r>
      <w:r w:rsidRPr="00B6647E">
        <w:rPr>
          <w:rFonts w:ascii="Arial" w:hAnsi="Arial" w:cs="Arial"/>
          <w:sz w:val="20"/>
          <w:szCs w:val="20"/>
          <w:lang w:eastAsia="fr-FR"/>
        </w:rPr>
        <w:t xml:space="preserve"> ha, soit 3</w:t>
      </w:r>
      <w:r w:rsidR="003A0EB5" w:rsidRPr="00B6647E">
        <w:rPr>
          <w:rFonts w:ascii="Arial" w:hAnsi="Arial" w:cs="Arial"/>
          <w:sz w:val="20"/>
          <w:szCs w:val="20"/>
          <w:lang w:eastAsia="fr-FR"/>
        </w:rPr>
        <w:t>1</w:t>
      </w:r>
      <w:r w:rsidRPr="00B6647E">
        <w:rPr>
          <w:rFonts w:ascii="Arial" w:hAnsi="Arial" w:cs="Arial"/>
          <w:sz w:val="20"/>
          <w:szCs w:val="20"/>
          <w:lang w:eastAsia="fr-FR"/>
        </w:rPr>
        <w:t xml:space="preserve">,8% du total de </w:t>
      </w:r>
      <w:r w:rsidRPr="00B6647E">
        <w:rPr>
          <w:rFonts w:ascii="Arial" w:hAnsi="Arial" w:cs="Arial"/>
          <w:sz w:val="20"/>
          <w:szCs w:val="20"/>
          <w:lang w:eastAsia="fr-FR"/>
        </w:rPr>
        <w:lastRenderedPageBreak/>
        <w:t>la campagne)</w:t>
      </w:r>
      <w:r w:rsidR="003A0EB5" w:rsidRPr="00B6647E">
        <w:rPr>
          <w:rFonts w:ascii="Arial" w:hAnsi="Arial" w:cs="Arial"/>
          <w:sz w:val="20"/>
          <w:szCs w:val="20"/>
          <w:lang w:eastAsia="fr-FR"/>
        </w:rPr>
        <w:t>, de Kirimiro (</w:t>
      </w:r>
      <w:r w:rsidR="00FD19C3" w:rsidRPr="00B6647E">
        <w:rPr>
          <w:rFonts w:ascii="Arial" w:hAnsi="Arial" w:cs="Arial"/>
          <w:sz w:val="20"/>
          <w:szCs w:val="20"/>
          <w:lang w:eastAsia="fr-FR"/>
        </w:rPr>
        <w:t>4.737 ha, soit 15%), Buyogoma (3</w:t>
      </w:r>
      <w:r w:rsidR="00731100" w:rsidRPr="00B6647E">
        <w:rPr>
          <w:rFonts w:ascii="Arial" w:hAnsi="Arial" w:cs="Arial"/>
          <w:sz w:val="20"/>
          <w:szCs w:val="20"/>
          <w:lang w:eastAsia="fr-FR"/>
        </w:rPr>
        <w:t xml:space="preserve">.833 ha, soit 12,1%), Moso (2.940 ha, soit 9,3%), Bugesera (2.931 ha, soit 9,3%). </w:t>
      </w:r>
      <w:r w:rsidRPr="00B6647E">
        <w:rPr>
          <w:rFonts w:ascii="Arial" w:hAnsi="Arial" w:cs="Arial"/>
          <w:sz w:val="20"/>
          <w:szCs w:val="20"/>
          <w:lang w:eastAsia="fr-FR"/>
        </w:rPr>
        <w:t xml:space="preserve">Au cours de la saison </w:t>
      </w:r>
      <w:r w:rsidR="00731100" w:rsidRPr="00B6647E">
        <w:rPr>
          <w:rFonts w:ascii="Arial" w:hAnsi="Arial" w:cs="Arial"/>
          <w:sz w:val="20"/>
          <w:szCs w:val="20"/>
          <w:lang w:eastAsia="fr-FR"/>
        </w:rPr>
        <w:t>C</w:t>
      </w:r>
      <w:r w:rsidRPr="00B6647E">
        <w:rPr>
          <w:rFonts w:ascii="Arial" w:hAnsi="Arial" w:cs="Arial"/>
          <w:sz w:val="20"/>
          <w:szCs w:val="20"/>
          <w:lang w:eastAsia="fr-FR"/>
        </w:rPr>
        <w:t xml:space="preserve">, cette superficie est </w:t>
      </w:r>
      <w:r w:rsidR="00731100" w:rsidRPr="00B6647E">
        <w:rPr>
          <w:rFonts w:ascii="Arial" w:hAnsi="Arial" w:cs="Arial"/>
          <w:sz w:val="20"/>
          <w:szCs w:val="20"/>
          <w:lang w:eastAsia="fr-FR"/>
        </w:rPr>
        <w:t>18.369</w:t>
      </w:r>
      <w:r w:rsidRPr="00B6647E">
        <w:rPr>
          <w:rFonts w:ascii="Arial" w:hAnsi="Arial" w:cs="Arial"/>
          <w:sz w:val="20"/>
          <w:szCs w:val="20"/>
          <w:lang w:eastAsia="fr-FR"/>
        </w:rPr>
        <w:t xml:space="preserve"> ha (</w:t>
      </w:r>
      <w:r w:rsidR="00731100" w:rsidRPr="00B6647E">
        <w:rPr>
          <w:rFonts w:ascii="Arial" w:hAnsi="Arial" w:cs="Arial"/>
          <w:sz w:val="20"/>
          <w:szCs w:val="20"/>
          <w:lang w:eastAsia="fr-FR"/>
        </w:rPr>
        <w:t>5</w:t>
      </w:r>
      <w:r w:rsidRPr="00B6647E">
        <w:rPr>
          <w:rFonts w:ascii="Arial" w:hAnsi="Arial" w:cs="Arial"/>
          <w:sz w:val="20"/>
          <w:szCs w:val="20"/>
          <w:lang w:eastAsia="fr-FR"/>
        </w:rPr>
        <w:t>8,</w:t>
      </w:r>
      <w:r w:rsidR="00731100" w:rsidRPr="00B6647E">
        <w:rPr>
          <w:rFonts w:ascii="Arial" w:hAnsi="Arial" w:cs="Arial"/>
          <w:sz w:val="20"/>
          <w:szCs w:val="20"/>
          <w:lang w:eastAsia="fr-FR"/>
        </w:rPr>
        <w:t>1</w:t>
      </w:r>
      <w:r w:rsidRPr="00B6647E">
        <w:rPr>
          <w:rFonts w:ascii="Arial" w:hAnsi="Arial" w:cs="Arial"/>
          <w:sz w:val="20"/>
          <w:szCs w:val="20"/>
          <w:lang w:eastAsia="fr-FR"/>
        </w:rPr>
        <w:t xml:space="preserve">%). En saison A, cette superficie de </w:t>
      </w:r>
      <w:r w:rsidR="00731100" w:rsidRPr="00B6647E">
        <w:rPr>
          <w:rFonts w:ascii="Arial" w:hAnsi="Arial" w:cs="Arial"/>
          <w:sz w:val="20"/>
          <w:szCs w:val="20"/>
          <w:lang w:eastAsia="fr-FR"/>
        </w:rPr>
        <w:t>manioc doux</w:t>
      </w:r>
      <w:r w:rsidRPr="00B6647E">
        <w:rPr>
          <w:rFonts w:ascii="Arial" w:hAnsi="Arial" w:cs="Arial"/>
          <w:sz w:val="20"/>
          <w:szCs w:val="20"/>
          <w:lang w:eastAsia="fr-FR"/>
        </w:rPr>
        <w:t xml:space="preserve"> a été estimée à </w:t>
      </w:r>
      <w:r w:rsidR="00731100" w:rsidRPr="00B6647E">
        <w:rPr>
          <w:rFonts w:ascii="Arial" w:hAnsi="Arial" w:cs="Arial"/>
          <w:sz w:val="20"/>
          <w:szCs w:val="20"/>
          <w:lang w:eastAsia="fr-FR"/>
        </w:rPr>
        <w:t>5.869</w:t>
      </w:r>
      <w:r w:rsidRPr="00B6647E">
        <w:rPr>
          <w:rFonts w:ascii="Arial" w:hAnsi="Arial" w:cs="Arial"/>
          <w:sz w:val="20"/>
          <w:szCs w:val="20"/>
          <w:lang w:eastAsia="fr-FR"/>
        </w:rPr>
        <w:t xml:space="preserve"> ha (</w:t>
      </w:r>
      <w:r w:rsidR="00731100" w:rsidRPr="00B6647E">
        <w:rPr>
          <w:rFonts w:ascii="Arial" w:hAnsi="Arial" w:cs="Arial"/>
          <w:sz w:val="20"/>
          <w:szCs w:val="20"/>
          <w:lang w:eastAsia="fr-FR"/>
        </w:rPr>
        <w:t>18,5</w:t>
      </w:r>
      <w:r w:rsidRPr="00B6647E">
        <w:rPr>
          <w:rFonts w:ascii="Arial" w:hAnsi="Arial" w:cs="Arial"/>
          <w:sz w:val="20"/>
          <w:szCs w:val="20"/>
          <w:lang w:eastAsia="fr-FR"/>
        </w:rPr>
        <w:t xml:space="preserve">%) et pendant la saison C à </w:t>
      </w:r>
      <w:r w:rsidR="00731100" w:rsidRPr="00B6647E">
        <w:rPr>
          <w:rFonts w:ascii="Arial" w:hAnsi="Arial" w:cs="Arial"/>
          <w:sz w:val="20"/>
          <w:szCs w:val="20"/>
          <w:lang w:eastAsia="fr-FR"/>
        </w:rPr>
        <w:t>7</w:t>
      </w:r>
      <w:r w:rsidRPr="00B6647E">
        <w:rPr>
          <w:rFonts w:ascii="Arial" w:hAnsi="Arial" w:cs="Arial"/>
          <w:sz w:val="20"/>
          <w:szCs w:val="20"/>
          <w:lang w:eastAsia="fr-FR"/>
        </w:rPr>
        <w:t>.</w:t>
      </w:r>
      <w:r w:rsidR="00731100" w:rsidRPr="00B6647E">
        <w:rPr>
          <w:rFonts w:ascii="Arial" w:hAnsi="Arial" w:cs="Arial"/>
          <w:sz w:val="20"/>
          <w:szCs w:val="20"/>
          <w:lang w:eastAsia="fr-FR"/>
        </w:rPr>
        <w:t>400</w:t>
      </w:r>
      <w:r w:rsidRPr="00B6647E">
        <w:rPr>
          <w:rFonts w:ascii="Arial" w:hAnsi="Arial" w:cs="Arial"/>
          <w:sz w:val="20"/>
          <w:szCs w:val="20"/>
          <w:lang w:eastAsia="fr-FR"/>
        </w:rPr>
        <w:t xml:space="preserve"> ha (</w:t>
      </w:r>
      <w:r w:rsidR="00731100" w:rsidRPr="00B6647E">
        <w:rPr>
          <w:rFonts w:ascii="Arial" w:hAnsi="Arial" w:cs="Arial"/>
          <w:sz w:val="20"/>
          <w:szCs w:val="20"/>
          <w:lang w:eastAsia="fr-FR"/>
        </w:rPr>
        <w:t>23,4</w:t>
      </w:r>
      <w:r w:rsidRPr="00B6647E">
        <w:rPr>
          <w:rFonts w:ascii="Arial" w:hAnsi="Arial" w:cs="Arial"/>
          <w:sz w:val="20"/>
          <w:szCs w:val="20"/>
          <w:lang w:eastAsia="fr-FR"/>
        </w:rPr>
        <w:t>%).</w:t>
      </w:r>
    </w:p>
    <w:p w:rsidR="00105C65" w:rsidRPr="00B6647E" w:rsidRDefault="00E34AD0" w:rsidP="005D3950">
      <w:pPr>
        <w:pStyle w:val="Lgende"/>
        <w:keepNext/>
        <w:jc w:val="both"/>
        <w:rPr>
          <w:rFonts w:ascii="Arial" w:hAnsi="Arial" w:cs="Arial"/>
        </w:rPr>
      </w:pPr>
      <w:r>
        <w:rPr>
          <w:rFonts w:ascii="Arial" w:hAnsi="Arial" w:cs="Arial"/>
        </w:rPr>
        <w:t>Tableau 15</w:t>
      </w:r>
      <w:r w:rsidR="005E6CB8" w:rsidRPr="00B6647E">
        <w:rPr>
          <w:rFonts w:ascii="Arial" w:hAnsi="Arial" w:cs="Arial"/>
        </w:rPr>
        <w:t>3 :</w:t>
      </w:r>
      <w:r w:rsidR="00105C65" w:rsidRPr="00B6647E">
        <w:rPr>
          <w:rFonts w:ascii="Arial" w:hAnsi="Arial" w:cs="Arial"/>
        </w:rPr>
        <w:t xml:space="preserve"> Superficie totale cultivée du manioc doux par région pendant les trois saisons</w:t>
      </w:r>
    </w:p>
    <w:p w:rsidR="00105C65" w:rsidRPr="00B6647E" w:rsidRDefault="001C6913" w:rsidP="005D3950">
      <w:pPr>
        <w:spacing w:line="240" w:lineRule="auto"/>
        <w:rPr>
          <w:lang w:eastAsia="fr-FR"/>
        </w:rPr>
      </w:pPr>
      <w:r w:rsidRPr="00B6647E">
        <w:rPr>
          <w:noProof/>
          <w:lang w:val="fr-FR" w:eastAsia="fr-FR"/>
        </w:rPr>
        <w:drawing>
          <wp:inline distT="0" distB="0" distL="0" distR="0">
            <wp:extent cx="4067175" cy="2914650"/>
            <wp:effectExtent l="19050" t="0" r="9525" b="0"/>
            <wp:docPr id="467"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2" cstate="print"/>
                    <a:srcRect/>
                    <a:stretch>
                      <a:fillRect/>
                    </a:stretch>
                  </pic:blipFill>
                  <pic:spPr bwMode="auto">
                    <a:xfrm>
                      <a:off x="0" y="0"/>
                      <a:ext cx="4067175" cy="2914650"/>
                    </a:xfrm>
                    <a:prstGeom prst="rect">
                      <a:avLst/>
                    </a:prstGeom>
                    <a:noFill/>
                    <a:ln w="9525">
                      <a:noFill/>
                      <a:miter lim="800000"/>
                      <a:headEnd/>
                      <a:tailEnd/>
                    </a:ln>
                  </pic:spPr>
                </pic:pic>
              </a:graphicData>
            </a:graphic>
          </wp:inline>
        </w:drawing>
      </w:r>
    </w:p>
    <w:p w:rsidR="00BD11DD" w:rsidRPr="00B6647E" w:rsidRDefault="00BD11DD" w:rsidP="0053275E">
      <w:pPr>
        <w:pStyle w:val="Paragraphedeliste"/>
        <w:spacing w:after="120" w:line="240" w:lineRule="auto"/>
        <w:ind w:left="0"/>
        <w:contextualSpacing w:val="0"/>
        <w:jc w:val="both"/>
        <w:rPr>
          <w:rFonts w:ascii="Arial" w:hAnsi="Arial" w:cs="Arial"/>
          <w:sz w:val="20"/>
          <w:szCs w:val="20"/>
        </w:rPr>
      </w:pPr>
      <w:r w:rsidRPr="00B6647E">
        <w:rPr>
          <w:rFonts w:ascii="Arial" w:hAnsi="Arial" w:cs="Arial"/>
          <w:sz w:val="20"/>
          <w:szCs w:val="20"/>
        </w:rPr>
        <w:t xml:space="preserve">Au cours de la campagne agricole 2011-2012, la superficie en culture pure et principale occupée par la patate douce (101.421 ha,) représente </w:t>
      </w:r>
      <w:r w:rsidR="004418F4" w:rsidRPr="00B6647E">
        <w:rPr>
          <w:rFonts w:ascii="Arial" w:hAnsi="Arial" w:cs="Arial"/>
          <w:sz w:val="20"/>
          <w:szCs w:val="20"/>
        </w:rPr>
        <w:t>près du quart</w:t>
      </w:r>
      <w:r w:rsidRPr="00B6647E">
        <w:rPr>
          <w:rFonts w:ascii="Arial" w:hAnsi="Arial" w:cs="Arial"/>
          <w:sz w:val="20"/>
          <w:szCs w:val="20"/>
        </w:rPr>
        <w:t xml:space="preserve"> (</w:t>
      </w:r>
      <w:r w:rsidR="004418F4" w:rsidRPr="00B6647E">
        <w:rPr>
          <w:rFonts w:ascii="Arial" w:hAnsi="Arial" w:cs="Arial"/>
          <w:sz w:val="20"/>
          <w:szCs w:val="20"/>
        </w:rPr>
        <w:t>23,7</w:t>
      </w:r>
      <w:r w:rsidRPr="00B6647E">
        <w:rPr>
          <w:rFonts w:ascii="Arial" w:hAnsi="Arial" w:cs="Arial"/>
          <w:sz w:val="20"/>
          <w:szCs w:val="20"/>
        </w:rPr>
        <w:t xml:space="preserve">%) de la superficie totale de </w:t>
      </w:r>
      <w:r w:rsidR="004418F4" w:rsidRPr="00B6647E">
        <w:rPr>
          <w:rFonts w:ascii="Arial" w:hAnsi="Arial" w:cs="Arial"/>
          <w:sz w:val="20"/>
          <w:szCs w:val="20"/>
        </w:rPr>
        <w:t>tubercules et racines</w:t>
      </w:r>
      <w:r w:rsidRPr="00B6647E">
        <w:rPr>
          <w:rFonts w:ascii="Arial" w:hAnsi="Arial" w:cs="Arial"/>
          <w:sz w:val="20"/>
          <w:szCs w:val="20"/>
        </w:rPr>
        <w:t xml:space="preserve">. </w:t>
      </w:r>
      <w:r w:rsidR="004418F4" w:rsidRPr="00B6647E">
        <w:rPr>
          <w:rFonts w:ascii="Arial" w:hAnsi="Arial" w:cs="Arial"/>
          <w:sz w:val="20"/>
          <w:szCs w:val="20"/>
        </w:rPr>
        <w:t>La superficie de cette culture est estimée à 32.540 ha (32,1</w:t>
      </w:r>
      <w:r w:rsidRPr="00B6647E">
        <w:rPr>
          <w:rFonts w:ascii="Arial" w:hAnsi="Arial" w:cs="Arial"/>
          <w:sz w:val="20"/>
          <w:szCs w:val="20"/>
        </w:rPr>
        <w:t>%</w:t>
      </w:r>
      <w:r w:rsidR="004418F4" w:rsidRPr="00B6647E">
        <w:rPr>
          <w:rFonts w:ascii="Arial" w:hAnsi="Arial" w:cs="Arial"/>
          <w:sz w:val="20"/>
          <w:szCs w:val="20"/>
        </w:rPr>
        <w:t>)</w:t>
      </w:r>
      <w:r w:rsidRPr="00B6647E">
        <w:rPr>
          <w:rFonts w:ascii="Arial" w:hAnsi="Arial" w:cs="Arial"/>
          <w:sz w:val="20"/>
          <w:szCs w:val="20"/>
        </w:rPr>
        <w:t xml:space="preserve"> au cours de la saison A</w:t>
      </w:r>
      <w:r w:rsidR="004418F4" w:rsidRPr="00B6647E">
        <w:rPr>
          <w:rFonts w:ascii="Arial" w:hAnsi="Arial" w:cs="Arial"/>
          <w:sz w:val="20"/>
          <w:szCs w:val="20"/>
        </w:rPr>
        <w:t>. Elle est de 27.522</w:t>
      </w:r>
      <w:r w:rsidRPr="00B6647E">
        <w:rPr>
          <w:rFonts w:ascii="Arial" w:hAnsi="Arial" w:cs="Arial"/>
          <w:sz w:val="20"/>
          <w:szCs w:val="20"/>
        </w:rPr>
        <w:t xml:space="preserve"> ha</w:t>
      </w:r>
      <w:r w:rsidR="004418F4" w:rsidRPr="00B6647E">
        <w:rPr>
          <w:rFonts w:ascii="Arial" w:hAnsi="Arial" w:cs="Arial"/>
          <w:sz w:val="20"/>
          <w:szCs w:val="20"/>
        </w:rPr>
        <w:t xml:space="preserve"> (27,1</w:t>
      </w:r>
      <w:r w:rsidRPr="00B6647E">
        <w:rPr>
          <w:rFonts w:ascii="Arial" w:hAnsi="Arial" w:cs="Arial"/>
          <w:sz w:val="20"/>
          <w:szCs w:val="20"/>
        </w:rPr>
        <w:t>%</w:t>
      </w:r>
      <w:r w:rsidR="004418F4" w:rsidRPr="00B6647E">
        <w:rPr>
          <w:rFonts w:ascii="Arial" w:hAnsi="Arial" w:cs="Arial"/>
          <w:sz w:val="20"/>
          <w:szCs w:val="20"/>
        </w:rPr>
        <w:t>) pendant la saison B</w:t>
      </w:r>
      <w:r w:rsidRPr="00B6647E">
        <w:rPr>
          <w:rFonts w:ascii="Arial" w:hAnsi="Arial" w:cs="Arial"/>
          <w:sz w:val="20"/>
          <w:szCs w:val="20"/>
        </w:rPr>
        <w:t xml:space="preserve"> et de </w:t>
      </w:r>
      <w:r w:rsidR="004418F4" w:rsidRPr="00B6647E">
        <w:rPr>
          <w:rFonts w:ascii="Arial" w:hAnsi="Arial" w:cs="Arial"/>
          <w:sz w:val="20"/>
          <w:szCs w:val="20"/>
        </w:rPr>
        <w:t xml:space="preserve">41.359 ha (40,8%) </w:t>
      </w:r>
      <w:r w:rsidRPr="00B6647E">
        <w:rPr>
          <w:rFonts w:ascii="Arial" w:hAnsi="Arial" w:cs="Arial"/>
          <w:sz w:val="20"/>
          <w:szCs w:val="20"/>
        </w:rPr>
        <w:t>en saison C.</w:t>
      </w:r>
    </w:p>
    <w:p w:rsidR="00BD11DD" w:rsidRPr="00B6647E" w:rsidRDefault="00BD11DD" w:rsidP="0053275E">
      <w:pPr>
        <w:pStyle w:val="Paragraphedeliste"/>
        <w:spacing w:after="120" w:line="240" w:lineRule="auto"/>
        <w:ind w:left="0"/>
        <w:contextualSpacing w:val="0"/>
        <w:jc w:val="both"/>
        <w:rPr>
          <w:rFonts w:ascii="Arial" w:hAnsi="Arial" w:cs="Arial"/>
          <w:sz w:val="20"/>
          <w:szCs w:val="20"/>
        </w:rPr>
      </w:pPr>
      <w:r w:rsidRPr="00B6647E">
        <w:rPr>
          <w:rFonts w:ascii="Arial" w:hAnsi="Arial" w:cs="Arial"/>
          <w:sz w:val="20"/>
          <w:szCs w:val="20"/>
        </w:rPr>
        <w:t xml:space="preserve">La superficie de </w:t>
      </w:r>
      <w:r w:rsidR="004418F4" w:rsidRPr="00B6647E">
        <w:rPr>
          <w:rFonts w:ascii="Arial" w:hAnsi="Arial" w:cs="Arial"/>
          <w:sz w:val="20"/>
          <w:szCs w:val="20"/>
        </w:rPr>
        <w:t>patate douce</w:t>
      </w:r>
      <w:r w:rsidRPr="00B6647E">
        <w:rPr>
          <w:rFonts w:ascii="Arial" w:hAnsi="Arial" w:cs="Arial"/>
          <w:sz w:val="20"/>
          <w:szCs w:val="20"/>
        </w:rPr>
        <w:t xml:space="preserve"> (</w:t>
      </w:r>
      <w:r w:rsidR="004418F4" w:rsidRPr="00B6647E">
        <w:rPr>
          <w:rFonts w:ascii="Arial" w:hAnsi="Arial" w:cs="Arial"/>
          <w:sz w:val="20"/>
          <w:szCs w:val="20"/>
        </w:rPr>
        <w:t>21</w:t>
      </w:r>
      <w:r w:rsidRPr="00B6647E">
        <w:rPr>
          <w:rFonts w:ascii="Arial" w:hAnsi="Arial" w:cs="Arial"/>
          <w:sz w:val="20"/>
          <w:szCs w:val="20"/>
        </w:rPr>
        <w:t>.</w:t>
      </w:r>
      <w:r w:rsidR="004418F4" w:rsidRPr="00B6647E">
        <w:rPr>
          <w:rFonts w:ascii="Arial" w:hAnsi="Arial" w:cs="Arial"/>
          <w:sz w:val="20"/>
          <w:szCs w:val="20"/>
        </w:rPr>
        <w:t>541</w:t>
      </w:r>
      <w:r w:rsidRPr="00B6647E">
        <w:rPr>
          <w:rFonts w:ascii="Arial" w:hAnsi="Arial" w:cs="Arial"/>
          <w:sz w:val="20"/>
          <w:szCs w:val="20"/>
        </w:rPr>
        <w:t xml:space="preserve"> ha</w:t>
      </w:r>
      <w:r w:rsidR="004418F4" w:rsidRPr="00B6647E">
        <w:rPr>
          <w:rFonts w:ascii="Arial" w:hAnsi="Arial" w:cs="Arial"/>
          <w:sz w:val="20"/>
          <w:szCs w:val="20"/>
        </w:rPr>
        <w:t>, soit 21,2%)</w:t>
      </w:r>
      <w:r w:rsidRPr="00B6647E">
        <w:rPr>
          <w:rFonts w:ascii="Arial" w:hAnsi="Arial" w:cs="Arial"/>
          <w:sz w:val="20"/>
          <w:szCs w:val="20"/>
        </w:rPr>
        <w:t xml:space="preserve">) de la région naturelle de Kirimiro est supérieure aux autres régions. Viennent ensuite dans l’ordre </w:t>
      </w:r>
      <w:r w:rsidR="00261AC2" w:rsidRPr="00B6647E">
        <w:rPr>
          <w:rFonts w:ascii="Arial" w:hAnsi="Arial" w:cs="Arial"/>
          <w:sz w:val="20"/>
          <w:szCs w:val="20"/>
        </w:rPr>
        <w:t xml:space="preserve">Buyenzi (18.260 ha, soit 18%), Bugesera (15.720 ha, soit 15,5%), </w:t>
      </w:r>
      <w:r w:rsidRPr="00B6647E">
        <w:rPr>
          <w:rFonts w:ascii="Arial" w:hAnsi="Arial" w:cs="Arial"/>
          <w:sz w:val="20"/>
          <w:szCs w:val="20"/>
        </w:rPr>
        <w:t>Bweru (1</w:t>
      </w:r>
      <w:r w:rsidR="00261AC2" w:rsidRPr="00B6647E">
        <w:rPr>
          <w:rFonts w:ascii="Arial" w:hAnsi="Arial" w:cs="Arial"/>
          <w:sz w:val="20"/>
          <w:szCs w:val="20"/>
        </w:rPr>
        <w:t>3</w:t>
      </w:r>
      <w:r w:rsidRPr="00B6647E">
        <w:rPr>
          <w:rFonts w:ascii="Arial" w:hAnsi="Arial" w:cs="Arial"/>
          <w:sz w:val="20"/>
          <w:szCs w:val="20"/>
        </w:rPr>
        <w:t>.</w:t>
      </w:r>
      <w:r w:rsidR="00261AC2" w:rsidRPr="00B6647E">
        <w:rPr>
          <w:rFonts w:ascii="Arial" w:hAnsi="Arial" w:cs="Arial"/>
          <w:sz w:val="20"/>
          <w:szCs w:val="20"/>
        </w:rPr>
        <w:t>099</w:t>
      </w:r>
      <w:r w:rsidRPr="00B6647E">
        <w:rPr>
          <w:rFonts w:ascii="Arial" w:hAnsi="Arial" w:cs="Arial"/>
          <w:sz w:val="20"/>
          <w:szCs w:val="20"/>
        </w:rPr>
        <w:t xml:space="preserve"> ha</w:t>
      </w:r>
      <w:r w:rsidR="00261AC2" w:rsidRPr="00B6647E">
        <w:rPr>
          <w:rFonts w:ascii="Arial" w:hAnsi="Arial" w:cs="Arial"/>
          <w:sz w:val="20"/>
          <w:szCs w:val="20"/>
        </w:rPr>
        <w:t>, soit 12,9%</w:t>
      </w:r>
      <w:r w:rsidRPr="00B6647E">
        <w:rPr>
          <w:rFonts w:ascii="Arial" w:hAnsi="Arial" w:cs="Arial"/>
          <w:sz w:val="20"/>
          <w:szCs w:val="20"/>
        </w:rPr>
        <w:t xml:space="preserve">), </w:t>
      </w:r>
      <w:r w:rsidR="00261AC2" w:rsidRPr="00B6647E">
        <w:rPr>
          <w:rFonts w:ascii="Arial" w:hAnsi="Arial" w:cs="Arial"/>
          <w:sz w:val="20"/>
          <w:szCs w:val="20"/>
        </w:rPr>
        <w:t>Mugamba</w:t>
      </w:r>
      <w:r w:rsidRPr="00B6647E">
        <w:rPr>
          <w:rFonts w:ascii="Arial" w:hAnsi="Arial" w:cs="Arial"/>
          <w:sz w:val="20"/>
          <w:szCs w:val="20"/>
        </w:rPr>
        <w:t xml:space="preserve"> (</w:t>
      </w:r>
      <w:r w:rsidR="00261AC2" w:rsidRPr="00B6647E">
        <w:rPr>
          <w:rFonts w:ascii="Arial" w:hAnsi="Arial" w:cs="Arial"/>
          <w:sz w:val="20"/>
          <w:szCs w:val="20"/>
        </w:rPr>
        <w:t xml:space="preserve">11.187 ha, soit 11%). Les régions de Buragane, Bututsi, </w:t>
      </w:r>
      <w:r w:rsidRPr="00B6647E">
        <w:rPr>
          <w:rFonts w:ascii="Arial" w:hAnsi="Arial" w:cs="Arial"/>
          <w:sz w:val="20"/>
          <w:szCs w:val="20"/>
        </w:rPr>
        <w:t>Buyogoma</w:t>
      </w:r>
      <w:r w:rsidR="00261AC2" w:rsidRPr="00B6647E">
        <w:rPr>
          <w:rFonts w:ascii="Arial" w:hAnsi="Arial" w:cs="Arial"/>
          <w:sz w:val="20"/>
          <w:szCs w:val="20"/>
        </w:rPr>
        <w:t>, Imbo</w:t>
      </w:r>
      <w:r w:rsidRPr="00B6647E">
        <w:rPr>
          <w:rFonts w:ascii="Arial" w:hAnsi="Arial" w:cs="Arial"/>
          <w:sz w:val="20"/>
          <w:szCs w:val="20"/>
        </w:rPr>
        <w:t xml:space="preserve"> et Moso ont cultivé chacune moins de 5.000 ha de </w:t>
      </w:r>
      <w:r w:rsidR="00261AC2" w:rsidRPr="00B6647E">
        <w:rPr>
          <w:rFonts w:ascii="Arial" w:hAnsi="Arial" w:cs="Arial"/>
          <w:sz w:val="20"/>
          <w:szCs w:val="20"/>
        </w:rPr>
        <w:t>patate douce</w:t>
      </w:r>
      <w:r w:rsidRPr="00B6647E">
        <w:rPr>
          <w:rFonts w:ascii="Arial" w:hAnsi="Arial" w:cs="Arial"/>
          <w:sz w:val="20"/>
          <w:szCs w:val="20"/>
        </w:rPr>
        <w:t xml:space="preserve"> sur l’ensemble des trois saisons de la campagne agricole 2011-2012</w:t>
      </w:r>
    </w:p>
    <w:p w:rsidR="00CC0424" w:rsidRPr="00B6647E" w:rsidRDefault="00CC0424" w:rsidP="005D3950">
      <w:pPr>
        <w:pStyle w:val="Lgende"/>
        <w:keepNext/>
        <w:jc w:val="both"/>
        <w:rPr>
          <w:rFonts w:ascii="Arial" w:hAnsi="Arial" w:cs="Arial"/>
        </w:rPr>
      </w:pPr>
      <w:r w:rsidRPr="00B6647E">
        <w:rPr>
          <w:rFonts w:ascii="Arial" w:hAnsi="Arial" w:cs="Arial"/>
        </w:rPr>
        <w:t xml:space="preserve">Tableau </w:t>
      </w:r>
      <w:r w:rsidR="00E34AD0">
        <w:rPr>
          <w:rFonts w:ascii="Arial" w:hAnsi="Arial" w:cs="Arial"/>
        </w:rPr>
        <w:t>15</w:t>
      </w:r>
      <w:r w:rsidR="005E6CB8" w:rsidRPr="00B6647E">
        <w:rPr>
          <w:rFonts w:ascii="Arial" w:hAnsi="Arial" w:cs="Arial"/>
        </w:rPr>
        <w:t>4 :</w:t>
      </w:r>
      <w:r w:rsidRPr="00B6647E">
        <w:rPr>
          <w:rFonts w:ascii="Arial" w:hAnsi="Arial" w:cs="Arial"/>
        </w:rPr>
        <w:t xml:space="preserve"> Superficie totale cultivée de la patate douce par région pendant les trois saisons</w:t>
      </w:r>
    </w:p>
    <w:p w:rsidR="00CC0424" w:rsidRPr="00B6647E" w:rsidRDefault="001C6913" w:rsidP="005D3950">
      <w:pPr>
        <w:spacing w:line="240" w:lineRule="auto"/>
        <w:rPr>
          <w:lang w:eastAsia="fr-FR"/>
        </w:rPr>
      </w:pPr>
      <w:r w:rsidRPr="00B6647E">
        <w:rPr>
          <w:noProof/>
          <w:lang w:val="fr-FR" w:eastAsia="fr-FR"/>
        </w:rPr>
        <w:drawing>
          <wp:inline distT="0" distB="0" distL="0" distR="0">
            <wp:extent cx="4067175" cy="2914650"/>
            <wp:effectExtent l="19050" t="0" r="9525" b="0"/>
            <wp:docPr id="468"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03" cstate="print"/>
                    <a:srcRect/>
                    <a:stretch>
                      <a:fillRect/>
                    </a:stretch>
                  </pic:blipFill>
                  <pic:spPr bwMode="auto">
                    <a:xfrm>
                      <a:off x="0" y="0"/>
                      <a:ext cx="4067175" cy="2914650"/>
                    </a:xfrm>
                    <a:prstGeom prst="rect">
                      <a:avLst/>
                    </a:prstGeom>
                    <a:noFill/>
                    <a:ln w="9525">
                      <a:noFill/>
                      <a:miter lim="800000"/>
                      <a:headEnd/>
                      <a:tailEnd/>
                    </a:ln>
                  </pic:spPr>
                </pic:pic>
              </a:graphicData>
            </a:graphic>
          </wp:inline>
        </w:drawing>
      </w:r>
    </w:p>
    <w:p w:rsidR="00E36452" w:rsidRPr="00B6647E" w:rsidRDefault="00E22FB1" w:rsidP="005D3950">
      <w:pPr>
        <w:spacing w:line="240" w:lineRule="auto"/>
        <w:jc w:val="both"/>
        <w:rPr>
          <w:rFonts w:ascii="Arial" w:hAnsi="Arial" w:cs="Arial"/>
          <w:sz w:val="20"/>
          <w:szCs w:val="20"/>
          <w:lang w:eastAsia="fr-FR"/>
        </w:rPr>
      </w:pPr>
      <w:r w:rsidRPr="00B6647E">
        <w:rPr>
          <w:rFonts w:ascii="Arial" w:hAnsi="Arial" w:cs="Arial"/>
          <w:sz w:val="20"/>
          <w:szCs w:val="20"/>
          <w:lang w:eastAsia="fr-FR"/>
        </w:rPr>
        <w:lastRenderedPageBreak/>
        <w:t>La superficie totale de pomme de terre (15.351 ha) représente 3,6% de la superficie totale de tubercules et racines</w:t>
      </w:r>
      <w:r w:rsidR="00C87B3C" w:rsidRPr="00B6647E">
        <w:rPr>
          <w:rFonts w:ascii="Arial" w:hAnsi="Arial" w:cs="Arial"/>
          <w:sz w:val="20"/>
          <w:szCs w:val="20"/>
          <w:lang w:eastAsia="fr-FR"/>
        </w:rPr>
        <w:t xml:space="preserve"> cumulée des trois saisons</w:t>
      </w:r>
      <w:r w:rsidRPr="00B6647E">
        <w:rPr>
          <w:rFonts w:ascii="Arial" w:hAnsi="Arial" w:cs="Arial"/>
          <w:sz w:val="20"/>
          <w:szCs w:val="20"/>
          <w:lang w:eastAsia="fr-FR"/>
        </w:rPr>
        <w:t xml:space="preserve">. </w:t>
      </w:r>
      <w:r w:rsidR="00E36452" w:rsidRPr="00B6647E">
        <w:rPr>
          <w:rFonts w:ascii="Arial" w:hAnsi="Arial" w:cs="Arial"/>
          <w:sz w:val="20"/>
          <w:szCs w:val="20"/>
          <w:lang w:eastAsia="fr-FR"/>
        </w:rPr>
        <w:t>La région d’Imbo n’a pas enregistré de pomme de terre en culture pure et principale au cours des trois saisons.</w:t>
      </w:r>
    </w:p>
    <w:p w:rsidR="00E22FB1" w:rsidRPr="00B6647E" w:rsidRDefault="00E22FB1" w:rsidP="005D3950">
      <w:pPr>
        <w:spacing w:line="240" w:lineRule="auto"/>
        <w:jc w:val="both"/>
        <w:rPr>
          <w:rFonts w:ascii="Arial" w:hAnsi="Arial" w:cs="Arial"/>
          <w:sz w:val="20"/>
          <w:szCs w:val="20"/>
          <w:lang w:eastAsia="fr-FR"/>
        </w:rPr>
      </w:pPr>
      <w:r w:rsidRPr="00B6647E">
        <w:rPr>
          <w:rFonts w:ascii="Arial" w:hAnsi="Arial" w:cs="Arial"/>
          <w:sz w:val="20"/>
          <w:szCs w:val="20"/>
          <w:lang w:eastAsia="fr-FR"/>
        </w:rPr>
        <w:t xml:space="preserve">Les régions naturelles de </w:t>
      </w:r>
      <w:r w:rsidR="00E36452" w:rsidRPr="00B6647E">
        <w:rPr>
          <w:rFonts w:ascii="Arial" w:hAnsi="Arial" w:cs="Arial"/>
          <w:sz w:val="20"/>
          <w:szCs w:val="20"/>
          <w:lang w:eastAsia="fr-FR"/>
        </w:rPr>
        <w:t>Mugamba</w:t>
      </w:r>
      <w:r w:rsidRPr="00B6647E">
        <w:rPr>
          <w:rFonts w:ascii="Arial" w:hAnsi="Arial" w:cs="Arial"/>
          <w:sz w:val="20"/>
          <w:szCs w:val="20"/>
          <w:lang w:eastAsia="fr-FR"/>
        </w:rPr>
        <w:t xml:space="preserve"> (</w:t>
      </w:r>
      <w:r w:rsidR="00E36452" w:rsidRPr="00B6647E">
        <w:rPr>
          <w:rFonts w:ascii="Arial" w:hAnsi="Arial" w:cs="Arial"/>
          <w:sz w:val="20"/>
          <w:szCs w:val="20"/>
          <w:lang w:eastAsia="fr-FR"/>
        </w:rPr>
        <w:t>4</w:t>
      </w:r>
      <w:r w:rsidRPr="00B6647E">
        <w:rPr>
          <w:rFonts w:ascii="Arial" w:hAnsi="Arial" w:cs="Arial"/>
          <w:sz w:val="20"/>
          <w:szCs w:val="20"/>
          <w:lang w:eastAsia="fr-FR"/>
        </w:rPr>
        <w:t>.</w:t>
      </w:r>
      <w:r w:rsidR="00E36452" w:rsidRPr="00B6647E">
        <w:rPr>
          <w:rFonts w:ascii="Arial" w:hAnsi="Arial" w:cs="Arial"/>
          <w:sz w:val="20"/>
          <w:szCs w:val="20"/>
          <w:lang w:eastAsia="fr-FR"/>
        </w:rPr>
        <w:t>496</w:t>
      </w:r>
      <w:r w:rsidRPr="00B6647E">
        <w:rPr>
          <w:rFonts w:ascii="Arial" w:hAnsi="Arial" w:cs="Arial"/>
          <w:sz w:val="20"/>
          <w:szCs w:val="20"/>
          <w:lang w:eastAsia="fr-FR"/>
        </w:rPr>
        <w:t xml:space="preserve"> ha, soit </w:t>
      </w:r>
      <w:r w:rsidR="00E36452" w:rsidRPr="00B6647E">
        <w:rPr>
          <w:rFonts w:ascii="Arial" w:hAnsi="Arial" w:cs="Arial"/>
          <w:sz w:val="20"/>
          <w:szCs w:val="20"/>
          <w:lang w:eastAsia="fr-FR"/>
        </w:rPr>
        <w:t>29,3</w:t>
      </w:r>
      <w:r w:rsidRPr="00B6647E">
        <w:rPr>
          <w:rFonts w:ascii="Arial" w:hAnsi="Arial" w:cs="Arial"/>
          <w:sz w:val="20"/>
          <w:szCs w:val="20"/>
          <w:lang w:eastAsia="fr-FR"/>
        </w:rPr>
        <w:t>% du total de la campagne)</w:t>
      </w:r>
      <w:r w:rsidR="00E36452" w:rsidRPr="00B6647E">
        <w:rPr>
          <w:rFonts w:ascii="Arial" w:hAnsi="Arial" w:cs="Arial"/>
          <w:sz w:val="20"/>
          <w:szCs w:val="20"/>
          <w:lang w:eastAsia="fr-FR"/>
        </w:rPr>
        <w:t xml:space="preserve">, Kirimiro (3.170 ha, 20,6%), </w:t>
      </w:r>
      <w:r w:rsidRPr="00B6647E">
        <w:rPr>
          <w:rFonts w:ascii="Arial" w:hAnsi="Arial" w:cs="Arial"/>
          <w:sz w:val="20"/>
          <w:szCs w:val="20"/>
          <w:lang w:eastAsia="fr-FR"/>
        </w:rPr>
        <w:t>Buyenzi (</w:t>
      </w:r>
      <w:r w:rsidR="00E36452" w:rsidRPr="00B6647E">
        <w:rPr>
          <w:rFonts w:ascii="Arial" w:hAnsi="Arial" w:cs="Arial"/>
          <w:sz w:val="20"/>
          <w:szCs w:val="20"/>
          <w:lang w:eastAsia="fr-FR"/>
        </w:rPr>
        <w:t>2.638</w:t>
      </w:r>
      <w:r w:rsidRPr="00B6647E">
        <w:rPr>
          <w:rFonts w:ascii="Arial" w:hAnsi="Arial" w:cs="Arial"/>
          <w:sz w:val="20"/>
          <w:szCs w:val="20"/>
          <w:lang w:eastAsia="fr-FR"/>
        </w:rPr>
        <w:t xml:space="preserve"> ha, soit </w:t>
      </w:r>
      <w:r w:rsidR="00E36452" w:rsidRPr="00B6647E">
        <w:rPr>
          <w:rFonts w:ascii="Arial" w:hAnsi="Arial" w:cs="Arial"/>
          <w:sz w:val="20"/>
          <w:szCs w:val="20"/>
          <w:lang w:eastAsia="fr-FR"/>
        </w:rPr>
        <w:t>17,2</w:t>
      </w:r>
      <w:r w:rsidRPr="00B6647E">
        <w:rPr>
          <w:rFonts w:ascii="Arial" w:hAnsi="Arial" w:cs="Arial"/>
          <w:sz w:val="20"/>
          <w:szCs w:val="20"/>
          <w:lang w:eastAsia="fr-FR"/>
        </w:rPr>
        <w:t>%)</w:t>
      </w:r>
      <w:r w:rsidR="00E36452" w:rsidRPr="00B6647E">
        <w:rPr>
          <w:rFonts w:ascii="Arial" w:hAnsi="Arial" w:cs="Arial"/>
          <w:sz w:val="20"/>
          <w:szCs w:val="20"/>
          <w:lang w:eastAsia="fr-FR"/>
        </w:rPr>
        <w:t xml:space="preserve">, Bweru (2.149 ha, soit 14%) </w:t>
      </w:r>
      <w:r w:rsidRPr="00B6647E">
        <w:rPr>
          <w:rFonts w:ascii="Arial" w:hAnsi="Arial" w:cs="Arial"/>
          <w:sz w:val="20"/>
          <w:szCs w:val="20"/>
          <w:lang w:eastAsia="fr-FR"/>
        </w:rPr>
        <w:t xml:space="preserve">ont cultivé les plus grandes superficies de </w:t>
      </w:r>
      <w:r w:rsidR="00E36452" w:rsidRPr="00B6647E">
        <w:rPr>
          <w:rFonts w:ascii="Arial" w:hAnsi="Arial" w:cs="Arial"/>
          <w:sz w:val="20"/>
          <w:szCs w:val="20"/>
          <w:lang w:eastAsia="fr-FR"/>
        </w:rPr>
        <w:t>pomme de terre</w:t>
      </w:r>
      <w:r w:rsidRPr="00B6647E">
        <w:rPr>
          <w:rFonts w:ascii="Arial" w:hAnsi="Arial" w:cs="Arial"/>
          <w:sz w:val="20"/>
          <w:szCs w:val="20"/>
          <w:lang w:eastAsia="fr-FR"/>
        </w:rPr>
        <w:t xml:space="preserve">. Au cours de la saison </w:t>
      </w:r>
      <w:r w:rsidR="00E36452" w:rsidRPr="00B6647E">
        <w:rPr>
          <w:rFonts w:ascii="Arial" w:hAnsi="Arial" w:cs="Arial"/>
          <w:sz w:val="20"/>
          <w:szCs w:val="20"/>
          <w:lang w:eastAsia="fr-FR"/>
        </w:rPr>
        <w:t>A</w:t>
      </w:r>
      <w:r w:rsidRPr="00B6647E">
        <w:rPr>
          <w:rFonts w:ascii="Arial" w:hAnsi="Arial" w:cs="Arial"/>
          <w:sz w:val="20"/>
          <w:szCs w:val="20"/>
          <w:lang w:eastAsia="fr-FR"/>
        </w:rPr>
        <w:t xml:space="preserve"> cette superficie est </w:t>
      </w:r>
      <w:r w:rsidR="00E36452" w:rsidRPr="00B6647E">
        <w:rPr>
          <w:rFonts w:ascii="Arial" w:hAnsi="Arial" w:cs="Arial"/>
          <w:sz w:val="20"/>
          <w:szCs w:val="20"/>
          <w:lang w:eastAsia="fr-FR"/>
        </w:rPr>
        <w:t>6.002</w:t>
      </w:r>
      <w:r w:rsidRPr="00B6647E">
        <w:rPr>
          <w:rFonts w:ascii="Arial" w:hAnsi="Arial" w:cs="Arial"/>
          <w:sz w:val="20"/>
          <w:szCs w:val="20"/>
          <w:lang w:eastAsia="fr-FR"/>
        </w:rPr>
        <w:t xml:space="preserve"> ha (</w:t>
      </w:r>
      <w:r w:rsidR="00A939ED" w:rsidRPr="00B6647E">
        <w:rPr>
          <w:rFonts w:ascii="Arial" w:hAnsi="Arial" w:cs="Arial"/>
          <w:sz w:val="20"/>
          <w:szCs w:val="20"/>
          <w:lang w:eastAsia="fr-FR"/>
        </w:rPr>
        <w:t>39,1</w:t>
      </w:r>
      <w:r w:rsidRPr="00B6647E">
        <w:rPr>
          <w:rFonts w:ascii="Arial" w:hAnsi="Arial" w:cs="Arial"/>
          <w:sz w:val="20"/>
          <w:szCs w:val="20"/>
          <w:lang w:eastAsia="fr-FR"/>
        </w:rPr>
        <w:t xml:space="preserve">%). En saison </w:t>
      </w:r>
      <w:r w:rsidR="00A939ED" w:rsidRPr="00B6647E">
        <w:rPr>
          <w:rFonts w:ascii="Arial" w:hAnsi="Arial" w:cs="Arial"/>
          <w:sz w:val="20"/>
          <w:szCs w:val="20"/>
          <w:lang w:eastAsia="fr-FR"/>
        </w:rPr>
        <w:t>B</w:t>
      </w:r>
      <w:r w:rsidRPr="00B6647E">
        <w:rPr>
          <w:rFonts w:ascii="Arial" w:hAnsi="Arial" w:cs="Arial"/>
          <w:sz w:val="20"/>
          <w:szCs w:val="20"/>
          <w:lang w:eastAsia="fr-FR"/>
        </w:rPr>
        <w:t xml:space="preserve">, cette superficie de </w:t>
      </w:r>
      <w:r w:rsidR="00A939ED" w:rsidRPr="00B6647E">
        <w:rPr>
          <w:rFonts w:ascii="Arial" w:hAnsi="Arial" w:cs="Arial"/>
          <w:sz w:val="20"/>
          <w:szCs w:val="20"/>
          <w:lang w:eastAsia="fr-FR"/>
        </w:rPr>
        <w:t xml:space="preserve">pomme de terre </w:t>
      </w:r>
      <w:r w:rsidRPr="00B6647E">
        <w:rPr>
          <w:rFonts w:ascii="Arial" w:hAnsi="Arial" w:cs="Arial"/>
          <w:sz w:val="20"/>
          <w:szCs w:val="20"/>
          <w:lang w:eastAsia="fr-FR"/>
        </w:rPr>
        <w:t xml:space="preserve">a été estimée à </w:t>
      </w:r>
      <w:r w:rsidR="00A939ED" w:rsidRPr="00B6647E">
        <w:rPr>
          <w:rFonts w:ascii="Arial" w:hAnsi="Arial" w:cs="Arial"/>
          <w:sz w:val="20"/>
          <w:szCs w:val="20"/>
          <w:lang w:eastAsia="fr-FR"/>
        </w:rPr>
        <w:t>3.932</w:t>
      </w:r>
      <w:r w:rsidRPr="00B6647E">
        <w:rPr>
          <w:rFonts w:ascii="Arial" w:hAnsi="Arial" w:cs="Arial"/>
          <w:sz w:val="20"/>
          <w:szCs w:val="20"/>
          <w:lang w:eastAsia="fr-FR"/>
        </w:rPr>
        <w:t xml:space="preserve"> ha (2</w:t>
      </w:r>
      <w:r w:rsidR="00A939ED" w:rsidRPr="00B6647E">
        <w:rPr>
          <w:rFonts w:ascii="Arial" w:hAnsi="Arial" w:cs="Arial"/>
          <w:sz w:val="20"/>
          <w:szCs w:val="20"/>
          <w:lang w:eastAsia="fr-FR"/>
        </w:rPr>
        <w:t>5,6</w:t>
      </w:r>
      <w:r w:rsidRPr="00B6647E">
        <w:rPr>
          <w:rFonts w:ascii="Arial" w:hAnsi="Arial" w:cs="Arial"/>
          <w:sz w:val="20"/>
          <w:szCs w:val="20"/>
          <w:lang w:eastAsia="fr-FR"/>
        </w:rPr>
        <w:t xml:space="preserve">%) et </w:t>
      </w:r>
      <w:r w:rsidR="00A939ED" w:rsidRPr="00B6647E">
        <w:rPr>
          <w:rFonts w:ascii="Arial" w:hAnsi="Arial" w:cs="Arial"/>
          <w:sz w:val="20"/>
          <w:szCs w:val="20"/>
          <w:lang w:eastAsia="fr-FR"/>
        </w:rPr>
        <w:t xml:space="preserve">à 5.417 ha (35,3%) </w:t>
      </w:r>
      <w:r w:rsidRPr="00B6647E">
        <w:rPr>
          <w:rFonts w:ascii="Arial" w:hAnsi="Arial" w:cs="Arial"/>
          <w:sz w:val="20"/>
          <w:szCs w:val="20"/>
          <w:lang w:eastAsia="fr-FR"/>
        </w:rPr>
        <w:t>pendant la saison C.</w:t>
      </w:r>
    </w:p>
    <w:p w:rsidR="00CC0424" w:rsidRPr="00B6647E" w:rsidRDefault="00CC0424" w:rsidP="005D3950">
      <w:pPr>
        <w:pStyle w:val="Lgende"/>
        <w:keepNext/>
        <w:jc w:val="both"/>
        <w:rPr>
          <w:rFonts w:ascii="Arial" w:hAnsi="Arial" w:cs="Arial"/>
        </w:rPr>
      </w:pPr>
      <w:r w:rsidRPr="00B6647E">
        <w:rPr>
          <w:rFonts w:ascii="Arial" w:hAnsi="Arial" w:cs="Arial"/>
        </w:rPr>
        <w:t xml:space="preserve">Tableau </w:t>
      </w:r>
      <w:r w:rsidR="00E34AD0">
        <w:rPr>
          <w:rFonts w:ascii="Arial" w:hAnsi="Arial" w:cs="Arial"/>
        </w:rPr>
        <w:t>15</w:t>
      </w:r>
      <w:r w:rsidR="005E6CB8" w:rsidRPr="00B6647E">
        <w:rPr>
          <w:rFonts w:ascii="Arial" w:hAnsi="Arial" w:cs="Arial"/>
        </w:rPr>
        <w:t>5 :</w:t>
      </w:r>
      <w:r w:rsidRPr="00B6647E">
        <w:rPr>
          <w:rFonts w:ascii="Arial" w:hAnsi="Arial" w:cs="Arial"/>
        </w:rPr>
        <w:t xml:space="preserve"> Superficie totale cultivée de la pomme de terre par région pendant les trois saisons</w:t>
      </w:r>
    </w:p>
    <w:p w:rsidR="00CC0424" w:rsidRPr="00B6647E" w:rsidRDefault="001C6913" w:rsidP="005D3950">
      <w:pPr>
        <w:spacing w:line="240" w:lineRule="auto"/>
        <w:rPr>
          <w:lang w:eastAsia="fr-FR"/>
        </w:rPr>
      </w:pPr>
      <w:r w:rsidRPr="00B6647E">
        <w:rPr>
          <w:noProof/>
          <w:lang w:val="fr-FR" w:eastAsia="fr-FR"/>
        </w:rPr>
        <w:drawing>
          <wp:inline distT="0" distB="0" distL="0" distR="0">
            <wp:extent cx="4067175" cy="2914650"/>
            <wp:effectExtent l="19050" t="0" r="9525" b="0"/>
            <wp:docPr id="469"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4" cstate="print"/>
                    <a:srcRect/>
                    <a:stretch>
                      <a:fillRect/>
                    </a:stretch>
                  </pic:blipFill>
                  <pic:spPr bwMode="auto">
                    <a:xfrm>
                      <a:off x="0" y="0"/>
                      <a:ext cx="4067175" cy="2914650"/>
                    </a:xfrm>
                    <a:prstGeom prst="rect">
                      <a:avLst/>
                    </a:prstGeom>
                    <a:noFill/>
                    <a:ln w="9525">
                      <a:noFill/>
                      <a:miter lim="800000"/>
                      <a:headEnd/>
                      <a:tailEnd/>
                    </a:ln>
                  </pic:spPr>
                </pic:pic>
              </a:graphicData>
            </a:graphic>
          </wp:inline>
        </w:drawing>
      </w:r>
    </w:p>
    <w:p w:rsidR="00DC16E4" w:rsidRPr="00B6647E" w:rsidRDefault="00DC16E4" w:rsidP="005D3950">
      <w:pPr>
        <w:spacing w:line="240" w:lineRule="auto"/>
        <w:jc w:val="both"/>
        <w:rPr>
          <w:rFonts w:ascii="Arial" w:hAnsi="Arial" w:cs="Arial"/>
          <w:sz w:val="20"/>
          <w:szCs w:val="20"/>
        </w:rPr>
      </w:pPr>
      <w:r w:rsidRPr="00B6647E">
        <w:rPr>
          <w:rFonts w:ascii="Arial" w:hAnsi="Arial" w:cs="Arial"/>
          <w:sz w:val="20"/>
          <w:szCs w:val="20"/>
        </w:rPr>
        <w:t xml:space="preserve">La superficie en culture pure et principale de la colocase qui a été estimée à 14.397 ha représente 3,4% de la superficie de l’ensemble des tubercules et racines de toute la campagne agricole. </w:t>
      </w:r>
      <w:r w:rsidR="008179C1" w:rsidRPr="00B6647E">
        <w:rPr>
          <w:rFonts w:ascii="Arial" w:hAnsi="Arial" w:cs="Arial"/>
          <w:sz w:val="20"/>
          <w:szCs w:val="20"/>
        </w:rPr>
        <w:t xml:space="preserve">Cette culture est majoritairement </w:t>
      </w:r>
      <w:r w:rsidRPr="00B6647E">
        <w:rPr>
          <w:rFonts w:ascii="Arial" w:hAnsi="Arial" w:cs="Arial"/>
          <w:sz w:val="20"/>
          <w:szCs w:val="20"/>
        </w:rPr>
        <w:t>cultivé pendant la saison A (6.122 ha, soit 4</w:t>
      </w:r>
      <w:r w:rsidR="008179C1" w:rsidRPr="00B6647E">
        <w:rPr>
          <w:rFonts w:ascii="Arial" w:hAnsi="Arial" w:cs="Arial"/>
          <w:sz w:val="20"/>
          <w:szCs w:val="20"/>
        </w:rPr>
        <w:t>2</w:t>
      </w:r>
      <w:r w:rsidRPr="00B6647E">
        <w:rPr>
          <w:rFonts w:ascii="Arial" w:hAnsi="Arial" w:cs="Arial"/>
          <w:sz w:val="20"/>
          <w:szCs w:val="20"/>
        </w:rPr>
        <w:t>,5% de sa superficie cumulée des trois saisons)</w:t>
      </w:r>
      <w:r w:rsidR="008179C1" w:rsidRPr="00B6647E">
        <w:rPr>
          <w:rFonts w:ascii="Arial" w:hAnsi="Arial" w:cs="Arial"/>
          <w:sz w:val="20"/>
          <w:szCs w:val="20"/>
        </w:rPr>
        <w:t>. En saison B, elle a été estimée à 4.393 ha (30,5%) et à 3.881 ha (27%) au cours de la saison C. Les principales régions qui ont cultivé la colocase en pur et principale sont : Bugesera (3.742 ha, soit 26%), Bweru (2.849 ha, 19,8%), Mumirwa (2.105</w:t>
      </w:r>
      <w:r w:rsidRPr="00B6647E">
        <w:rPr>
          <w:rFonts w:ascii="Arial" w:hAnsi="Arial" w:cs="Arial"/>
          <w:sz w:val="20"/>
          <w:szCs w:val="20"/>
        </w:rPr>
        <w:t xml:space="preserve"> ha, soit 1</w:t>
      </w:r>
      <w:r w:rsidR="008179C1" w:rsidRPr="00B6647E">
        <w:rPr>
          <w:rFonts w:ascii="Arial" w:hAnsi="Arial" w:cs="Arial"/>
          <w:sz w:val="20"/>
          <w:szCs w:val="20"/>
        </w:rPr>
        <w:t>4</w:t>
      </w:r>
      <w:r w:rsidRPr="00B6647E">
        <w:rPr>
          <w:rFonts w:ascii="Arial" w:hAnsi="Arial" w:cs="Arial"/>
          <w:sz w:val="20"/>
          <w:szCs w:val="20"/>
        </w:rPr>
        <w:t>,</w:t>
      </w:r>
      <w:r w:rsidR="008179C1" w:rsidRPr="00B6647E">
        <w:rPr>
          <w:rFonts w:ascii="Arial" w:hAnsi="Arial" w:cs="Arial"/>
          <w:sz w:val="20"/>
          <w:szCs w:val="20"/>
        </w:rPr>
        <w:t>6</w:t>
      </w:r>
      <w:r w:rsidRPr="00B6647E">
        <w:rPr>
          <w:rFonts w:ascii="Arial" w:hAnsi="Arial" w:cs="Arial"/>
          <w:sz w:val="20"/>
          <w:szCs w:val="20"/>
        </w:rPr>
        <w:t>%).</w:t>
      </w:r>
    </w:p>
    <w:p w:rsidR="00CC0424" w:rsidRPr="00B6647E" w:rsidRDefault="00CC0424" w:rsidP="005D3950">
      <w:pPr>
        <w:pStyle w:val="Lgende"/>
        <w:keepNext/>
        <w:jc w:val="both"/>
        <w:rPr>
          <w:rFonts w:ascii="Arial" w:hAnsi="Arial" w:cs="Arial"/>
        </w:rPr>
      </w:pPr>
      <w:r w:rsidRPr="00B6647E">
        <w:rPr>
          <w:rFonts w:ascii="Arial" w:hAnsi="Arial" w:cs="Arial"/>
        </w:rPr>
        <w:t xml:space="preserve">Tableau </w:t>
      </w:r>
      <w:r w:rsidR="00E34AD0">
        <w:rPr>
          <w:rFonts w:ascii="Arial" w:hAnsi="Arial" w:cs="Arial"/>
        </w:rPr>
        <w:t>15</w:t>
      </w:r>
      <w:r w:rsidR="005E6CB8" w:rsidRPr="00B6647E">
        <w:rPr>
          <w:rFonts w:ascii="Arial" w:hAnsi="Arial" w:cs="Arial"/>
        </w:rPr>
        <w:t>6 :</w:t>
      </w:r>
      <w:r w:rsidRPr="00B6647E">
        <w:rPr>
          <w:rFonts w:ascii="Arial" w:hAnsi="Arial" w:cs="Arial"/>
        </w:rPr>
        <w:t xml:space="preserve"> Superficie totale cultivée de la colocase par région pendant les trois saisons</w:t>
      </w:r>
    </w:p>
    <w:p w:rsidR="00CC0424" w:rsidRPr="00B6647E" w:rsidRDefault="001C6913" w:rsidP="007448BA">
      <w:pPr>
        <w:spacing w:line="240" w:lineRule="auto"/>
        <w:jc w:val="both"/>
        <w:rPr>
          <w:lang w:eastAsia="fr-FR"/>
        </w:rPr>
      </w:pPr>
      <w:r w:rsidRPr="00B6647E">
        <w:rPr>
          <w:noProof/>
          <w:lang w:val="fr-FR" w:eastAsia="fr-FR"/>
        </w:rPr>
        <w:drawing>
          <wp:inline distT="0" distB="0" distL="0" distR="0">
            <wp:extent cx="4067175" cy="2914650"/>
            <wp:effectExtent l="19050" t="0" r="9525" b="0"/>
            <wp:docPr id="470"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05" cstate="print"/>
                    <a:srcRect/>
                    <a:stretch>
                      <a:fillRect/>
                    </a:stretch>
                  </pic:blipFill>
                  <pic:spPr bwMode="auto">
                    <a:xfrm>
                      <a:off x="0" y="0"/>
                      <a:ext cx="4067175" cy="2914650"/>
                    </a:xfrm>
                    <a:prstGeom prst="rect">
                      <a:avLst/>
                    </a:prstGeom>
                    <a:noFill/>
                    <a:ln w="9525">
                      <a:noFill/>
                      <a:miter lim="800000"/>
                      <a:headEnd/>
                      <a:tailEnd/>
                    </a:ln>
                  </pic:spPr>
                </pic:pic>
              </a:graphicData>
            </a:graphic>
          </wp:inline>
        </w:drawing>
      </w:r>
    </w:p>
    <w:p w:rsidR="00D94B0E" w:rsidRPr="00B6647E" w:rsidRDefault="00D94B0E" w:rsidP="007448BA">
      <w:pPr>
        <w:spacing w:line="240" w:lineRule="auto"/>
        <w:jc w:val="both"/>
        <w:rPr>
          <w:rFonts w:ascii="Arial" w:hAnsi="Arial" w:cs="Arial"/>
          <w:sz w:val="20"/>
          <w:szCs w:val="20"/>
        </w:rPr>
      </w:pPr>
      <w:r w:rsidRPr="00B6647E">
        <w:rPr>
          <w:rFonts w:ascii="Arial" w:hAnsi="Arial" w:cs="Arial"/>
          <w:sz w:val="20"/>
          <w:szCs w:val="20"/>
        </w:rPr>
        <w:lastRenderedPageBreak/>
        <w:t xml:space="preserve">La </w:t>
      </w:r>
      <w:r w:rsidR="005D3950" w:rsidRPr="00B6647E">
        <w:rPr>
          <w:rFonts w:ascii="Arial" w:hAnsi="Arial" w:cs="Arial"/>
          <w:sz w:val="20"/>
          <w:szCs w:val="20"/>
        </w:rPr>
        <w:t xml:space="preserve">superficie totale </w:t>
      </w:r>
      <w:r w:rsidRPr="00B6647E">
        <w:rPr>
          <w:rFonts w:ascii="Arial" w:hAnsi="Arial" w:cs="Arial"/>
          <w:sz w:val="20"/>
          <w:szCs w:val="20"/>
        </w:rPr>
        <w:t>d</w:t>
      </w:r>
      <w:r w:rsidR="005D3950" w:rsidRPr="00B6647E">
        <w:rPr>
          <w:rFonts w:ascii="Arial" w:hAnsi="Arial" w:cs="Arial"/>
          <w:sz w:val="20"/>
          <w:szCs w:val="20"/>
        </w:rPr>
        <w:t>’igname</w:t>
      </w:r>
      <w:r w:rsidRPr="00B6647E">
        <w:rPr>
          <w:rFonts w:ascii="Arial" w:hAnsi="Arial" w:cs="Arial"/>
          <w:sz w:val="20"/>
          <w:szCs w:val="20"/>
        </w:rPr>
        <w:t xml:space="preserve"> </w:t>
      </w:r>
      <w:r w:rsidR="005D3950" w:rsidRPr="00B6647E">
        <w:rPr>
          <w:rFonts w:ascii="Arial" w:hAnsi="Arial" w:cs="Arial"/>
          <w:sz w:val="20"/>
          <w:szCs w:val="20"/>
        </w:rPr>
        <w:t xml:space="preserve">en culture pure et principale </w:t>
      </w:r>
      <w:r w:rsidRPr="00B6647E">
        <w:rPr>
          <w:rFonts w:ascii="Arial" w:hAnsi="Arial" w:cs="Arial"/>
          <w:sz w:val="20"/>
          <w:szCs w:val="20"/>
        </w:rPr>
        <w:t xml:space="preserve">a été estimée à </w:t>
      </w:r>
      <w:r w:rsidR="005D3950" w:rsidRPr="00B6647E">
        <w:rPr>
          <w:rFonts w:ascii="Arial" w:hAnsi="Arial" w:cs="Arial"/>
          <w:sz w:val="20"/>
          <w:szCs w:val="20"/>
        </w:rPr>
        <w:t>699</w:t>
      </w:r>
      <w:r w:rsidRPr="00B6647E">
        <w:rPr>
          <w:rFonts w:ascii="Arial" w:hAnsi="Arial" w:cs="Arial"/>
          <w:sz w:val="20"/>
          <w:szCs w:val="20"/>
        </w:rPr>
        <w:t xml:space="preserve"> tonnes (</w:t>
      </w:r>
      <w:r w:rsidR="005D3950" w:rsidRPr="00B6647E">
        <w:rPr>
          <w:rFonts w:ascii="Arial" w:hAnsi="Arial" w:cs="Arial"/>
          <w:sz w:val="20"/>
          <w:szCs w:val="20"/>
        </w:rPr>
        <w:t>0,2</w:t>
      </w:r>
      <w:r w:rsidRPr="00B6647E">
        <w:rPr>
          <w:rFonts w:ascii="Arial" w:hAnsi="Arial" w:cs="Arial"/>
          <w:sz w:val="20"/>
          <w:szCs w:val="20"/>
        </w:rPr>
        <w:t xml:space="preserve">% de la production totale des </w:t>
      </w:r>
      <w:r w:rsidR="005D3950" w:rsidRPr="00B6647E">
        <w:rPr>
          <w:rFonts w:ascii="Arial" w:hAnsi="Arial" w:cs="Arial"/>
          <w:sz w:val="20"/>
          <w:szCs w:val="20"/>
        </w:rPr>
        <w:t>tubercules et racines</w:t>
      </w:r>
      <w:r w:rsidRPr="00B6647E">
        <w:rPr>
          <w:rFonts w:ascii="Arial" w:hAnsi="Arial" w:cs="Arial"/>
          <w:sz w:val="20"/>
          <w:szCs w:val="20"/>
        </w:rPr>
        <w:t xml:space="preserve">). Cette </w:t>
      </w:r>
      <w:r w:rsidR="00210A15" w:rsidRPr="00B6647E">
        <w:rPr>
          <w:rFonts w:ascii="Arial" w:hAnsi="Arial" w:cs="Arial"/>
          <w:sz w:val="20"/>
          <w:szCs w:val="20"/>
        </w:rPr>
        <w:t>superficie</w:t>
      </w:r>
      <w:r w:rsidRPr="00B6647E">
        <w:rPr>
          <w:rFonts w:ascii="Arial" w:hAnsi="Arial" w:cs="Arial"/>
          <w:sz w:val="20"/>
          <w:szCs w:val="20"/>
        </w:rPr>
        <w:t xml:space="preserve"> a été estimée au cours de la saison </w:t>
      </w:r>
      <w:r w:rsidR="005D3950" w:rsidRPr="00B6647E">
        <w:rPr>
          <w:rFonts w:ascii="Arial" w:hAnsi="Arial" w:cs="Arial"/>
          <w:sz w:val="20"/>
          <w:szCs w:val="20"/>
        </w:rPr>
        <w:t>A</w:t>
      </w:r>
      <w:r w:rsidRPr="00B6647E">
        <w:rPr>
          <w:rFonts w:ascii="Arial" w:hAnsi="Arial" w:cs="Arial"/>
          <w:sz w:val="20"/>
          <w:szCs w:val="20"/>
        </w:rPr>
        <w:t xml:space="preserve"> </w:t>
      </w:r>
      <w:r w:rsidR="005D3950" w:rsidRPr="00B6647E">
        <w:rPr>
          <w:rFonts w:ascii="Arial" w:hAnsi="Arial" w:cs="Arial"/>
          <w:sz w:val="20"/>
          <w:szCs w:val="20"/>
        </w:rPr>
        <w:t>à 248</w:t>
      </w:r>
      <w:r w:rsidRPr="00B6647E">
        <w:rPr>
          <w:rFonts w:ascii="Arial" w:hAnsi="Arial" w:cs="Arial"/>
          <w:sz w:val="20"/>
          <w:szCs w:val="20"/>
        </w:rPr>
        <w:t xml:space="preserve"> </w:t>
      </w:r>
      <w:r w:rsidR="005D3950" w:rsidRPr="00B6647E">
        <w:rPr>
          <w:rFonts w:ascii="Arial" w:hAnsi="Arial" w:cs="Arial"/>
          <w:sz w:val="20"/>
          <w:szCs w:val="20"/>
        </w:rPr>
        <w:t>ha</w:t>
      </w:r>
      <w:r w:rsidRPr="00B6647E">
        <w:rPr>
          <w:rFonts w:ascii="Arial" w:hAnsi="Arial" w:cs="Arial"/>
          <w:sz w:val="20"/>
          <w:szCs w:val="20"/>
        </w:rPr>
        <w:t xml:space="preserve"> </w:t>
      </w:r>
      <w:r w:rsidR="005D3950" w:rsidRPr="00B6647E">
        <w:rPr>
          <w:rFonts w:ascii="Arial" w:hAnsi="Arial" w:cs="Arial"/>
          <w:sz w:val="20"/>
          <w:szCs w:val="20"/>
        </w:rPr>
        <w:t xml:space="preserve">en saison B à 195 ha et à 256 ha </w:t>
      </w:r>
      <w:r w:rsidRPr="00B6647E">
        <w:rPr>
          <w:rFonts w:ascii="Arial" w:hAnsi="Arial" w:cs="Arial"/>
          <w:sz w:val="20"/>
          <w:szCs w:val="20"/>
        </w:rPr>
        <w:t xml:space="preserve">pendant la saison C. Les régions naturelles de </w:t>
      </w:r>
      <w:r w:rsidR="005D3950" w:rsidRPr="00B6647E">
        <w:rPr>
          <w:rFonts w:ascii="Arial" w:hAnsi="Arial" w:cs="Arial"/>
          <w:sz w:val="20"/>
          <w:szCs w:val="20"/>
        </w:rPr>
        <w:t>Mumirwa (247 ha),</w:t>
      </w:r>
      <w:r w:rsidRPr="00B6647E">
        <w:rPr>
          <w:rFonts w:ascii="Arial" w:hAnsi="Arial" w:cs="Arial"/>
          <w:sz w:val="20"/>
          <w:szCs w:val="20"/>
        </w:rPr>
        <w:t xml:space="preserve"> Buyogoma (</w:t>
      </w:r>
      <w:r w:rsidR="005D3950" w:rsidRPr="00B6647E">
        <w:rPr>
          <w:rFonts w:ascii="Arial" w:hAnsi="Arial" w:cs="Arial"/>
          <w:sz w:val="20"/>
          <w:szCs w:val="20"/>
        </w:rPr>
        <w:t>143</w:t>
      </w:r>
      <w:r w:rsidRPr="00B6647E">
        <w:rPr>
          <w:rFonts w:ascii="Arial" w:hAnsi="Arial" w:cs="Arial"/>
          <w:sz w:val="20"/>
          <w:szCs w:val="20"/>
        </w:rPr>
        <w:t xml:space="preserve"> </w:t>
      </w:r>
      <w:r w:rsidR="005D3950" w:rsidRPr="00B6647E">
        <w:rPr>
          <w:rFonts w:ascii="Arial" w:hAnsi="Arial" w:cs="Arial"/>
          <w:sz w:val="20"/>
          <w:szCs w:val="20"/>
        </w:rPr>
        <w:t>ha</w:t>
      </w:r>
      <w:r w:rsidRPr="00B6647E">
        <w:rPr>
          <w:rFonts w:ascii="Arial" w:hAnsi="Arial" w:cs="Arial"/>
          <w:sz w:val="20"/>
          <w:szCs w:val="20"/>
        </w:rPr>
        <w:t xml:space="preserve">) ont </w:t>
      </w:r>
      <w:r w:rsidR="007448BA" w:rsidRPr="00B6647E">
        <w:rPr>
          <w:rFonts w:ascii="Arial" w:hAnsi="Arial" w:cs="Arial"/>
          <w:sz w:val="20"/>
          <w:szCs w:val="20"/>
        </w:rPr>
        <w:t>cultivé</w:t>
      </w:r>
      <w:r w:rsidRPr="00B6647E">
        <w:rPr>
          <w:rFonts w:ascii="Arial" w:hAnsi="Arial" w:cs="Arial"/>
          <w:sz w:val="20"/>
          <w:szCs w:val="20"/>
        </w:rPr>
        <w:t xml:space="preserve"> </w:t>
      </w:r>
      <w:r w:rsidR="005D3950" w:rsidRPr="00B6647E">
        <w:rPr>
          <w:rFonts w:ascii="Arial" w:hAnsi="Arial" w:cs="Arial"/>
          <w:sz w:val="20"/>
          <w:szCs w:val="20"/>
        </w:rPr>
        <w:t>plus de la moitié</w:t>
      </w:r>
      <w:r w:rsidRPr="00B6647E">
        <w:rPr>
          <w:rFonts w:ascii="Arial" w:hAnsi="Arial" w:cs="Arial"/>
          <w:sz w:val="20"/>
          <w:szCs w:val="20"/>
        </w:rPr>
        <w:t xml:space="preserve"> (</w:t>
      </w:r>
      <w:r w:rsidR="005D3950" w:rsidRPr="00B6647E">
        <w:rPr>
          <w:rFonts w:ascii="Arial" w:hAnsi="Arial" w:cs="Arial"/>
          <w:sz w:val="20"/>
          <w:szCs w:val="20"/>
        </w:rPr>
        <w:t>55,9</w:t>
      </w:r>
      <w:r w:rsidRPr="00B6647E">
        <w:rPr>
          <w:rFonts w:ascii="Arial" w:hAnsi="Arial" w:cs="Arial"/>
          <w:sz w:val="20"/>
          <w:szCs w:val="20"/>
        </w:rPr>
        <w:t xml:space="preserve">%) de la </w:t>
      </w:r>
      <w:r w:rsidR="005D3950" w:rsidRPr="00B6647E">
        <w:rPr>
          <w:rFonts w:ascii="Arial" w:hAnsi="Arial" w:cs="Arial"/>
          <w:sz w:val="20"/>
          <w:szCs w:val="20"/>
        </w:rPr>
        <w:t>superficie</w:t>
      </w:r>
      <w:r w:rsidRPr="00B6647E">
        <w:rPr>
          <w:rFonts w:ascii="Arial" w:hAnsi="Arial" w:cs="Arial"/>
          <w:sz w:val="20"/>
          <w:szCs w:val="20"/>
        </w:rPr>
        <w:t xml:space="preserve"> totale d</w:t>
      </w:r>
      <w:r w:rsidR="005D3950" w:rsidRPr="00B6647E">
        <w:rPr>
          <w:rFonts w:ascii="Arial" w:hAnsi="Arial" w:cs="Arial"/>
          <w:sz w:val="20"/>
          <w:szCs w:val="20"/>
        </w:rPr>
        <w:t>’igname</w:t>
      </w:r>
      <w:r w:rsidRPr="00B6647E">
        <w:rPr>
          <w:rFonts w:ascii="Arial" w:hAnsi="Arial" w:cs="Arial"/>
          <w:sz w:val="20"/>
          <w:szCs w:val="20"/>
        </w:rPr>
        <w:t>.</w:t>
      </w:r>
    </w:p>
    <w:p w:rsidR="00CC0424" w:rsidRPr="00B6647E" w:rsidRDefault="00CC0424" w:rsidP="0053275E">
      <w:pPr>
        <w:pStyle w:val="Lgende"/>
        <w:keepNext/>
        <w:spacing w:after="120"/>
        <w:jc w:val="both"/>
        <w:rPr>
          <w:rFonts w:ascii="Arial" w:hAnsi="Arial" w:cs="Arial"/>
        </w:rPr>
      </w:pPr>
      <w:r w:rsidRPr="00B6647E">
        <w:rPr>
          <w:rFonts w:ascii="Arial" w:hAnsi="Arial" w:cs="Arial"/>
        </w:rPr>
        <w:t xml:space="preserve">Tableau </w:t>
      </w:r>
      <w:r w:rsidR="00E34AD0">
        <w:rPr>
          <w:rFonts w:ascii="Arial" w:hAnsi="Arial" w:cs="Arial"/>
        </w:rPr>
        <w:t>15</w:t>
      </w:r>
      <w:r w:rsidR="005E6CB8" w:rsidRPr="00B6647E">
        <w:rPr>
          <w:rFonts w:ascii="Arial" w:hAnsi="Arial" w:cs="Arial"/>
        </w:rPr>
        <w:t>7 :</w:t>
      </w:r>
      <w:r w:rsidRPr="00B6647E">
        <w:rPr>
          <w:rFonts w:ascii="Arial" w:hAnsi="Arial" w:cs="Arial"/>
        </w:rPr>
        <w:t xml:space="preserve"> Superficie totale cultivée d’igname par région pendant les trois saisons</w:t>
      </w:r>
    </w:p>
    <w:p w:rsidR="00CC0424" w:rsidRPr="00B6647E" w:rsidRDefault="001C6913" w:rsidP="007448BA">
      <w:pPr>
        <w:spacing w:line="240" w:lineRule="auto"/>
        <w:jc w:val="both"/>
        <w:rPr>
          <w:rFonts w:cs="Arial"/>
          <w:szCs w:val="20"/>
        </w:rPr>
      </w:pPr>
      <w:r w:rsidRPr="00B6647E">
        <w:rPr>
          <w:noProof/>
          <w:szCs w:val="20"/>
          <w:lang w:val="fr-FR" w:eastAsia="fr-FR"/>
        </w:rPr>
        <w:drawing>
          <wp:inline distT="0" distB="0" distL="0" distR="0">
            <wp:extent cx="4067175" cy="2914650"/>
            <wp:effectExtent l="19050" t="0" r="9525" b="0"/>
            <wp:docPr id="471"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06" cstate="print"/>
                    <a:srcRect/>
                    <a:stretch>
                      <a:fillRect/>
                    </a:stretch>
                  </pic:blipFill>
                  <pic:spPr bwMode="auto">
                    <a:xfrm>
                      <a:off x="0" y="0"/>
                      <a:ext cx="4067175" cy="2914650"/>
                    </a:xfrm>
                    <a:prstGeom prst="rect">
                      <a:avLst/>
                    </a:prstGeom>
                    <a:noFill/>
                    <a:ln w="9525">
                      <a:noFill/>
                      <a:miter lim="800000"/>
                      <a:headEnd/>
                      <a:tailEnd/>
                    </a:ln>
                  </pic:spPr>
                </pic:pic>
              </a:graphicData>
            </a:graphic>
          </wp:inline>
        </w:drawing>
      </w:r>
    </w:p>
    <w:p w:rsidR="00375E64" w:rsidRPr="00B6647E" w:rsidRDefault="00375E64" w:rsidP="00C84C4B">
      <w:pPr>
        <w:spacing w:before="200" w:after="120" w:line="240" w:lineRule="auto"/>
        <w:rPr>
          <w:rFonts w:ascii="Arial" w:hAnsi="Arial" w:cs="Arial"/>
          <w:b/>
          <w:sz w:val="20"/>
          <w:szCs w:val="20"/>
        </w:rPr>
      </w:pPr>
      <w:r w:rsidRPr="00B6647E">
        <w:rPr>
          <w:rFonts w:ascii="Arial" w:hAnsi="Arial" w:cs="Arial"/>
          <w:b/>
          <w:sz w:val="20"/>
          <w:szCs w:val="20"/>
        </w:rPr>
        <w:t>a) Superficie en culture pure et principale  totale de tubercules et racines par province</w:t>
      </w:r>
    </w:p>
    <w:p w:rsidR="00B00366" w:rsidRPr="00B6647E" w:rsidRDefault="00375E64" w:rsidP="007448BA">
      <w:pPr>
        <w:spacing w:line="240" w:lineRule="auto"/>
        <w:jc w:val="both"/>
        <w:rPr>
          <w:rFonts w:ascii="Arial" w:hAnsi="Arial" w:cs="Arial"/>
          <w:sz w:val="20"/>
          <w:szCs w:val="20"/>
        </w:rPr>
      </w:pPr>
      <w:r w:rsidRPr="00B6647E">
        <w:rPr>
          <w:rFonts w:ascii="Arial" w:hAnsi="Arial" w:cs="Arial"/>
          <w:sz w:val="20"/>
          <w:szCs w:val="20"/>
        </w:rPr>
        <w:t>La superficie totale en culture pure et principale</w:t>
      </w:r>
      <w:r w:rsidRPr="00B6647E">
        <w:rPr>
          <w:rStyle w:val="Appelnotedebasdep"/>
          <w:rFonts w:ascii="Arial" w:hAnsi="Arial" w:cs="Arial"/>
          <w:sz w:val="20"/>
          <w:szCs w:val="20"/>
        </w:rPr>
        <w:footnoteReference w:id="39"/>
      </w:r>
      <w:r w:rsidRPr="00B6647E">
        <w:rPr>
          <w:rFonts w:ascii="Arial" w:hAnsi="Arial" w:cs="Arial"/>
          <w:sz w:val="20"/>
          <w:szCs w:val="20"/>
        </w:rPr>
        <w:t xml:space="preserve"> des tubercules et racines (manioc, amer, manioc doux, patate douce, pomme de terre, colocase et igname) des trois sais</w:t>
      </w:r>
      <w:r w:rsidR="00B00366" w:rsidRPr="00B6647E">
        <w:rPr>
          <w:rFonts w:ascii="Arial" w:hAnsi="Arial" w:cs="Arial"/>
          <w:sz w:val="20"/>
          <w:szCs w:val="20"/>
        </w:rPr>
        <w:t>ons a été estimée à 427.554 ha.</w:t>
      </w:r>
    </w:p>
    <w:p w:rsidR="00375E64" w:rsidRPr="00B6647E" w:rsidRDefault="00375E64" w:rsidP="007448BA">
      <w:pPr>
        <w:spacing w:line="240" w:lineRule="auto"/>
        <w:jc w:val="both"/>
        <w:rPr>
          <w:rFonts w:ascii="Arial" w:hAnsi="Arial" w:cs="Arial"/>
          <w:sz w:val="20"/>
          <w:szCs w:val="20"/>
        </w:rPr>
      </w:pPr>
      <w:r w:rsidRPr="00B6647E">
        <w:rPr>
          <w:rFonts w:ascii="Arial" w:hAnsi="Arial" w:cs="Arial"/>
          <w:sz w:val="20"/>
          <w:szCs w:val="20"/>
        </w:rPr>
        <w:t>On note que le</w:t>
      </w:r>
      <w:r w:rsidR="00562FBE" w:rsidRPr="00B6647E">
        <w:rPr>
          <w:rFonts w:ascii="Arial" w:hAnsi="Arial" w:cs="Arial"/>
          <w:sz w:val="20"/>
          <w:szCs w:val="20"/>
        </w:rPr>
        <w:t>s</w:t>
      </w:r>
      <w:r w:rsidRPr="00B6647E">
        <w:rPr>
          <w:rFonts w:ascii="Arial" w:hAnsi="Arial" w:cs="Arial"/>
          <w:sz w:val="20"/>
          <w:szCs w:val="20"/>
        </w:rPr>
        <w:t xml:space="preserve"> superficies </w:t>
      </w:r>
      <w:r w:rsidR="00562FBE" w:rsidRPr="00B6647E">
        <w:rPr>
          <w:rFonts w:ascii="Arial" w:hAnsi="Arial" w:cs="Arial"/>
          <w:sz w:val="20"/>
          <w:szCs w:val="20"/>
        </w:rPr>
        <w:t xml:space="preserve">au cours de la saison C (192.178 ha, 44,9% de la superficie des tubercules de la campagne) est supérieure à celles. De la </w:t>
      </w:r>
      <w:r w:rsidRPr="00B6647E">
        <w:rPr>
          <w:rFonts w:ascii="Arial" w:hAnsi="Arial" w:cs="Arial"/>
          <w:sz w:val="20"/>
          <w:szCs w:val="20"/>
        </w:rPr>
        <w:t xml:space="preserve">saison </w:t>
      </w:r>
      <w:r w:rsidR="00562FBE" w:rsidRPr="00B6647E">
        <w:rPr>
          <w:rFonts w:ascii="Arial" w:hAnsi="Arial" w:cs="Arial"/>
          <w:sz w:val="20"/>
          <w:szCs w:val="20"/>
        </w:rPr>
        <w:t>A (</w:t>
      </w:r>
      <w:r w:rsidRPr="00B6647E">
        <w:rPr>
          <w:rFonts w:ascii="Arial" w:hAnsi="Arial" w:cs="Arial"/>
          <w:sz w:val="20"/>
          <w:szCs w:val="20"/>
        </w:rPr>
        <w:t>118.822 ha</w:t>
      </w:r>
      <w:r w:rsidR="00562FBE" w:rsidRPr="00B6647E">
        <w:rPr>
          <w:rFonts w:ascii="Arial" w:hAnsi="Arial" w:cs="Arial"/>
          <w:sz w:val="20"/>
          <w:szCs w:val="20"/>
        </w:rPr>
        <w:t xml:space="preserve">, soit </w:t>
      </w:r>
      <w:r w:rsidRPr="00B6647E">
        <w:rPr>
          <w:rFonts w:ascii="Arial" w:hAnsi="Arial" w:cs="Arial"/>
          <w:sz w:val="20"/>
          <w:szCs w:val="20"/>
        </w:rPr>
        <w:t xml:space="preserve">27,8%) </w:t>
      </w:r>
      <w:r w:rsidR="00562FBE" w:rsidRPr="00B6647E">
        <w:rPr>
          <w:rFonts w:ascii="Arial" w:hAnsi="Arial" w:cs="Arial"/>
          <w:sz w:val="20"/>
          <w:szCs w:val="20"/>
        </w:rPr>
        <w:t>et de la saison B (</w:t>
      </w:r>
      <w:r w:rsidRPr="00B6647E">
        <w:rPr>
          <w:rFonts w:ascii="Arial" w:hAnsi="Arial" w:cs="Arial"/>
          <w:sz w:val="20"/>
          <w:szCs w:val="20"/>
        </w:rPr>
        <w:t>116.554 ha</w:t>
      </w:r>
      <w:r w:rsidR="00562FBE" w:rsidRPr="00B6647E">
        <w:rPr>
          <w:rFonts w:ascii="Arial" w:hAnsi="Arial" w:cs="Arial"/>
          <w:sz w:val="20"/>
          <w:szCs w:val="20"/>
        </w:rPr>
        <w:t>, soit</w:t>
      </w:r>
      <w:r w:rsidR="00112D15">
        <w:rPr>
          <w:rFonts w:ascii="Arial" w:hAnsi="Arial" w:cs="Arial"/>
          <w:sz w:val="20"/>
          <w:szCs w:val="20"/>
        </w:rPr>
        <w:t xml:space="preserve"> </w:t>
      </w:r>
      <w:r w:rsidRPr="00B6647E">
        <w:rPr>
          <w:rFonts w:ascii="Arial" w:hAnsi="Arial" w:cs="Arial"/>
          <w:sz w:val="20"/>
          <w:szCs w:val="20"/>
        </w:rPr>
        <w:t>27,1%)</w:t>
      </w:r>
      <w:r w:rsidR="00562FBE" w:rsidRPr="00B6647E">
        <w:rPr>
          <w:rFonts w:ascii="Arial" w:hAnsi="Arial" w:cs="Arial"/>
          <w:sz w:val="20"/>
          <w:szCs w:val="20"/>
        </w:rPr>
        <w:t xml:space="preserve"> principalement du fait de </w:t>
      </w:r>
      <w:r w:rsidRPr="00B6647E">
        <w:rPr>
          <w:rFonts w:ascii="Arial" w:hAnsi="Arial" w:cs="Arial"/>
          <w:sz w:val="20"/>
          <w:szCs w:val="20"/>
        </w:rPr>
        <w:t>changement de rang de du manioc dans les associations. En effet, les proportions de parcelles de manioc en culture pure sont de 8,2% en saison A, 10% pendant la saison B contre 21,5% au cours de la saison C</w:t>
      </w:r>
    </w:p>
    <w:p w:rsidR="00375E64" w:rsidRPr="00B6647E" w:rsidRDefault="00375E64" w:rsidP="007448BA">
      <w:pPr>
        <w:spacing w:line="240" w:lineRule="auto"/>
        <w:jc w:val="both"/>
        <w:rPr>
          <w:rFonts w:ascii="Arial" w:hAnsi="Arial" w:cs="Arial"/>
          <w:sz w:val="20"/>
          <w:szCs w:val="20"/>
        </w:rPr>
      </w:pPr>
      <w:r w:rsidRPr="00B6647E">
        <w:rPr>
          <w:rFonts w:ascii="Arial" w:hAnsi="Arial" w:cs="Arial"/>
          <w:sz w:val="20"/>
          <w:szCs w:val="20"/>
        </w:rPr>
        <w:t>La superficie totale de tubercules et racines culture pure et principale est composée de 264.048 ha (61,8% de la superficie totale des tubercules et racines des trois saisons) de manioc amer, de 32.638 ha (7,4%) de manioc doux, de 101.421 ha (23,7%) de patate douce, de 15.351 ha (3,6%) de pomme de terre, de 14.397 ha (3,4%) de colocase et 699 ha (0,2%) d’igname.</w:t>
      </w:r>
    </w:p>
    <w:p w:rsidR="00375E64" w:rsidRPr="00B6647E" w:rsidRDefault="00375E64" w:rsidP="007448BA">
      <w:pPr>
        <w:spacing w:line="240" w:lineRule="auto"/>
        <w:jc w:val="both"/>
        <w:rPr>
          <w:rFonts w:ascii="Arial" w:hAnsi="Arial" w:cs="Arial"/>
          <w:sz w:val="20"/>
          <w:szCs w:val="20"/>
        </w:rPr>
      </w:pPr>
      <w:r w:rsidRPr="00B6647E">
        <w:rPr>
          <w:rFonts w:ascii="Arial" w:hAnsi="Arial" w:cs="Arial"/>
          <w:sz w:val="20"/>
          <w:szCs w:val="20"/>
        </w:rPr>
        <w:t xml:space="preserve">Les plus grandes superficies de tubercules et racines en culture pure et principale ont été estimées dans les </w:t>
      </w:r>
      <w:r w:rsidR="00562FBE" w:rsidRPr="00B6647E">
        <w:rPr>
          <w:rFonts w:ascii="Arial" w:hAnsi="Arial" w:cs="Arial"/>
          <w:sz w:val="20"/>
          <w:szCs w:val="20"/>
        </w:rPr>
        <w:t>provinces de Kirundo (47.182</w:t>
      </w:r>
      <w:r w:rsidRPr="00B6647E">
        <w:rPr>
          <w:rFonts w:ascii="Arial" w:hAnsi="Arial" w:cs="Arial"/>
          <w:sz w:val="20"/>
          <w:szCs w:val="20"/>
        </w:rPr>
        <w:t xml:space="preserve"> ha, soit 1</w:t>
      </w:r>
      <w:r w:rsidR="00562FBE" w:rsidRPr="00B6647E">
        <w:rPr>
          <w:rFonts w:ascii="Arial" w:hAnsi="Arial" w:cs="Arial"/>
          <w:sz w:val="20"/>
          <w:szCs w:val="20"/>
        </w:rPr>
        <w:t>1</w:t>
      </w:r>
      <w:r w:rsidRPr="00B6647E">
        <w:rPr>
          <w:rFonts w:ascii="Arial" w:hAnsi="Arial" w:cs="Arial"/>
          <w:sz w:val="20"/>
          <w:szCs w:val="20"/>
        </w:rPr>
        <w:t xml:space="preserve">%), </w:t>
      </w:r>
      <w:r w:rsidR="00562FBE" w:rsidRPr="00B6647E">
        <w:rPr>
          <w:rFonts w:ascii="Arial" w:hAnsi="Arial" w:cs="Arial"/>
          <w:sz w:val="20"/>
          <w:szCs w:val="20"/>
        </w:rPr>
        <w:t>Cibitoke (40.716 ha</w:t>
      </w:r>
      <w:r w:rsidRPr="00B6647E">
        <w:rPr>
          <w:rFonts w:ascii="Arial" w:hAnsi="Arial" w:cs="Arial"/>
          <w:sz w:val="20"/>
          <w:szCs w:val="20"/>
        </w:rPr>
        <w:t xml:space="preserve">, soit </w:t>
      </w:r>
      <w:r w:rsidR="00562FBE" w:rsidRPr="00B6647E">
        <w:rPr>
          <w:rFonts w:ascii="Arial" w:hAnsi="Arial" w:cs="Arial"/>
          <w:sz w:val="20"/>
          <w:szCs w:val="20"/>
        </w:rPr>
        <w:t>9,5%), Makamba</w:t>
      </w:r>
      <w:r w:rsidRPr="00B6647E">
        <w:rPr>
          <w:rFonts w:ascii="Arial" w:hAnsi="Arial" w:cs="Arial"/>
          <w:sz w:val="20"/>
          <w:szCs w:val="20"/>
        </w:rPr>
        <w:t xml:space="preserve"> (</w:t>
      </w:r>
      <w:r w:rsidR="00562FBE" w:rsidRPr="00B6647E">
        <w:rPr>
          <w:rFonts w:ascii="Arial" w:hAnsi="Arial" w:cs="Arial"/>
          <w:sz w:val="20"/>
          <w:szCs w:val="20"/>
        </w:rPr>
        <w:t>38.082</w:t>
      </w:r>
      <w:r w:rsidRPr="00B6647E">
        <w:rPr>
          <w:rFonts w:ascii="Arial" w:hAnsi="Arial" w:cs="Arial"/>
          <w:sz w:val="20"/>
          <w:szCs w:val="20"/>
        </w:rPr>
        <w:t xml:space="preserve"> ha, soit </w:t>
      </w:r>
      <w:r w:rsidR="00562FBE" w:rsidRPr="00B6647E">
        <w:rPr>
          <w:rFonts w:ascii="Arial" w:hAnsi="Arial" w:cs="Arial"/>
          <w:sz w:val="20"/>
          <w:szCs w:val="20"/>
        </w:rPr>
        <w:t>8,9</w:t>
      </w:r>
      <w:r w:rsidRPr="00B6647E">
        <w:rPr>
          <w:rFonts w:ascii="Arial" w:hAnsi="Arial" w:cs="Arial"/>
          <w:sz w:val="20"/>
          <w:szCs w:val="20"/>
        </w:rPr>
        <w:t xml:space="preserve">%), </w:t>
      </w:r>
      <w:r w:rsidR="00562FBE" w:rsidRPr="00B6647E">
        <w:rPr>
          <w:rFonts w:ascii="Arial" w:hAnsi="Arial" w:cs="Arial"/>
          <w:sz w:val="20"/>
          <w:szCs w:val="20"/>
        </w:rPr>
        <w:t>Bujumbura rural</w:t>
      </w:r>
      <w:r w:rsidRPr="00B6647E">
        <w:rPr>
          <w:rFonts w:ascii="Arial" w:hAnsi="Arial" w:cs="Arial"/>
          <w:sz w:val="20"/>
          <w:szCs w:val="20"/>
        </w:rPr>
        <w:t xml:space="preserve"> (</w:t>
      </w:r>
      <w:r w:rsidR="00562FBE" w:rsidRPr="00B6647E">
        <w:rPr>
          <w:rFonts w:ascii="Arial" w:hAnsi="Arial" w:cs="Arial"/>
          <w:sz w:val="20"/>
          <w:szCs w:val="20"/>
        </w:rPr>
        <w:t>35.565</w:t>
      </w:r>
      <w:r w:rsidRPr="00B6647E">
        <w:rPr>
          <w:rFonts w:ascii="Arial" w:hAnsi="Arial" w:cs="Arial"/>
          <w:sz w:val="20"/>
          <w:szCs w:val="20"/>
        </w:rPr>
        <w:t xml:space="preserve"> ha, soit </w:t>
      </w:r>
      <w:r w:rsidR="00562FBE" w:rsidRPr="00B6647E">
        <w:rPr>
          <w:rFonts w:ascii="Arial" w:hAnsi="Arial" w:cs="Arial"/>
          <w:sz w:val="20"/>
          <w:szCs w:val="20"/>
        </w:rPr>
        <w:t>8,3</w:t>
      </w:r>
      <w:r w:rsidRPr="00B6647E">
        <w:rPr>
          <w:rFonts w:ascii="Arial" w:hAnsi="Arial" w:cs="Arial"/>
          <w:sz w:val="20"/>
          <w:szCs w:val="20"/>
        </w:rPr>
        <w:t xml:space="preserve">%), </w:t>
      </w:r>
      <w:r w:rsidR="00F90117" w:rsidRPr="00B6647E">
        <w:rPr>
          <w:rFonts w:ascii="Arial" w:hAnsi="Arial" w:cs="Arial"/>
          <w:sz w:val="20"/>
          <w:szCs w:val="20"/>
        </w:rPr>
        <w:t>Muyinga (35.519 ha</w:t>
      </w:r>
      <w:r w:rsidRPr="00B6647E">
        <w:rPr>
          <w:rFonts w:ascii="Arial" w:hAnsi="Arial" w:cs="Arial"/>
          <w:sz w:val="20"/>
          <w:szCs w:val="20"/>
        </w:rPr>
        <w:t xml:space="preserve">, soit </w:t>
      </w:r>
      <w:r w:rsidR="00F90117" w:rsidRPr="00B6647E">
        <w:rPr>
          <w:rFonts w:ascii="Arial" w:hAnsi="Arial" w:cs="Arial"/>
          <w:sz w:val="20"/>
          <w:szCs w:val="20"/>
        </w:rPr>
        <w:t>8,3</w:t>
      </w:r>
      <w:r w:rsidRPr="00B6647E">
        <w:rPr>
          <w:rFonts w:ascii="Arial" w:hAnsi="Arial" w:cs="Arial"/>
          <w:sz w:val="20"/>
          <w:szCs w:val="20"/>
        </w:rPr>
        <w:t>%)</w:t>
      </w:r>
      <w:r w:rsidR="00F90117" w:rsidRPr="00B6647E">
        <w:rPr>
          <w:rFonts w:ascii="Arial" w:hAnsi="Arial" w:cs="Arial"/>
          <w:sz w:val="20"/>
          <w:szCs w:val="20"/>
        </w:rPr>
        <w:t>, Gitega (32.884 ha, soit 7,7%)</w:t>
      </w:r>
      <w:r w:rsidRPr="00B6647E">
        <w:rPr>
          <w:rFonts w:ascii="Arial" w:hAnsi="Arial" w:cs="Arial"/>
          <w:sz w:val="20"/>
          <w:szCs w:val="20"/>
        </w:rPr>
        <w:t>. Seule</w:t>
      </w:r>
      <w:r w:rsidR="00F90117" w:rsidRPr="00B6647E">
        <w:rPr>
          <w:rFonts w:ascii="Arial" w:hAnsi="Arial" w:cs="Arial"/>
          <w:sz w:val="20"/>
          <w:szCs w:val="20"/>
        </w:rPr>
        <w:t>s les provinces de Cankuzo (12.239 ha, soit 2,9%) et Mwaro</w:t>
      </w:r>
      <w:r w:rsidRPr="00B6647E">
        <w:rPr>
          <w:rFonts w:ascii="Arial" w:hAnsi="Arial" w:cs="Arial"/>
          <w:sz w:val="20"/>
          <w:szCs w:val="20"/>
        </w:rPr>
        <w:t xml:space="preserve"> (</w:t>
      </w:r>
      <w:r w:rsidR="00F90117" w:rsidRPr="00B6647E">
        <w:rPr>
          <w:rFonts w:ascii="Arial" w:hAnsi="Arial" w:cs="Arial"/>
          <w:sz w:val="20"/>
          <w:szCs w:val="20"/>
        </w:rPr>
        <w:t>10.020 ha, soit 2,3</w:t>
      </w:r>
      <w:r w:rsidRPr="00B6647E">
        <w:rPr>
          <w:rFonts w:ascii="Arial" w:hAnsi="Arial" w:cs="Arial"/>
          <w:sz w:val="20"/>
          <w:szCs w:val="20"/>
        </w:rPr>
        <w:t xml:space="preserve">%) </w:t>
      </w:r>
      <w:r w:rsidR="00F90117" w:rsidRPr="00B6647E">
        <w:rPr>
          <w:rFonts w:ascii="Arial" w:hAnsi="Arial" w:cs="Arial"/>
          <w:sz w:val="20"/>
          <w:szCs w:val="20"/>
        </w:rPr>
        <w:t>ont</w:t>
      </w:r>
      <w:r w:rsidRPr="00B6647E">
        <w:rPr>
          <w:rFonts w:ascii="Arial" w:hAnsi="Arial" w:cs="Arial"/>
          <w:sz w:val="20"/>
          <w:szCs w:val="20"/>
        </w:rPr>
        <w:t xml:space="preserve"> cultivé moins </w:t>
      </w:r>
      <w:r w:rsidR="00F90117" w:rsidRPr="00B6647E">
        <w:rPr>
          <w:rFonts w:ascii="Arial" w:hAnsi="Arial" w:cs="Arial"/>
          <w:sz w:val="20"/>
          <w:szCs w:val="20"/>
        </w:rPr>
        <w:t>15</w:t>
      </w:r>
      <w:r w:rsidRPr="00B6647E">
        <w:rPr>
          <w:rFonts w:ascii="Arial" w:hAnsi="Arial" w:cs="Arial"/>
          <w:sz w:val="20"/>
          <w:szCs w:val="20"/>
        </w:rPr>
        <w:t>.000 ha de tubercules et racines en culture pure et principale.</w:t>
      </w:r>
    </w:p>
    <w:p w:rsidR="00A62BC2" w:rsidRPr="00B6647E" w:rsidRDefault="00A62BC2" w:rsidP="0053275E">
      <w:pPr>
        <w:pStyle w:val="Lgende"/>
        <w:keepNext/>
        <w:spacing w:after="120"/>
        <w:jc w:val="both"/>
        <w:rPr>
          <w:rFonts w:ascii="Arial" w:hAnsi="Arial" w:cs="Arial"/>
        </w:rPr>
      </w:pPr>
      <w:r w:rsidRPr="00B6647E">
        <w:rPr>
          <w:rFonts w:ascii="Arial" w:hAnsi="Arial" w:cs="Arial"/>
        </w:rPr>
        <w:lastRenderedPageBreak/>
        <w:t xml:space="preserve">Tableau </w:t>
      </w:r>
      <w:r w:rsidR="00E34AD0">
        <w:rPr>
          <w:rFonts w:ascii="Arial" w:hAnsi="Arial" w:cs="Arial"/>
        </w:rPr>
        <w:t>15</w:t>
      </w:r>
      <w:r w:rsidR="005E6CB8" w:rsidRPr="00B6647E">
        <w:rPr>
          <w:rFonts w:ascii="Arial" w:hAnsi="Arial" w:cs="Arial"/>
        </w:rPr>
        <w:t>8 :</w:t>
      </w:r>
      <w:r w:rsidRPr="00B6647E">
        <w:rPr>
          <w:rFonts w:ascii="Arial" w:hAnsi="Arial" w:cs="Arial"/>
        </w:rPr>
        <w:t xml:space="preserve"> Superficie totale cultivée de tubercules </w:t>
      </w:r>
      <w:r w:rsidR="00112D15">
        <w:rPr>
          <w:rFonts w:ascii="Arial" w:hAnsi="Arial" w:cs="Arial"/>
        </w:rPr>
        <w:t xml:space="preserve">et racines </w:t>
      </w:r>
      <w:r w:rsidRPr="00B6647E">
        <w:rPr>
          <w:rFonts w:ascii="Arial" w:hAnsi="Arial" w:cs="Arial"/>
        </w:rPr>
        <w:t>par province pendant les trois saisons</w:t>
      </w:r>
    </w:p>
    <w:p w:rsidR="00A62BC2" w:rsidRPr="00B6647E" w:rsidRDefault="003770B9" w:rsidP="007448BA">
      <w:pPr>
        <w:spacing w:line="240" w:lineRule="auto"/>
        <w:jc w:val="both"/>
        <w:rPr>
          <w:rFonts w:cs="Arial"/>
          <w:szCs w:val="20"/>
        </w:rPr>
      </w:pPr>
      <w:r w:rsidRPr="00B6647E">
        <w:rPr>
          <w:noProof/>
          <w:szCs w:val="20"/>
          <w:lang w:val="fr-FR" w:eastAsia="fr-FR"/>
        </w:rPr>
        <w:drawing>
          <wp:inline distT="0" distB="0" distL="0" distR="0">
            <wp:extent cx="4105275" cy="3867150"/>
            <wp:effectExtent l="19050" t="0" r="9525" b="0"/>
            <wp:docPr id="472"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07" cstate="print"/>
                    <a:srcRect/>
                    <a:stretch>
                      <a:fillRect/>
                    </a:stretch>
                  </pic:blipFill>
                  <pic:spPr bwMode="auto">
                    <a:xfrm>
                      <a:off x="0" y="0"/>
                      <a:ext cx="4105275" cy="3867150"/>
                    </a:xfrm>
                    <a:prstGeom prst="rect">
                      <a:avLst/>
                    </a:prstGeom>
                    <a:noFill/>
                    <a:ln w="9525">
                      <a:noFill/>
                      <a:miter lim="800000"/>
                      <a:headEnd/>
                      <a:tailEnd/>
                    </a:ln>
                  </pic:spPr>
                </pic:pic>
              </a:graphicData>
            </a:graphic>
          </wp:inline>
        </w:drawing>
      </w:r>
    </w:p>
    <w:p w:rsidR="00CF79D8" w:rsidRPr="00B6647E" w:rsidRDefault="00F90117" w:rsidP="007448BA">
      <w:pPr>
        <w:spacing w:line="240" w:lineRule="auto"/>
        <w:jc w:val="both"/>
        <w:rPr>
          <w:rFonts w:ascii="Arial" w:hAnsi="Arial" w:cs="Arial"/>
          <w:sz w:val="20"/>
          <w:szCs w:val="20"/>
        </w:rPr>
      </w:pPr>
      <w:r w:rsidRPr="00B6647E">
        <w:rPr>
          <w:rFonts w:ascii="Arial" w:hAnsi="Arial" w:cs="Arial"/>
          <w:sz w:val="20"/>
          <w:szCs w:val="20"/>
        </w:rPr>
        <w:t>La superficie totale de manioc (amer et doux) représente plus de deux tiers des tubercules et racines cumulée au cours des trois saisons. Elle a été estimée à 295.686 ha, soit 69,2% de la superficie de l’ensemble des tubercules et racines.</w:t>
      </w:r>
    </w:p>
    <w:p w:rsidR="00C1490B" w:rsidRPr="00B6647E" w:rsidRDefault="00C1490B" w:rsidP="00091F23">
      <w:pPr>
        <w:pStyle w:val="Lgende"/>
        <w:keepNext/>
        <w:jc w:val="both"/>
        <w:rPr>
          <w:rFonts w:ascii="Arial" w:hAnsi="Arial" w:cs="Arial"/>
        </w:rPr>
      </w:pPr>
      <w:r w:rsidRPr="00B6647E">
        <w:rPr>
          <w:rFonts w:ascii="Arial" w:hAnsi="Arial" w:cs="Arial"/>
        </w:rPr>
        <w:lastRenderedPageBreak/>
        <w:t xml:space="preserve">Tableau </w:t>
      </w:r>
      <w:r w:rsidR="005E6CB8" w:rsidRPr="00B6647E">
        <w:rPr>
          <w:rFonts w:ascii="Arial" w:hAnsi="Arial" w:cs="Arial"/>
        </w:rPr>
        <w:t>1</w:t>
      </w:r>
      <w:r w:rsidR="00E34AD0">
        <w:rPr>
          <w:rFonts w:ascii="Arial" w:hAnsi="Arial" w:cs="Arial"/>
        </w:rPr>
        <w:t>5</w:t>
      </w:r>
      <w:r w:rsidR="005E6CB8" w:rsidRPr="00B6647E">
        <w:rPr>
          <w:rFonts w:ascii="Arial" w:hAnsi="Arial" w:cs="Arial"/>
        </w:rPr>
        <w:t>9 :</w:t>
      </w:r>
      <w:r w:rsidRPr="00B6647E">
        <w:rPr>
          <w:rFonts w:ascii="Arial" w:hAnsi="Arial" w:cs="Arial"/>
        </w:rPr>
        <w:t xml:space="preserve"> Superficie totale cultivée du manioc par province pendant les trois saisons</w:t>
      </w:r>
    </w:p>
    <w:p w:rsidR="00C1490B" w:rsidRPr="00B6647E" w:rsidRDefault="003770B9" w:rsidP="00091F23">
      <w:pPr>
        <w:spacing w:after="0" w:line="240" w:lineRule="auto"/>
        <w:jc w:val="both"/>
        <w:rPr>
          <w:rFonts w:cs="Arial"/>
          <w:szCs w:val="20"/>
        </w:rPr>
      </w:pPr>
      <w:r w:rsidRPr="00B6647E">
        <w:rPr>
          <w:noProof/>
          <w:szCs w:val="20"/>
          <w:lang w:val="fr-FR" w:eastAsia="fr-FR"/>
        </w:rPr>
        <w:drawing>
          <wp:inline distT="0" distB="0" distL="0" distR="0">
            <wp:extent cx="4105275" cy="3867150"/>
            <wp:effectExtent l="19050" t="0" r="9525" b="0"/>
            <wp:docPr id="473"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08" cstate="print"/>
                    <a:srcRect/>
                    <a:stretch>
                      <a:fillRect/>
                    </a:stretch>
                  </pic:blipFill>
                  <pic:spPr bwMode="auto">
                    <a:xfrm>
                      <a:off x="0" y="0"/>
                      <a:ext cx="4105275" cy="3867150"/>
                    </a:xfrm>
                    <a:prstGeom prst="rect">
                      <a:avLst/>
                    </a:prstGeom>
                    <a:noFill/>
                    <a:ln w="9525">
                      <a:noFill/>
                      <a:miter lim="800000"/>
                      <a:headEnd/>
                      <a:tailEnd/>
                    </a:ln>
                  </pic:spPr>
                </pic:pic>
              </a:graphicData>
            </a:graphic>
          </wp:inline>
        </w:drawing>
      </w:r>
    </w:p>
    <w:p w:rsidR="00B00366" w:rsidRPr="00B6647E" w:rsidRDefault="00B00366" w:rsidP="00B00366">
      <w:pPr>
        <w:spacing w:line="240" w:lineRule="auto"/>
        <w:jc w:val="both"/>
        <w:rPr>
          <w:rFonts w:ascii="Arial" w:hAnsi="Arial" w:cs="Arial"/>
          <w:sz w:val="20"/>
          <w:szCs w:val="20"/>
        </w:rPr>
      </w:pPr>
      <w:r w:rsidRPr="00B6647E">
        <w:rPr>
          <w:rFonts w:ascii="Arial" w:hAnsi="Arial" w:cs="Arial"/>
          <w:sz w:val="20"/>
          <w:szCs w:val="20"/>
        </w:rPr>
        <w:t>Les plus grandes superficies de l’ensemble du manioc en culture pure et principale ont été enregistrées dans les provinces de Cibitoke (36.768 ha, soit 12,4% de la superficie de manioc cultivée pendant toute la campagne agricole) et de Makamba (34.909 ha, soit 11,8%. Suivent après dans l’ordre Bujumbura rural (29.879 ha, soit 10,1%), Kirundo (25.586 ha, soit 8,7%), Bubanza (22.850 ha, soit 7,7%), Gitega (21.617 ha, soit 7,3%), Muyinga (19.618 ha, soit 6,6%), Bururi (19.481 ha, soit 6,6%), Karuzi (18.468 ha, soit 6,2%).</w:t>
      </w:r>
    </w:p>
    <w:p w:rsidR="00C27C92" w:rsidRPr="00B6647E" w:rsidRDefault="007B444B" w:rsidP="00B00366">
      <w:pPr>
        <w:spacing w:line="240" w:lineRule="auto"/>
        <w:jc w:val="both"/>
        <w:rPr>
          <w:rFonts w:ascii="Arial" w:hAnsi="Arial" w:cs="Arial"/>
          <w:sz w:val="20"/>
          <w:szCs w:val="20"/>
        </w:rPr>
      </w:pPr>
      <w:r w:rsidRPr="00B6647E">
        <w:rPr>
          <w:rFonts w:ascii="Arial" w:hAnsi="Arial" w:cs="Arial"/>
          <w:sz w:val="20"/>
          <w:szCs w:val="20"/>
        </w:rPr>
        <w:t xml:space="preserve">La superficie du manioc amer </w:t>
      </w:r>
      <w:r w:rsidR="00C27C92" w:rsidRPr="00B6647E">
        <w:rPr>
          <w:rFonts w:ascii="Arial" w:hAnsi="Arial" w:cs="Arial"/>
          <w:sz w:val="20"/>
          <w:szCs w:val="20"/>
        </w:rPr>
        <w:t xml:space="preserve">en culture pure et principale </w:t>
      </w:r>
      <w:r w:rsidRPr="00B6647E">
        <w:rPr>
          <w:rFonts w:ascii="Arial" w:hAnsi="Arial" w:cs="Arial"/>
          <w:sz w:val="20"/>
          <w:szCs w:val="20"/>
        </w:rPr>
        <w:t>a été estimée à 264.048 ha</w:t>
      </w:r>
      <w:r w:rsidR="00C27C92" w:rsidRPr="00B6647E">
        <w:rPr>
          <w:rFonts w:ascii="Arial" w:hAnsi="Arial" w:cs="Arial"/>
          <w:sz w:val="20"/>
          <w:szCs w:val="20"/>
        </w:rPr>
        <w:t>. Elle</w:t>
      </w:r>
      <w:r w:rsidRPr="00B6647E">
        <w:rPr>
          <w:rFonts w:ascii="Arial" w:hAnsi="Arial" w:cs="Arial"/>
          <w:sz w:val="20"/>
          <w:szCs w:val="20"/>
        </w:rPr>
        <w:t xml:space="preserve"> représente 89,3% de l’ensemble du manioc (amer et doux)</w:t>
      </w:r>
      <w:r w:rsidR="00C27C92" w:rsidRPr="00B6647E">
        <w:rPr>
          <w:rFonts w:ascii="Arial" w:hAnsi="Arial" w:cs="Arial"/>
          <w:sz w:val="20"/>
          <w:szCs w:val="20"/>
        </w:rPr>
        <w:t xml:space="preserve"> et</w:t>
      </w:r>
      <w:r w:rsidRPr="00B6647E">
        <w:rPr>
          <w:rFonts w:ascii="Arial" w:hAnsi="Arial" w:cs="Arial"/>
          <w:sz w:val="20"/>
          <w:szCs w:val="20"/>
        </w:rPr>
        <w:t xml:space="preserve"> 61,8% de la superficie de l’ensemble des tubercules et racines</w:t>
      </w:r>
      <w:r w:rsidR="00C27C92" w:rsidRPr="00B6647E">
        <w:rPr>
          <w:rFonts w:ascii="Arial" w:hAnsi="Arial" w:cs="Arial"/>
          <w:sz w:val="20"/>
          <w:szCs w:val="20"/>
        </w:rPr>
        <w:t xml:space="preserve"> de toute la campagne agricole.</w:t>
      </w:r>
    </w:p>
    <w:p w:rsidR="00C1490B" w:rsidRPr="00B6647E" w:rsidRDefault="00C1490B" w:rsidP="007448BA">
      <w:pPr>
        <w:pStyle w:val="Lgende"/>
        <w:keepNext/>
        <w:jc w:val="both"/>
        <w:rPr>
          <w:rFonts w:ascii="Arial" w:hAnsi="Arial" w:cs="Arial"/>
        </w:rPr>
      </w:pPr>
      <w:r w:rsidRPr="00B6647E">
        <w:rPr>
          <w:rFonts w:ascii="Arial" w:hAnsi="Arial" w:cs="Arial"/>
        </w:rPr>
        <w:lastRenderedPageBreak/>
        <w:t xml:space="preserve">Tableau </w:t>
      </w:r>
      <w:r w:rsidR="005E6CB8" w:rsidRPr="00B6647E">
        <w:rPr>
          <w:rFonts w:ascii="Arial" w:hAnsi="Arial" w:cs="Arial"/>
        </w:rPr>
        <w:t>1</w:t>
      </w:r>
      <w:r w:rsidR="00E34AD0">
        <w:rPr>
          <w:rFonts w:ascii="Arial" w:hAnsi="Arial" w:cs="Arial"/>
        </w:rPr>
        <w:t>6</w:t>
      </w:r>
      <w:r w:rsidR="005E6CB8" w:rsidRPr="00B6647E">
        <w:rPr>
          <w:rFonts w:ascii="Arial" w:hAnsi="Arial" w:cs="Arial"/>
        </w:rPr>
        <w:t>0 :</w:t>
      </w:r>
      <w:r w:rsidRPr="00B6647E">
        <w:rPr>
          <w:rFonts w:ascii="Arial" w:hAnsi="Arial" w:cs="Arial"/>
        </w:rPr>
        <w:t xml:space="preserve"> Superficie totale cultivée du manioc amer par province pendant les trois saisons</w:t>
      </w:r>
    </w:p>
    <w:p w:rsidR="00C1490B" w:rsidRPr="00B6647E" w:rsidRDefault="003770B9" w:rsidP="007448BA">
      <w:pPr>
        <w:spacing w:line="240" w:lineRule="auto"/>
        <w:jc w:val="both"/>
        <w:rPr>
          <w:rFonts w:cs="Arial"/>
          <w:szCs w:val="20"/>
        </w:rPr>
      </w:pPr>
      <w:r w:rsidRPr="00B6647E">
        <w:rPr>
          <w:noProof/>
          <w:szCs w:val="20"/>
          <w:lang w:val="fr-FR" w:eastAsia="fr-FR"/>
        </w:rPr>
        <w:drawing>
          <wp:inline distT="0" distB="0" distL="0" distR="0">
            <wp:extent cx="4105275" cy="3867150"/>
            <wp:effectExtent l="19050" t="0" r="9525" b="0"/>
            <wp:docPr id="474"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09" cstate="print"/>
                    <a:srcRect/>
                    <a:stretch>
                      <a:fillRect/>
                    </a:stretch>
                  </pic:blipFill>
                  <pic:spPr bwMode="auto">
                    <a:xfrm>
                      <a:off x="0" y="0"/>
                      <a:ext cx="4105275" cy="3867150"/>
                    </a:xfrm>
                    <a:prstGeom prst="rect">
                      <a:avLst/>
                    </a:prstGeom>
                    <a:noFill/>
                    <a:ln w="9525">
                      <a:noFill/>
                      <a:miter lim="800000"/>
                      <a:headEnd/>
                      <a:tailEnd/>
                    </a:ln>
                  </pic:spPr>
                </pic:pic>
              </a:graphicData>
            </a:graphic>
          </wp:inline>
        </w:drawing>
      </w:r>
    </w:p>
    <w:p w:rsidR="00091F23" w:rsidRPr="00B6647E" w:rsidRDefault="00091F23" w:rsidP="00112D15">
      <w:pPr>
        <w:spacing w:line="240" w:lineRule="auto"/>
        <w:jc w:val="both"/>
        <w:rPr>
          <w:rFonts w:ascii="Arial" w:hAnsi="Arial" w:cs="Arial"/>
          <w:sz w:val="20"/>
          <w:szCs w:val="20"/>
          <w:lang w:eastAsia="fr-FR"/>
        </w:rPr>
      </w:pPr>
      <w:r w:rsidRPr="00B6647E">
        <w:rPr>
          <w:rFonts w:ascii="Arial" w:hAnsi="Arial" w:cs="Arial"/>
          <w:sz w:val="20"/>
          <w:szCs w:val="20"/>
          <w:lang w:eastAsia="fr-FR"/>
        </w:rPr>
        <w:t xml:space="preserve">Le manioc amer est principalement cultivé pendant la saison </w:t>
      </w:r>
      <w:r w:rsidR="00112D15">
        <w:rPr>
          <w:rFonts w:ascii="Arial" w:hAnsi="Arial" w:cs="Arial"/>
          <w:sz w:val="20"/>
          <w:szCs w:val="20"/>
          <w:lang w:eastAsia="fr-FR"/>
        </w:rPr>
        <w:t>C</w:t>
      </w:r>
      <w:r w:rsidRPr="00B6647E">
        <w:rPr>
          <w:rFonts w:ascii="Arial" w:hAnsi="Arial" w:cs="Arial"/>
          <w:sz w:val="20"/>
          <w:szCs w:val="20"/>
          <w:lang w:eastAsia="fr-FR"/>
        </w:rPr>
        <w:t xml:space="preserve"> (122.896 ha, soit 46,5% de sa superficie cumulée des trois saisons). On note qu’il y a trois qui cultivé plus 25.000 : Makamba, (33.792 ha, soit 12,8% des trois saisons), Cibitoke (30.798 ha, soit 11,7%) et Bujumbura rural (26.344 ha, soit 10%). Les plus petite</w:t>
      </w:r>
      <w:r w:rsidR="00112D15">
        <w:rPr>
          <w:rFonts w:ascii="Arial" w:hAnsi="Arial" w:cs="Arial"/>
          <w:sz w:val="20"/>
          <w:szCs w:val="20"/>
          <w:lang w:eastAsia="fr-FR"/>
        </w:rPr>
        <w:t>s</w:t>
      </w:r>
      <w:r w:rsidRPr="00B6647E">
        <w:rPr>
          <w:rFonts w:ascii="Arial" w:hAnsi="Arial" w:cs="Arial"/>
          <w:sz w:val="20"/>
          <w:szCs w:val="20"/>
          <w:lang w:eastAsia="fr-FR"/>
        </w:rPr>
        <w:t xml:space="preserve"> superficies ont été enregistrées à Mwaro (2.247 ha), Cankuzo (6.262 ha), Kayanza (7.854 ha), Muramvya (5.466ha), Ngozi (7.789 ha).</w:t>
      </w:r>
    </w:p>
    <w:p w:rsidR="00C80BC2" w:rsidRPr="00B6647E" w:rsidRDefault="00244D3D" w:rsidP="007448BA">
      <w:pPr>
        <w:spacing w:line="240" w:lineRule="auto"/>
        <w:jc w:val="both"/>
        <w:rPr>
          <w:rFonts w:ascii="Arial" w:hAnsi="Arial" w:cs="Arial"/>
          <w:sz w:val="20"/>
          <w:szCs w:val="20"/>
          <w:lang w:eastAsia="fr-FR"/>
        </w:rPr>
      </w:pPr>
      <w:r w:rsidRPr="00B6647E">
        <w:rPr>
          <w:rFonts w:ascii="Arial" w:hAnsi="Arial" w:cs="Arial"/>
          <w:sz w:val="20"/>
          <w:szCs w:val="20"/>
          <w:lang w:eastAsia="fr-FR"/>
        </w:rPr>
        <w:t xml:space="preserve">La superficie totale du manioc doux (31.638 ha) représente 10,7% de la superficie totale du manioc (amer et doux) et 7,4% de la superficie totale de la campagne agricole 2011-2012. </w:t>
      </w:r>
      <w:r w:rsidR="00DF702A" w:rsidRPr="00B6647E">
        <w:rPr>
          <w:rFonts w:ascii="Arial" w:hAnsi="Arial" w:cs="Arial"/>
          <w:sz w:val="20"/>
          <w:szCs w:val="20"/>
          <w:lang w:eastAsia="fr-FR"/>
        </w:rPr>
        <w:t>Elle est beaucoup plus faible que celles du manioc amer dans toutes provinces.</w:t>
      </w:r>
      <w:r w:rsidR="00C80BC2" w:rsidRPr="00B6647E">
        <w:rPr>
          <w:rFonts w:ascii="Arial" w:hAnsi="Arial" w:cs="Arial"/>
          <w:sz w:val="20"/>
          <w:szCs w:val="20"/>
          <w:lang w:eastAsia="fr-FR"/>
        </w:rPr>
        <w:t xml:space="preserve"> Au cours de la saison C, cette superficie est estimée à 18.369 ha (58,1%). En saison A, cette superficie de manioc doux a été estimée à 5.869 ha (18,5%) et pendant la saison C à 7.400 ha (23,4%).</w:t>
      </w:r>
    </w:p>
    <w:p w:rsidR="00244D3D" w:rsidRPr="00B6647E" w:rsidRDefault="00DF702A" w:rsidP="007448BA">
      <w:pPr>
        <w:spacing w:line="240" w:lineRule="auto"/>
        <w:jc w:val="both"/>
        <w:rPr>
          <w:rFonts w:ascii="Arial" w:hAnsi="Arial" w:cs="Arial"/>
          <w:sz w:val="20"/>
          <w:szCs w:val="20"/>
          <w:lang w:eastAsia="fr-FR"/>
        </w:rPr>
      </w:pPr>
      <w:r w:rsidRPr="00B6647E">
        <w:rPr>
          <w:rFonts w:ascii="Arial" w:hAnsi="Arial" w:cs="Arial"/>
          <w:sz w:val="20"/>
          <w:szCs w:val="20"/>
          <w:lang w:eastAsia="fr-FR"/>
        </w:rPr>
        <w:t>Les superficies les plus élevées ont été estimées dans les</w:t>
      </w:r>
      <w:r w:rsidR="00244D3D" w:rsidRPr="00B6647E">
        <w:rPr>
          <w:rFonts w:ascii="Arial" w:hAnsi="Arial" w:cs="Arial"/>
          <w:sz w:val="20"/>
          <w:szCs w:val="20"/>
          <w:lang w:eastAsia="fr-FR"/>
        </w:rPr>
        <w:t xml:space="preserve"> </w:t>
      </w:r>
      <w:r w:rsidRPr="00B6647E">
        <w:rPr>
          <w:rFonts w:ascii="Arial" w:hAnsi="Arial" w:cs="Arial"/>
          <w:sz w:val="20"/>
          <w:szCs w:val="20"/>
          <w:lang w:eastAsia="fr-FR"/>
        </w:rPr>
        <w:t>provinces</w:t>
      </w:r>
      <w:r w:rsidR="00244D3D" w:rsidRPr="00B6647E">
        <w:rPr>
          <w:rFonts w:ascii="Arial" w:hAnsi="Arial" w:cs="Arial"/>
          <w:sz w:val="20"/>
          <w:szCs w:val="20"/>
          <w:lang w:eastAsia="fr-FR"/>
        </w:rPr>
        <w:t xml:space="preserve"> </w:t>
      </w:r>
      <w:r w:rsidRPr="00B6647E">
        <w:rPr>
          <w:rFonts w:ascii="Arial" w:hAnsi="Arial" w:cs="Arial"/>
          <w:sz w:val="20"/>
          <w:szCs w:val="20"/>
          <w:lang w:eastAsia="fr-FR"/>
        </w:rPr>
        <w:t>de Cibitoke</w:t>
      </w:r>
      <w:r w:rsidR="00244D3D" w:rsidRPr="00B6647E">
        <w:rPr>
          <w:rFonts w:ascii="Arial" w:hAnsi="Arial" w:cs="Arial"/>
          <w:sz w:val="20"/>
          <w:szCs w:val="20"/>
          <w:lang w:eastAsia="fr-FR"/>
        </w:rPr>
        <w:t xml:space="preserve"> (</w:t>
      </w:r>
      <w:r w:rsidRPr="00B6647E">
        <w:rPr>
          <w:rFonts w:ascii="Arial" w:hAnsi="Arial" w:cs="Arial"/>
          <w:sz w:val="20"/>
          <w:szCs w:val="20"/>
          <w:lang w:eastAsia="fr-FR"/>
        </w:rPr>
        <w:t>5.971 ha</w:t>
      </w:r>
      <w:r w:rsidR="00244D3D" w:rsidRPr="00B6647E">
        <w:rPr>
          <w:rFonts w:ascii="Arial" w:hAnsi="Arial" w:cs="Arial"/>
          <w:sz w:val="20"/>
          <w:szCs w:val="20"/>
          <w:lang w:eastAsia="fr-FR"/>
        </w:rPr>
        <w:t xml:space="preserve">, soit </w:t>
      </w:r>
      <w:r w:rsidR="002D7495" w:rsidRPr="00B6647E">
        <w:rPr>
          <w:rFonts w:ascii="Arial" w:hAnsi="Arial" w:cs="Arial"/>
          <w:sz w:val="20"/>
          <w:szCs w:val="20"/>
          <w:lang w:eastAsia="fr-FR"/>
        </w:rPr>
        <w:t>18,9%</w:t>
      </w:r>
      <w:r w:rsidR="00244D3D" w:rsidRPr="00B6647E">
        <w:rPr>
          <w:rFonts w:ascii="Arial" w:hAnsi="Arial" w:cs="Arial"/>
          <w:sz w:val="20"/>
          <w:szCs w:val="20"/>
          <w:lang w:eastAsia="fr-FR"/>
        </w:rPr>
        <w:t xml:space="preserve"> du total de la campagne), </w:t>
      </w:r>
      <w:r w:rsidR="002D7495" w:rsidRPr="00B6647E">
        <w:rPr>
          <w:rFonts w:ascii="Arial" w:hAnsi="Arial" w:cs="Arial"/>
          <w:sz w:val="20"/>
          <w:szCs w:val="20"/>
          <w:lang w:eastAsia="fr-FR"/>
        </w:rPr>
        <w:t>Bujumbura rural</w:t>
      </w:r>
      <w:r w:rsidR="00244D3D" w:rsidRPr="00B6647E">
        <w:rPr>
          <w:rFonts w:ascii="Arial" w:hAnsi="Arial" w:cs="Arial"/>
          <w:sz w:val="20"/>
          <w:szCs w:val="20"/>
          <w:lang w:eastAsia="fr-FR"/>
        </w:rPr>
        <w:t xml:space="preserve"> (</w:t>
      </w:r>
      <w:r w:rsidR="002D7495" w:rsidRPr="00B6647E">
        <w:rPr>
          <w:rFonts w:ascii="Arial" w:hAnsi="Arial" w:cs="Arial"/>
          <w:sz w:val="20"/>
          <w:szCs w:val="20"/>
          <w:lang w:eastAsia="fr-FR"/>
        </w:rPr>
        <w:t>3.535</w:t>
      </w:r>
      <w:r w:rsidR="00244D3D" w:rsidRPr="00B6647E">
        <w:rPr>
          <w:rFonts w:ascii="Arial" w:hAnsi="Arial" w:cs="Arial"/>
          <w:sz w:val="20"/>
          <w:szCs w:val="20"/>
          <w:lang w:eastAsia="fr-FR"/>
        </w:rPr>
        <w:t xml:space="preserve"> ha, soit 1</w:t>
      </w:r>
      <w:r w:rsidR="002D7495" w:rsidRPr="00B6647E">
        <w:rPr>
          <w:rFonts w:ascii="Arial" w:hAnsi="Arial" w:cs="Arial"/>
          <w:sz w:val="20"/>
          <w:szCs w:val="20"/>
          <w:lang w:eastAsia="fr-FR"/>
        </w:rPr>
        <w:t>11,2</w:t>
      </w:r>
      <w:r w:rsidR="00244D3D" w:rsidRPr="00B6647E">
        <w:rPr>
          <w:rFonts w:ascii="Arial" w:hAnsi="Arial" w:cs="Arial"/>
          <w:sz w:val="20"/>
          <w:szCs w:val="20"/>
          <w:lang w:eastAsia="fr-FR"/>
        </w:rPr>
        <w:t xml:space="preserve">%), </w:t>
      </w:r>
      <w:r w:rsidR="002D7495" w:rsidRPr="00B6647E">
        <w:rPr>
          <w:rFonts w:ascii="Arial" w:hAnsi="Arial" w:cs="Arial"/>
          <w:sz w:val="20"/>
          <w:szCs w:val="20"/>
          <w:lang w:eastAsia="fr-FR"/>
        </w:rPr>
        <w:t>Kirundo (3.099 ha, soit 9,8</w:t>
      </w:r>
      <w:r w:rsidR="00244D3D" w:rsidRPr="00B6647E">
        <w:rPr>
          <w:rFonts w:ascii="Arial" w:hAnsi="Arial" w:cs="Arial"/>
          <w:sz w:val="20"/>
          <w:szCs w:val="20"/>
          <w:lang w:eastAsia="fr-FR"/>
        </w:rPr>
        <w:t xml:space="preserve">%), </w:t>
      </w:r>
      <w:r w:rsidR="002D7495" w:rsidRPr="00B6647E">
        <w:rPr>
          <w:rFonts w:ascii="Arial" w:hAnsi="Arial" w:cs="Arial"/>
          <w:sz w:val="20"/>
          <w:szCs w:val="20"/>
          <w:lang w:eastAsia="fr-FR"/>
        </w:rPr>
        <w:t xml:space="preserve">Cankuzo </w:t>
      </w:r>
      <w:r w:rsidR="00244D3D" w:rsidRPr="00B6647E">
        <w:rPr>
          <w:rFonts w:ascii="Arial" w:hAnsi="Arial" w:cs="Arial"/>
          <w:sz w:val="20"/>
          <w:szCs w:val="20"/>
          <w:lang w:eastAsia="fr-FR"/>
        </w:rPr>
        <w:t>(</w:t>
      </w:r>
      <w:r w:rsidR="002D7495" w:rsidRPr="00B6647E">
        <w:rPr>
          <w:rFonts w:ascii="Arial" w:hAnsi="Arial" w:cs="Arial"/>
          <w:sz w:val="20"/>
          <w:szCs w:val="20"/>
          <w:lang w:eastAsia="fr-FR"/>
        </w:rPr>
        <w:t>2.856</w:t>
      </w:r>
      <w:r w:rsidR="00244D3D" w:rsidRPr="00B6647E">
        <w:rPr>
          <w:rFonts w:ascii="Arial" w:hAnsi="Arial" w:cs="Arial"/>
          <w:sz w:val="20"/>
          <w:szCs w:val="20"/>
          <w:lang w:eastAsia="fr-FR"/>
        </w:rPr>
        <w:t xml:space="preserve"> ha, soit 9%), </w:t>
      </w:r>
      <w:r w:rsidR="002D7495" w:rsidRPr="00B6647E">
        <w:rPr>
          <w:rFonts w:ascii="Arial" w:hAnsi="Arial" w:cs="Arial"/>
          <w:sz w:val="20"/>
          <w:szCs w:val="20"/>
          <w:lang w:eastAsia="fr-FR"/>
        </w:rPr>
        <w:t>Ruyigi</w:t>
      </w:r>
      <w:r w:rsidR="00244D3D" w:rsidRPr="00B6647E">
        <w:rPr>
          <w:rFonts w:ascii="Arial" w:hAnsi="Arial" w:cs="Arial"/>
          <w:sz w:val="20"/>
          <w:szCs w:val="20"/>
          <w:lang w:eastAsia="fr-FR"/>
        </w:rPr>
        <w:t xml:space="preserve"> (2.</w:t>
      </w:r>
      <w:r w:rsidR="002D7495" w:rsidRPr="00B6647E">
        <w:rPr>
          <w:rFonts w:ascii="Arial" w:hAnsi="Arial" w:cs="Arial"/>
          <w:sz w:val="20"/>
          <w:szCs w:val="20"/>
          <w:lang w:eastAsia="fr-FR"/>
        </w:rPr>
        <w:t>678</w:t>
      </w:r>
      <w:r w:rsidR="00244D3D" w:rsidRPr="00B6647E">
        <w:rPr>
          <w:rFonts w:ascii="Arial" w:hAnsi="Arial" w:cs="Arial"/>
          <w:sz w:val="20"/>
          <w:szCs w:val="20"/>
          <w:lang w:eastAsia="fr-FR"/>
        </w:rPr>
        <w:t xml:space="preserve"> ha, soit </w:t>
      </w:r>
      <w:r w:rsidR="002D7495" w:rsidRPr="00B6647E">
        <w:rPr>
          <w:rFonts w:ascii="Arial" w:hAnsi="Arial" w:cs="Arial"/>
          <w:sz w:val="20"/>
          <w:szCs w:val="20"/>
          <w:lang w:eastAsia="fr-FR"/>
        </w:rPr>
        <w:t>8,5</w:t>
      </w:r>
      <w:r w:rsidR="00244D3D" w:rsidRPr="00B6647E">
        <w:rPr>
          <w:rFonts w:ascii="Arial" w:hAnsi="Arial" w:cs="Arial"/>
          <w:sz w:val="20"/>
          <w:szCs w:val="20"/>
          <w:lang w:eastAsia="fr-FR"/>
        </w:rPr>
        <w:t>%).</w:t>
      </w:r>
      <w:r w:rsidR="00521F19" w:rsidRPr="00B6647E">
        <w:rPr>
          <w:rFonts w:ascii="Arial" w:hAnsi="Arial" w:cs="Arial"/>
          <w:sz w:val="20"/>
          <w:szCs w:val="20"/>
          <w:lang w:eastAsia="fr-FR"/>
        </w:rPr>
        <w:t xml:space="preserve">Les provinces de Bururi (165 ha), Muramvya (563 ha) et </w:t>
      </w:r>
      <w:r w:rsidR="001A4220" w:rsidRPr="00B6647E">
        <w:rPr>
          <w:rFonts w:ascii="Arial" w:hAnsi="Arial" w:cs="Arial"/>
          <w:sz w:val="20"/>
          <w:szCs w:val="20"/>
          <w:lang w:eastAsia="fr-FR"/>
        </w:rPr>
        <w:t>Bubanza</w:t>
      </w:r>
      <w:r w:rsidR="00521F19" w:rsidRPr="00B6647E">
        <w:rPr>
          <w:rFonts w:ascii="Arial" w:hAnsi="Arial" w:cs="Arial"/>
          <w:sz w:val="20"/>
          <w:szCs w:val="20"/>
          <w:lang w:eastAsia="fr-FR"/>
        </w:rPr>
        <w:t xml:space="preserve"> (994 ha) ont </w:t>
      </w:r>
      <w:r w:rsidR="001A4220" w:rsidRPr="00B6647E">
        <w:rPr>
          <w:rFonts w:ascii="Arial" w:hAnsi="Arial" w:cs="Arial"/>
          <w:sz w:val="20"/>
          <w:szCs w:val="20"/>
          <w:lang w:eastAsia="fr-FR"/>
        </w:rPr>
        <w:t>enregistré</w:t>
      </w:r>
      <w:r w:rsidR="00521F19" w:rsidRPr="00B6647E">
        <w:rPr>
          <w:rFonts w:ascii="Arial" w:hAnsi="Arial" w:cs="Arial"/>
          <w:sz w:val="20"/>
          <w:szCs w:val="20"/>
          <w:lang w:eastAsia="fr-FR"/>
        </w:rPr>
        <w:t xml:space="preserve"> </w:t>
      </w:r>
      <w:r w:rsidR="001A4220" w:rsidRPr="00B6647E">
        <w:rPr>
          <w:rFonts w:ascii="Arial" w:hAnsi="Arial" w:cs="Arial"/>
          <w:sz w:val="20"/>
          <w:szCs w:val="20"/>
          <w:lang w:eastAsia="fr-FR"/>
        </w:rPr>
        <w:t>moins de 1.000 ha.</w:t>
      </w:r>
    </w:p>
    <w:p w:rsidR="00C1490B" w:rsidRPr="00B6647E" w:rsidRDefault="00C1490B" w:rsidP="007448BA">
      <w:pPr>
        <w:spacing w:line="240" w:lineRule="auto"/>
        <w:jc w:val="both"/>
        <w:rPr>
          <w:rFonts w:cs="Arial"/>
          <w:szCs w:val="20"/>
        </w:rPr>
      </w:pPr>
    </w:p>
    <w:p w:rsidR="00C1490B" w:rsidRPr="00B6647E" w:rsidRDefault="005E6CB8" w:rsidP="00B00366">
      <w:pPr>
        <w:pStyle w:val="Lgende"/>
        <w:keepNext/>
        <w:jc w:val="both"/>
        <w:rPr>
          <w:rFonts w:ascii="Arial" w:hAnsi="Arial" w:cs="Arial"/>
        </w:rPr>
      </w:pPr>
      <w:r w:rsidRPr="00B6647E">
        <w:rPr>
          <w:rFonts w:ascii="Arial" w:hAnsi="Arial" w:cs="Arial"/>
        </w:rPr>
        <w:lastRenderedPageBreak/>
        <w:t>Tableau 1</w:t>
      </w:r>
      <w:r w:rsidR="00E34AD0">
        <w:rPr>
          <w:rFonts w:ascii="Arial" w:hAnsi="Arial" w:cs="Arial"/>
        </w:rPr>
        <w:t>6</w:t>
      </w:r>
      <w:r w:rsidRPr="00B6647E">
        <w:rPr>
          <w:rFonts w:ascii="Arial" w:hAnsi="Arial" w:cs="Arial"/>
        </w:rPr>
        <w:t>1 :</w:t>
      </w:r>
      <w:r w:rsidR="00C1490B" w:rsidRPr="00B6647E">
        <w:rPr>
          <w:rFonts w:ascii="Arial" w:hAnsi="Arial" w:cs="Arial"/>
        </w:rPr>
        <w:t xml:space="preserve"> Superficie totale cultivée du manioc doux par province pendant les trois saisons</w:t>
      </w:r>
    </w:p>
    <w:p w:rsidR="00C1490B" w:rsidRPr="00B6647E" w:rsidRDefault="003770B9" w:rsidP="00B00366">
      <w:pPr>
        <w:spacing w:after="0" w:line="240" w:lineRule="auto"/>
        <w:jc w:val="both"/>
        <w:rPr>
          <w:rFonts w:cs="Arial"/>
          <w:szCs w:val="20"/>
        </w:rPr>
      </w:pPr>
      <w:r w:rsidRPr="00B6647E">
        <w:rPr>
          <w:noProof/>
          <w:szCs w:val="20"/>
          <w:lang w:val="fr-FR" w:eastAsia="fr-FR"/>
        </w:rPr>
        <w:drawing>
          <wp:inline distT="0" distB="0" distL="0" distR="0">
            <wp:extent cx="4105275" cy="3867150"/>
            <wp:effectExtent l="19050" t="0" r="9525" b="0"/>
            <wp:docPr id="475"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10" cstate="print"/>
                    <a:srcRect/>
                    <a:stretch>
                      <a:fillRect/>
                    </a:stretch>
                  </pic:blipFill>
                  <pic:spPr bwMode="auto">
                    <a:xfrm>
                      <a:off x="0" y="0"/>
                      <a:ext cx="4105275" cy="3867150"/>
                    </a:xfrm>
                    <a:prstGeom prst="rect">
                      <a:avLst/>
                    </a:prstGeom>
                    <a:noFill/>
                    <a:ln w="9525">
                      <a:noFill/>
                      <a:miter lim="800000"/>
                      <a:headEnd/>
                      <a:tailEnd/>
                    </a:ln>
                  </pic:spPr>
                </pic:pic>
              </a:graphicData>
            </a:graphic>
          </wp:inline>
        </w:drawing>
      </w:r>
    </w:p>
    <w:p w:rsidR="00521F19" w:rsidRPr="00B6647E" w:rsidRDefault="00521F19" w:rsidP="00B00366">
      <w:pPr>
        <w:pStyle w:val="Paragraphedeliste"/>
        <w:spacing w:after="120" w:line="240" w:lineRule="auto"/>
        <w:ind w:left="0"/>
        <w:jc w:val="both"/>
        <w:rPr>
          <w:rFonts w:ascii="Arial" w:hAnsi="Arial" w:cs="Arial"/>
          <w:sz w:val="20"/>
          <w:szCs w:val="20"/>
        </w:rPr>
      </w:pPr>
      <w:r w:rsidRPr="00B6647E">
        <w:rPr>
          <w:rFonts w:ascii="Arial" w:hAnsi="Arial" w:cs="Arial"/>
          <w:sz w:val="20"/>
          <w:szCs w:val="20"/>
        </w:rPr>
        <w:t>Au cours de la campagne agricole 2011-2012, la superficie en culture pure et principale occupée par la patate douce (101.421 ha,) représente près du quart (23,7%) de la superficie totale de tubercules et racines. La superficie de cette culture est estimée à 32.540 ha (32,1%) au cours de la saison A. Elle est de 27.522 ha (27,1%) pendant la saison B et de 41.359 ha (40,8%) en saison C.</w:t>
      </w:r>
    </w:p>
    <w:p w:rsidR="00C1490B" w:rsidRPr="00B6647E" w:rsidRDefault="005E6CB8" w:rsidP="007448BA">
      <w:pPr>
        <w:pStyle w:val="Lgende"/>
        <w:keepNext/>
        <w:jc w:val="both"/>
        <w:rPr>
          <w:rFonts w:ascii="Arial" w:hAnsi="Arial" w:cs="Arial"/>
        </w:rPr>
      </w:pPr>
      <w:r w:rsidRPr="00B6647E">
        <w:rPr>
          <w:rFonts w:ascii="Arial" w:hAnsi="Arial" w:cs="Arial"/>
        </w:rPr>
        <w:t>Tableau 1</w:t>
      </w:r>
      <w:r w:rsidR="00E34AD0">
        <w:rPr>
          <w:rFonts w:ascii="Arial" w:hAnsi="Arial" w:cs="Arial"/>
        </w:rPr>
        <w:t>6</w:t>
      </w:r>
      <w:r w:rsidRPr="00B6647E">
        <w:rPr>
          <w:rFonts w:ascii="Arial" w:hAnsi="Arial" w:cs="Arial"/>
        </w:rPr>
        <w:t>2 :</w:t>
      </w:r>
      <w:r w:rsidR="00C1490B" w:rsidRPr="00B6647E">
        <w:rPr>
          <w:rFonts w:ascii="Arial" w:hAnsi="Arial" w:cs="Arial"/>
        </w:rPr>
        <w:t xml:space="preserve"> Superficie totale cultivée de la patate douce par province </w:t>
      </w:r>
      <w:r w:rsidR="00B00366" w:rsidRPr="00B6647E">
        <w:rPr>
          <w:rFonts w:ascii="Arial" w:hAnsi="Arial" w:cs="Arial"/>
        </w:rPr>
        <w:t>et par</w:t>
      </w:r>
      <w:r w:rsidR="00C1490B" w:rsidRPr="00B6647E">
        <w:rPr>
          <w:rFonts w:ascii="Arial" w:hAnsi="Arial" w:cs="Arial"/>
        </w:rPr>
        <w:t xml:space="preserve"> saison</w:t>
      </w:r>
    </w:p>
    <w:p w:rsidR="00C1490B" w:rsidRPr="00B6647E" w:rsidRDefault="003770B9" w:rsidP="007448BA">
      <w:pPr>
        <w:spacing w:line="240" w:lineRule="auto"/>
        <w:jc w:val="both"/>
        <w:rPr>
          <w:rFonts w:cs="Arial"/>
          <w:szCs w:val="20"/>
        </w:rPr>
      </w:pPr>
      <w:r w:rsidRPr="00B6647E">
        <w:rPr>
          <w:noProof/>
          <w:szCs w:val="20"/>
          <w:lang w:val="fr-FR" w:eastAsia="fr-FR"/>
        </w:rPr>
        <w:drawing>
          <wp:inline distT="0" distB="0" distL="0" distR="0">
            <wp:extent cx="4105275" cy="3867150"/>
            <wp:effectExtent l="19050" t="0" r="9525" b="0"/>
            <wp:docPr id="476"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11" cstate="print"/>
                    <a:srcRect/>
                    <a:stretch>
                      <a:fillRect/>
                    </a:stretch>
                  </pic:blipFill>
                  <pic:spPr bwMode="auto">
                    <a:xfrm>
                      <a:off x="0" y="0"/>
                      <a:ext cx="4105275" cy="3867150"/>
                    </a:xfrm>
                    <a:prstGeom prst="rect">
                      <a:avLst/>
                    </a:prstGeom>
                    <a:noFill/>
                    <a:ln w="9525">
                      <a:noFill/>
                      <a:miter lim="800000"/>
                      <a:headEnd/>
                      <a:tailEnd/>
                    </a:ln>
                  </pic:spPr>
                </pic:pic>
              </a:graphicData>
            </a:graphic>
          </wp:inline>
        </w:drawing>
      </w:r>
    </w:p>
    <w:p w:rsidR="00B00366" w:rsidRPr="00B6647E" w:rsidRDefault="00B00366" w:rsidP="00B00366">
      <w:pPr>
        <w:pStyle w:val="Paragraphedeliste"/>
        <w:spacing w:line="240" w:lineRule="auto"/>
        <w:ind w:left="0"/>
        <w:jc w:val="both"/>
        <w:rPr>
          <w:rFonts w:ascii="Arial" w:hAnsi="Arial" w:cs="Arial"/>
          <w:sz w:val="20"/>
          <w:szCs w:val="20"/>
        </w:rPr>
      </w:pPr>
      <w:r w:rsidRPr="00B6647E">
        <w:rPr>
          <w:rFonts w:ascii="Arial" w:hAnsi="Arial" w:cs="Arial"/>
          <w:sz w:val="20"/>
          <w:szCs w:val="20"/>
        </w:rPr>
        <w:lastRenderedPageBreak/>
        <w:t>La superficie de patate douce de Kirundo (16.622 ha, soit 16,4%) est supérieure à celles des autres provinces Viennent ensuite dans l’ordre Kayanza (12.237 ha, soit 12,1%), Muyinga (11.560 ha, soit 11,4%), Gitega (9.181 ha, soit 9,1%), Muramvya (8.287 ha, soit 8,2%), Ngozi (8.118 ha, soit 8%). Les provinces de Cibitoke (1.879 ha), Rutana (1.980 ha) et Ruyigi (1.862 ha) ont cultivé chacune moins de 2.000 ha de patate douce sur l’ensemble des trois saisons de la campagne agricole 2011-2012</w:t>
      </w:r>
    </w:p>
    <w:p w:rsidR="003720CA" w:rsidRPr="00B6647E" w:rsidRDefault="003720CA" w:rsidP="00091F23">
      <w:pPr>
        <w:spacing w:after="120" w:line="240" w:lineRule="auto"/>
        <w:jc w:val="both"/>
        <w:rPr>
          <w:rFonts w:ascii="Arial" w:hAnsi="Arial" w:cs="Arial"/>
          <w:sz w:val="20"/>
          <w:szCs w:val="20"/>
          <w:lang w:eastAsia="fr-FR"/>
        </w:rPr>
      </w:pPr>
      <w:r w:rsidRPr="00B6647E">
        <w:rPr>
          <w:rFonts w:ascii="Arial" w:hAnsi="Arial" w:cs="Arial"/>
          <w:sz w:val="20"/>
          <w:szCs w:val="20"/>
          <w:lang w:eastAsia="fr-FR"/>
        </w:rPr>
        <w:t>La superficie totale de pomme de terre (15.351 ha) représente 3,6% de la superficie totale de</w:t>
      </w:r>
      <w:r w:rsidR="008626A4" w:rsidRPr="00B6647E">
        <w:rPr>
          <w:rFonts w:ascii="Arial" w:hAnsi="Arial" w:cs="Arial"/>
          <w:sz w:val="20"/>
          <w:szCs w:val="20"/>
          <w:lang w:eastAsia="fr-FR"/>
        </w:rPr>
        <w:t>s</w:t>
      </w:r>
      <w:r w:rsidRPr="00B6647E">
        <w:rPr>
          <w:rFonts w:ascii="Arial" w:hAnsi="Arial" w:cs="Arial"/>
          <w:sz w:val="20"/>
          <w:szCs w:val="20"/>
          <w:lang w:eastAsia="fr-FR"/>
        </w:rPr>
        <w:t xml:space="preserve"> tubercules et racines  cumulée des trois saisons. </w:t>
      </w:r>
    </w:p>
    <w:p w:rsidR="00C1490B" w:rsidRPr="00B6647E" w:rsidRDefault="00C1490B" w:rsidP="007448BA">
      <w:pPr>
        <w:pStyle w:val="Lgende"/>
        <w:keepNext/>
        <w:jc w:val="both"/>
        <w:rPr>
          <w:rFonts w:ascii="Arial" w:hAnsi="Arial" w:cs="Arial"/>
        </w:rPr>
      </w:pPr>
      <w:r w:rsidRPr="00B6647E">
        <w:rPr>
          <w:rFonts w:ascii="Arial" w:hAnsi="Arial" w:cs="Arial"/>
        </w:rPr>
        <w:t xml:space="preserve">Tableau </w:t>
      </w:r>
      <w:r w:rsidR="005E6CB8" w:rsidRPr="00B6647E">
        <w:rPr>
          <w:rFonts w:ascii="Arial" w:hAnsi="Arial" w:cs="Arial"/>
        </w:rPr>
        <w:t>1</w:t>
      </w:r>
      <w:r w:rsidR="00E34AD0">
        <w:rPr>
          <w:rFonts w:ascii="Arial" w:hAnsi="Arial" w:cs="Arial"/>
        </w:rPr>
        <w:t>6</w:t>
      </w:r>
      <w:r w:rsidR="005E6CB8" w:rsidRPr="00B6647E">
        <w:rPr>
          <w:rFonts w:ascii="Arial" w:hAnsi="Arial" w:cs="Arial"/>
        </w:rPr>
        <w:t>3 :</w:t>
      </w:r>
      <w:r w:rsidRPr="00B6647E">
        <w:rPr>
          <w:rFonts w:ascii="Arial" w:hAnsi="Arial" w:cs="Arial"/>
        </w:rPr>
        <w:t xml:space="preserve"> Superficie totale cultivée de la pomme de terre par province pendant les trois saisons</w:t>
      </w:r>
    </w:p>
    <w:p w:rsidR="00C1490B" w:rsidRPr="00B6647E" w:rsidRDefault="001D5E46" w:rsidP="007448BA">
      <w:pPr>
        <w:spacing w:line="240" w:lineRule="auto"/>
        <w:jc w:val="both"/>
        <w:rPr>
          <w:rFonts w:cs="Arial"/>
          <w:szCs w:val="20"/>
        </w:rPr>
      </w:pPr>
      <w:r w:rsidRPr="00B6647E">
        <w:rPr>
          <w:noProof/>
          <w:szCs w:val="20"/>
          <w:lang w:val="fr-FR" w:eastAsia="fr-FR"/>
        </w:rPr>
        <w:drawing>
          <wp:inline distT="0" distB="0" distL="0" distR="0">
            <wp:extent cx="4105275" cy="3867150"/>
            <wp:effectExtent l="19050" t="0" r="9525" b="0"/>
            <wp:docPr id="477"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12" cstate="print"/>
                    <a:srcRect/>
                    <a:stretch>
                      <a:fillRect/>
                    </a:stretch>
                  </pic:blipFill>
                  <pic:spPr bwMode="auto">
                    <a:xfrm>
                      <a:off x="0" y="0"/>
                      <a:ext cx="4105275" cy="3867150"/>
                    </a:xfrm>
                    <a:prstGeom prst="rect">
                      <a:avLst/>
                    </a:prstGeom>
                    <a:noFill/>
                    <a:ln w="9525">
                      <a:noFill/>
                      <a:miter lim="800000"/>
                      <a:headEnd/>
                      <a:tailEnd/>
                    </a:ln>
                  </pic:spPr>
                </pic:pic>
              </a:graphicData>
            </a:graphic>
          </wp:inline>
        </w:drawing>
      </w:r>
    </w:p>
    <w:p w:rsidR="00091F23" w:rsidRPr="00B6647E" w:rsidRDefault="00091F23" w:rsidP="00091F23">
      <w:pPr>
        <w:spacing w:after="120" w:line="240" w:lineRule="auto"/>
        <w:jc w:val="both"/>
        <w:rPr>
          <w:rFonts w:ascii="Arial" w:hAnsi="Arial" w:cs="Arial"/>
          <w:sz w:val="20"/>
          <w:szCs w:val="20"/>
          <w:lang w:eastAsia="fr-FR"/>
        </w:rPr>
      </w:pPr>
      <w:r w:rsidRPr="00B6647E">
        <w:rPr>
          <w:rFonts w:ascii="Arial" w:hAnsi="Arial" w:cs="Arial"/>
          <w:sz w:val="20"/>
          <w:szCs w:val="20"/>
          <w:lang w:eastAsia="fr-FR"/>
        </w:rPr>
        <w:t>Au cours de la saison A cette superficie est 6.002 ha (39,1%). En saison B, cette superficie de pomme de terre a été estimée à 3.932 ha (25,6%) et à 5.417 ha (35,3%) pendant la saison C.</w:t>
      </w:r>
    </w:p>
    <w:p w:rsidR="00091F23" w:rsidRPr="00B6647E" w:rsidRDefault="00091F23" w:rsidP="00091F23">
      <w:pPr>
        <w:spacing w:after="120" w:line="240" w:lineRule="auto"/>
        <w:jc w:val="both"/>
        <w:rPr>
          <w:rFonts w:ascii="Arial" w:hAnsi="Arial" w:cs="Arial"/>
          <w:sz w:val="20"/>
          <w:szCs w:val="20"/>
          <w:lang w:eastAsia="fr-FR"/>
        </w:rPr>
      </w:pPr>
      <w:r w:rsidRPr="00B6647E">
        <w:rPr>
          <w:rFonts w:ascii="Arial" w:hAnsi="Arial" w:cs="Arial"/>
          <w:sz w:val="20"/>
          <w:szCs w:val="20"/>
          <w:lang w:eastAsia="fr-FR"/>
        </w:rPr>
        <w:t xml:space="preserve">On note qu’il y a six provinces (Bururi, Gitega, Kayanza, Muramvya, Muyinga et Ngozi)  totalisant 71,4% de la superficie totale de la pomme de terre ont cultivé chacune plus de 1.000 ha. Toutes les provinces ont cultivé de la pomme de terre (pure et principale) sauf Bubanza au cours de la saison C. Bubanza (60 ha), Makamba (78 ha), Bujumbura rural (106 ha), Cankuzo (144 ha) ont enregistré de faibles superficies </w:t>
      </w:r>
    </w:p>
    <w:p w:rsidR="00310A30" w:rsidRPr="00B6647E" w:rsidRDefault="00310A30" w:rsidP="007448BA">
      <w:pPr>
        <w:spacing w:line="240" w:lineRule="auto"/>
        <w:jc w:val="both"/>
        <w:rPr>
          <w:rFonts w:ascii="Arial" w:hAnsi="Arial" w:cs="Arial"/>
          <w:sz w:val="20"/>
          <w:szCs w:val="20"/>
        </w:rPr>
      </w:pPr>
      <w:r w:rsidRPr="00B6647E">
        <w:rPr>
          <w:rFonts w:ascii="Arial" w:hAnsi="Arial" w:cs="Arial"/>
          <w:sz w:val="20"/>
          <w:szCs w:val="20"/>
        </w:rPr>
        <w:t>La superficie en culture pure et principale de la colocase qui a été estimée à 14.397 ha représente 3,4% de la superficie de l’ensemble des tubercules et racines de toute la campagne agricole. Cette culture est majoritairement cultivé pendant la saison A (6.122 ha, soit 42,5% de sa superficie cumulée des trois saisons). En saison B, elle a été estimée à 4.393 ha (30,5%) et à 3.881 ha (27%) au cours de la saison C.</w:t>
      </w:r>
    </w:p>
    <w:p w:rsidR="00310A30" w:rsidRPr="00B6647E" w:rsidRDefault="00310A30" w:rsidP="007448BA">
      <w:pPr>
        <w:spacing w:line="240" w:lineRule="auto"/>
        <w:jc w:val="both"/>
        <w:rPr>
          <w:rFonts w:ascii="Arial" w:hAnsi="Arial" w:cs="Arial"/>
          <w:sz w:val="20"/>
          <w:szCs w:val="20"/>
        </w:rPr>
      </w:pPr>
      <w:r w:rsidRPr="00B6647E">
        <w:rPr>
          <w:rFonts w:ascii="Arial" w:hAnsi="Arial" w:cs="Arial"/>
          <w:sz w:val="20"/>
          <w:szCs w:val="20"/>
        </w:rPr>
        <w:t>Les principales provinces qui ont pratiqué la colocase en culture pure et principale sont : Kirundo (3.944 ha), Muyinga (2.643 ha) et Cibitoke 1.473 ha). Ces trois provinces totalisent 56% de la superficie de la colocase cumulée des trois saisons.</w:t>
      </w:r>
    </w:p>
    <w:p w:rsidR="00C1490B" w:rsidRPr="00B6647E" w:rsidRDefault="00C1490B" w:rsidP="006D1FD2">
      <w:pPr>
        <w:pStyle w:val="Lgende"/>
        <w:keepNext/>
        <w:jc w:val="both"/>
        <w:rPr>
          <w:rFonts w:ascii="Arial" w:hAnsi="Arial" w:cs="Arial"/>
        </w:rPr>
      </w:pPr>
      <w:r w:rsidRPr="00B6647E">
        <w:rPr>
          <w:rFonts w:ascii="Arial" w:hAnsi="Arial" w:cs="Arial"/>
        </w:rPr>
        <w:lastRenderedPageBreak/>
        <w:t xml:space="preserve">Tableau </w:t>
      </w:r>
      <w:r w:rsidR="005E6CB8" w:rsidRPr="00B6647E">
        <w:rPr>
          <w:rFonts w:ascii="Arial" w:hAnsi="Arial" w:cs="Arial"/>
        </w:rPr>
        <w:t>1</w:t>
      </w:r>
      <w:r w:rsidR="00E34AD0">
        <w:rPr>
          <w:rFonts w:ascii="Arial" w:hAnsi="Arial" w:cs="Arial"/>
        </w:rPr>
        <w:t>6</w:t>
      </w:r>
      <w:r w:rsidR="005E6CB8" w:rsidRPr="00B6647E">
        <w:rPr>
          <w:rFonts w:ascii="Arial" w:hAnsi="Arial" w:cs="Arial"/>
        </w:rPr>
        <w:t>4 :</w:t>
      </w:r>
      <w:r w:rsidRPr="00B6647E">
        <w:rPr>
          <w:rFonts w:ascii="Arial" w:hAnsi="Arial" w:cs="Arial"/>
        </w:rPr>
        <w:t xml:space="preserve"> Superficie totale cultivée de la colocase par province pendant les trois saisons</w:t>
      </w:r>
    </w:p>
    <w:p w:rsidR="00C1490B" w:rsidRPr="00B6647E" w:rsidRDefault="001D5E46" w:rsidP="006D1FD2">
      <w:pPr>
        <w:spacing w:after="0" w:line="240" w:lineRule="auto"/>
        <w:jc w:val="both"/>
        <w:rPr>
          <w:rFonts w:cs="Arial"/>
          <w:szCs w:val="20"/>
        </w:rPr>
      </w:pPr>
      <w:r w:rsidRPr="00B6647E">
        <w:rPr>
          <w:noProof/>
          <w:szCs w:val="20"/>
          <w:lang w:val="fr-FR" w:eastAsia="fr-FR"/>
        </w:rPr>
        <w:drawing>
          <wp:inline distT="0" distB="0" distL="0" distR="0">
            <wp:extent cx="4105275" cy="3886200"/>
            <wp:effectExtent l="19050" t="0" r="9525" b="0"/>
            <wp:docPr id="478"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13" cstate="print"/>
                    <a:srcRect/>
                    <a:stretch>
                      <a:fillRect/>
                    </a:stretch>
                  </pic:blipFill>
                  <pic:spPr bwMode="auto">
                    <a:xfrm>
                      <a:off x="0" y="0"/>
                      <a:ext cx="4105275" cy="3886200"/>
                    </a:xfrm>
                    <a:prstGeom prst="rect">
                      <a:avLst/>
                    </a:prstGeom>
                    <a:noFill/>
                    <a:ln w="9525">
                      <a:noFill/>
                      <a:miter lim="800000"/>
                      <a:headEnd/>
                      <a:tailEnd/>
                    </a:ln>
                  </pic:spPr>
                </pic:pic>
              </a:graphicData>
            </a:graphic>
          </wp:inline>
        </w:drawing>
      </w:r>
    </w:p>
    <w:p w:rsidR="00210A15" w:rsidRPr="00B6647E" w:rsidRDefault="00310A30" w:rsidP="007448BA">
      <w:pPr>
        <w:spacing w:line="240" w:lineRule="auto"/>
        <w:jc w:val="both"/>
        <w:rPr>
          <w:rFonts w:ascii="Arial" w:hAnsi="Arial" w:cs="Arial"/>
          <w:sz w:val="20"/>
          <w:szCs w:val="20"/>
        </w:rPr>
      </w:pPr>
      <w:r w:rsidRPr="00B6647E">
        <w:rPr>
          <w:rFonts w:ascii="Arial" w:hAnsi="Arial" w:cs="Arial"/>
          <w:sz w:val="20"/>
          <w:szCs w:val="20"/>
        </w:rPr>
        <w:t xml:space="preserve">La superficie totale d’igname en culture pure et principale a été estimée à 699 tonnes (0,2% de la production totale des tubercules et racines). </w:t>
      </w:r>
      <w:r w:rsidR="007448BA" w:rsidRPr="00B6647E">
        <w:rPr>
          <w:rFonts w:ascii="Arial" w:hAnsi="Arial" w:cs="Arial"/>
          <w:sz w:val="20"/>
          <w:szCs w:val="20"/>
        </w:rPr>
        <w:t>Cette culture est peu pratiquée au Burundi. Sa</w:t>
      </w:r>
      <w:r w:rsidRPr="00B6647E">
        <w:rPr>
          <w:rFonts w:ascii="Arial" w:hAnsi="Arial" w:cs="Arial"/>
          <w:sz w:val="20"/>
          <w:szCs w:val="20"/>
        </w:rPr>
        <w:t xml:space="preserve"> </w:t>
      </w:r>
      <w:r w:rsidR="00210A15" w:rsidRPr="00B6647E">
        <w:rPr>
          <w:rFonts w:ascii="Arial" w:hAnsi="Arial" w:cs="Arial"/>
          <w:sz w:val="20"/>
          <w:szCs w:val="20"/>
        </w:rPr>
        <w:t>superficie</w:t>
      </w:r>
      <w:r w:rsidRPr="00B6647E">
        <w:rPr>
          <w:rFonts w:ascii="Arial" w:hAnsi="Arial" w:cs="Arial"/>
          <w:sz w:val="20"/>
          <w:szCs w:val="20"/>
        </w:rPr>
        <w:t xml:space="preserve"> a été estimée au cours de la saison A à 248 ha</w:t>
      </w:r>
      <w:r w:rsidR="00112D15">
        <w:rPr>
          <w:rFonts w:ascii="Arial" w:hAnsi="Arial" w:cs="Arial"/>
          <w:sz w:val="20"/>
          <w:szCs w:val="20"/>
        </w:rPr>
        <w:t>,</w:t>
      </w:r>
      <w:r w:rsidRPr="00B6647E">
        <w:rPr>
          <w:rFonts w:ascii="Arial" w:hAnsi="Arial" w:cs="Arial"/>
          <w:sz w:val="20"/>
          <w:szCs w:val="20"/>
        </w:rPr>
        <w:t xml:space="preserve"> en saison B à 195 ha et à 256 ha pendant la saison C. </w:t>
      </w:r>
    </w:p>
    <w:p w:rsidR="00C1490B" w:rsidRPr="00B6647E" w:rsidRDefault="00C1490B" w:rsidP="007448BA">
      <w:pPr>
        <w:pStyle w:val="Lgende"/>
        <w:keepNext/>
        <w:jc w:val="both"/>
        <w:rPr>
          <w:rFonts w:ascii="Arial" w:hAnsi="Arial" w:cs="Arial"/>
        </w:rPr>
      </w:pPr>
      <w:r w:rsidRPr="00B6647E">
        <w:rPr>
          <w:rFonts w:ascii="Arial" w:hAnsi="Arial" w:cs="Arial"/>
        </w:rPr>
        <w:t xml:space="preserve">Tableau </w:t>
      </w:r>
      <w:r w:rsidR="005E6CB8" w:rsidRPr="00B6647E">
        <w:rPr>
          <w:rFonts w:ascii="Arial" w:hAnsi="Arial" w:cs="Arial"/>
        </w:rPr>
        <w:t>1</w:t>
      </w:r>
      <w:r w:rsidR="00E34AD0">
        <w:rPr>
          <w:rFonts w:ascii="Arial" w:hAnsi="Arial" w:cs="Arial"/>
        </w:rPr>
        <w:t>6</w:t>
      </w:r>
      <w:r w:rsidR="005E6CB8" w:rsidRPr="00B6647E">
        <w:rPr>
          <w:rFonts w:ascii="Arial" w:hAnsi="Arial" w:cs="Arial"/>
        </w:rPr>
        <w:t>5 :</w:t>
      </w:r>
      <w:r w:rsidRPr="00B6647E">
        <w:rPr>
          <w:rFonts w:ascii="Arial" w:hAnsi="Arial" w:cs="Arial"/>
        </w:rPr>
        <w:t xml:space="preserve"> Superficie totale cultivée de l’igname par province pendant les trois saisons</w:t>
      </w:r>
    </w:p>
    <w:p w:rsidR="006D1FD2" w:rsidRPr="00B6647E" w:rsidRDefault="001D5E46" w:rsidP="006D1FD2">
      <w:pPr>
        <w:spacing w:line="240" w:lineRule="auto"/>
        <w:jc w:val="both"/>
        <w:rPr>
          <w:rFonts w:ascii="Arial" w:hAnsi="Arial" w:cs="Arial"/>
          <w:sz w:val="20"/>
          <w:szCs w:val="20"/>
        </w:rPr>
      </w:pPr>
      <w:r w:rsidRPr="00B6647E">
        <w:rPr>
          <w:noProof/>
          <w:szCs w:val="20"/>
          <w:lang w:val="fr-FR" w:eastAsia="fr-FR"/>
        </w:rPr>
        <w:drawing>
          <wp:inline distT="0" distB="0" distL="0" distR="0">
            <wp:extent cx="4105275" cy="3867150"/>
            <wp:effectExtent l="19050" t="0" r="9525" b="0"/>
            <wp:docPr id="479"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14" cstate="print"/>
                    <a:srcRect/>
                    <a:stretch>
                      <a:fillRect/>
                    </a:stretch>
                  </pic:blipFill>
                  <pic:spPr bwMode="auto">
                    <a:xfrm>
                      <a:off x="0" y="0"/>
                      <a:ext cx="4105275" cy="3867150"/>
                    </a:xfrm>
                    <a:prstGeom prst="rect">
                      <a:avLst/>
                    </a:prstGeom>
                    <a:noFill/>
                    <a:ln w="9525">
                      <a:noFill/>
                      <a:miter lim="800000"/>
                      <a:headEnd/>
                      <a:tailEnd/>
                    </a:ln>
                  </pic:spPr>
                </pic:pic>
              </a:graphicData>
            </a:graphic>
          </wp:inline>
        </w:drawing>
      </w:r>
      <w:r w:rsidR="006D1FD2" w:rsidRPr="00B6647E">
        <w:rPr>
          <w:rFonts w:ascii="Arial" w:hAnsi="Arial" w:cs="Arial"/>
          <w:sz w:val="20"/>
          <w:szCs w:val="20"/>
        </w:rPr>
        <w:t xml:space="preserve"> </w:t>
      </w:r>
    </w:p>
    <w:p w:rsidR="006D1FD2" w:rsidRPr="00B6647E" w:rsidRDefault="006D1FD2" w:rsidP="006D1FD2">
      <w:pPr>
        <w:spacing w:line="240" w:lineRule="auto"/>
        <w:jc w:val="both"/>
        <w:rPr>
          <w:rFonts w:ascii="Arial" w:hAnsi="Arial" w:cs="Arial"/>
          <w:sz w:val="20"/>
          <w:szCs w:val="20"/>
        </w:rPr>
      </w:pPr>
      <w:r w:rsidRPr="00B6647E">
        <w:rPr>
          <w:rFonts w:ascii="Arial" w:hAnsi="Arial" w:cs="Arial"/>
          <w:sz w:val="20"/>
          <w:szCs w:val="20"/>
        </w:rPr>
        <w:lastRenderedPageBreak/>
        <w:t>On note que sept provinces (Bujumbura rural, Bururi, Karuzi, Makamba, Muramvya, Muyinga, et Mwaro) sur seize n’ont pas cultivé cette culture au cours de la campagne agricole 2011-2012 et elle est peu pratiquée dans les autres</w:t>
      </w:r>
      <w:r w:rsidR="00112D15">
        <w:rPr>
          <w:rFonts w:ascii="Arial" w:hAnsi="Arial" w:cs="Arial"/>
          <w:sz w:val="20"/>
          <w:szCs w:val="20"/>
        </w:rPr>
        <w:t xml:space="preserve"> provinces</w:t>
      </w:r>
      <w:r w:rsidRPr="00B6647E">
        <w:rPr>
          <w:rFonts w:ascii="Arial" w:hAnsi="Arial" w:cs="Arial"/>
          <w:sz w:val="20"/>
          <w:szCs w:val="20"/>
        </w:rPr>
        <w:t>.</w:t>
      </w:r>
    </w:p>
    <w:p w:rsidR="005E1A6F" w:rsidRPr="00B6647E" w:rsidRDefault="005E1A6F" w:rsidP="000C78E0">
      <w:pPr>
        <w:spacing w:line="240" w:lineRule="auto"/>
        <w:jc w:val="both"/>
        <w:rPr>
          <w:rFonts w:ascii="Arial" w:hAnsi="Arial" w:cs="Arial"/>
          <w:b/>
          <w:sz w:val="20"/>
          <w:szCs w:val="20"/>
        </w:rPr>
      </w:pPr>
      <w:r w:rsidRPr="00B6647E">
        <w:rPr>
          <w:rFonts w:ascii="Arial" w:hAnsi="Arial" w:cs="Arial"/>
          <w:b/>
          <w:sz w:val="20"/>
          <w:szCs w:val="20"/>
        </w:rPr>
        <w:t xml:space="preserve">Carte </w:t>
      </w:r>
      <w:r w:rsidR="00613D0F" w:rsidRPr="00B6647E">
        <w:rPr>
          <w:rFonts w:ascii="Arial" w:hAnsi="Arial" w:cs="Arial"/>
          <w:b/>
          <w:sz w:val="20"/>
          <w:szCs w:val="20"/>
        </w:rPr>
        <w:t>13</w:t>
      </w:r>
      <w:r w:rsidRPr="00B6647E">
        <w:rPr>
          <w:rFonts w:ascii="Arial" w:hAnsi="Arial" w:cs="Arial"/>
          <w:b/>
          <w:sz w:val="20"/>
          <w:szCs w:val="20"/>
        </w:rPr>
        <w:t xml:space="preserve"> : </w:t>
      </w:r>
      <w:r w:rsidR="005E7635" w:rsidRPr="00B6647E">
        <w:rPr>
          <w:rFonts w:ascii="Arial" w:hAnsi="Arial" w:cs="Arial"/>
          <w:b/>
          <w:sz w:val="20"/>
          <w:szCs w:val="20"/>
        </w:rPr>
        <w:t>S</w:t>
      </w:r>
      <w:r w:rsidRPr="00B6647E">
        <w:rPr>
          <w:rFonts w:ascii="Arial" w:hAnsi="Arial" w:cs="Arial"/>
          <w:b/>
          <w:sz w:val="20"/>
          <w:szCs w:val="20"/>
        </w:rPr>
        <w:t>uperficie des tubercules et racine par province</w:t>
      </w:r>
    </w:p>
    <w:p w:rsidR="005E1A6F" w:rsidRPr="00B6647E" w:rsidRDefault="005E1A6F" w:rsidP="000C78E0">
      <w:pPr>
        <w:spacing w:line="240" w:lineRule="auto"/>
        <w:rPr>
          <w:rFonts w:cs="Arial"/>
          <w:szCs w:val="20"/>
        </w:rPr>
      </w:pPr>
    </w:p>
    <w:p w:rsidR="005E1A6F" w:rsidRPr="00B6647E" w:rsidRDefault="00256328" w:rsidP="000C78E0">
      <w:pPr>
        <w:spacing w:line="240" w:lineRule="auto"/>
        <w:rPr>
          <w:rFonts w:cs="Arial"/>
          <w:szCs w:val="20"/>
        </w:rPr>
      </w:pPr>
      <w:r w:rsidRPr="00B6647E">
        <w:rPr>
          <w:rFonts w:cs="Arial"/>
          <w:noProof/>
          <w:szCs w:val="20"/>
          <w:lang w:val="fr-FR" w:eastAsia="fr-FR"/>
        </w:rPr>
        <w:drawing>
          <wp:inline distT="0" distB="0" distL="0" distR="0">
            <wp:extent cx="5722531" cy="4031300"/>
            <wp:effectExtent l="19050" t="0" r="0" b="0"/>
            <wp:docPr id="364"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5" cstate="print"/>
                    <a:srcRect l="5484" t="5399" r="5107" b="5634"/>
                    <a:stretch>
                      <a:fillRect/>
                    </a:stretch>
                  </pic:blipFill>
                  <pic:spPr bwMode="auto">
                    <a:xfrm>
                      <a:off x="0" y="0"/>
                      <a:ext cx="5721596" cy="4030642"/>
                    </a:xfrm>
                    <a:prstGeom prst="rect">
                      <a:avLst/>
                    </a:prstGeom>
                    <a:noFill/>
                    <a:ln w="9525">
                      <a:noFill/>
                      <a:miter lim="800000"/>
                      <a:headEnd/>
                      <a:tailEnd/>
                    </a:ln>
                  </pic:spPr>
                </pic:pic>
              </a:graphicData>
            </a:graphic>
          </wp:inline>
        </w:drawing>
      </w:r>
    </w:p>
    <w:p w:rsidR="006D1FD2" w:rsidRPr="00B6647E" w:rsidRDefault="006D1FD2" w:rsidP="000C78E0">
      <w:pPr>
        <w:spacing w:line="240" w:lineRule="auto"/>
        <w:rPr>
          <w:rFonts w:cs="Arial"/>
          <w:szCs w:val="20"/>
        </w:rPr>
      </w:pPr>
    </w:p>
    <w:p w:rsidR="000552AE" w:rsidRPr="00B6647E" w:rsidRDefault="000552AE" w:rsidP="00C84C4B">
      <w:pPr>
        <w:pStyle w:val="Titre3"/>
        <w:keepNext w:val="0"/>
        <w:numPr>
          <w:ilvl w:val="2"/>
          <w:numId w:val="1"/>
        </w:numPr>
        <w:spacing w:before="200" w:after="120"/>
        <w:ind w:left="0" w:firstLine="0"/>
        <w:rPr>
          <w:rFonts w:cs="Arial"/>
          <w:szCs w:val="20"/>
        </w:rPr>
      </w:pPr>
      <w:bookmarkStart w:id="242" w:name="_Toc354313889"/>
      <w:r w:rsidRPr="00B6647E">
        <w:rPr>
          <w:rFonts w:cs="Arial"/>
          <w:szCs w:val="20"/>
        </w:rPr>
        <w:t>Rendements</w:t>
      </w:r>
      <w:bookmarkEnd w:id="242"/>
    </w:p>
    <w:p w:rsidR="00A22DB4" w:rsidRPr="00B6647E" w:rsidRDefault="00D409CC" w:rsidP="00C84C4B">
      <w:pPr>
        <w:spacing w:before="200" w:after="120" w:line="240" w:lineRule="auto"/>
        <w:rPr>
          <w:rFonts w:ascii="Arial" w:hAnsi="Arial" w:cs="Arial"/>
          <w:b/>
          <w:sz w:val="20"/>
          <w:szCs w:val="20"/>
          <w:lang w:val="fr-FR" w:eastAsia="fr-FR"/>
        </w:rPr>
      </w:pPr>
      <w:r w:rsidRPr="00B6647E">
        <w:rPr>
          <w:rFonts w:ascii="Arial" w:hAnsi="Arial" w:cs="Arial"/>
          <w:b/>
          <w:sz w:val="20"/>
          <w:szCs w:val="20"/>
          <w:lang w:val="fr-FR" w:eastAsia="fr-FR"/>
        </w:rPr>
        <w:t>a) Rendements en cultures pure des tubercules et racines par r</w:t>
      </w:r>
      <w:r w:rsidR="00A22DB4" w:rsidRPr="00B6647E">
        <w:rPr>
          <w:rFonts w:ascii="Arial" w:hAnsi="Arial" w:cs="Arial"/>
          <w:b/>
          <w:sz w:val="20"/>
          <w:szCs w:val="20"/>
          <w:lang w:val="fr-FR" w:eastAsia="fr-FR"/>
        </w:rPr>
        <w:t>égion</w:t>
      </w:r>
      <w:r w:rsidRPr="00B6647E">
        <w:rPr>
          <w:rFonts w:ascii="Arial" w:hAnsi="Arial" w:cs="Arial"/>
          <w:b/>
          <w:sz w:val="20"/>
          <w:szCs w:val="20"/>
          <w:lang w:val="fr-FR" w:eastAsia="fr-FR"/>
        </w:rPr>
        <w:t xml:space="preserve"> naturelle</w:t>
      </w:r>
      <w:r w:rsidR="000C78E0" w:rsidRPr="00B6647E">
        <w:rPr>
          <w:rFonts w:ascii="Arial" w:hAnsi="Arial" w:cs="Arial"/>
          <w:b/>
          <w:sz w:val="20"/>
          <w:szCs w:val="20"/>
          <w:lang w:val="fr-FR" w:eastAsia="fr-FR"/>
        </w:rPr>
        <w:t xml:space="preserve"> et par saison</w:t>
      </w:r>
    </w:p>
    <w:p w:rsidR="00490DD3" w:rsidRPr="00B6647E" w:rsidRDefault="00490DD3" w:rsidP="000C78E0">
      <w:pPr>
        <w:spacing w:line="240" w:lineRule="auto"/>
        <w:jc w:val="both"/>
        <w:rPr>
          <w:rFonts w:ascii="Arial" w:hAnsi="Arial" w:cs="Arial"/>
          <w:sz w:val="20"/>
          <w:szCs w:val="20"/>
        </w:rPr>
      </w:pPr>
      <w:r w:rsidRPr="00B6647E">
        <w:rPr>
          <w:rFonts w:ascii="Arial" w:hAnsi="Arial" w:cs="Arial"/>
          <w:sz w:val="20"/>
          <w:szCs w:val="20"/>
        </w:rPr>
        <w:t>Les moyennes nationales du rendement du manioc en culture pure ont été estimées à : 4.217 kg/ha en saison A, 4.639 kg/ha pendant la saison B et 4.675 kg/ha au cours de la saison C.</w:t>
      </w:r>
    </w:p>
    <w:p w:rsidR="00893CE0" w:rsidRPr="00B6647E" w:rsidRDefault="00D409CC" w:rsidP="000C78E0">
      <w:pPr>
        <w:spacing w:line="240" w:lineRule="auto"/>
        <w:jc w:val="both"/>
        <w:rPr>
          <w:rFonts w:ascii="Arial" w:hAnsi="Arial" w:cs="Arial"/>
          <w:sz w:val="20"/>
          <w:szCs w:val="20"/>
        </w:rPr>
      </w:pPr>
      <w:r w:rsidRPr="00B6647E">
        <w:rPr>
          <w:rFonts w:ascii="Arial" w:hAnsi="Arial" w:cs="Arial"/>
          <w:sz w:val="20"/>
          <w:szCs w:val="20"/>
        </w:rPr>
        <w:t xml:space="preserve">Pendant la saison A, toutes les régions naturelles ont enregistré du manioc (amer et doux confondus) en culture pure sauf Bweru et Moso. </w:t>
      </w:r>
      <w:r w:rsidR="00893CE0" w:rsidRPr="00B6647E">
        <w:rPr>
          <w:rFonts w:ascii="Arial" w:hAnsi="Arial" w:cs="Arial"/>
          <w:sz w:val="20"/>
          <w:szCs w:val="20"/>
        </w:rPr>
        <w:t>Les rendements</w:t>
      </w:r>
      <w:r w:rsidRPr="00B6647E">
        <w:rPr>
          <w:rFonts w:ascii="Arial" w:hAnsi="Arial" w:cs="Arial"/>
          <w:sz w:val="20"/>
          <w:szCs w:val="20"/>
        </w:rPr>
        <w:t xml:space="preserve"> les plus </w:t>
      </w:r>
      <w:r w:rsidR="00893CE0" w:rsidRPr="00B6647E">
        <w:rPr>
          <w:rFonts w:ascii="Arial" w:hAnsi="Arial" w:cs="Arial"/>
          <w:sz w:val="20"/>
          <w:szCs w:val="20"/>
        </w:rPr>
        <w:t>élevés</w:t>
      </w:r>
      <w:r w:rsidRPr="00B6647E">
        <w:rPr>
          <w:rFonts w:ascii="Arial" w:hAnsi="Arial" w:cs="Arial"/>
          <w:sz w:val="20"/>
          <w:szCs w:val="20"/>
        </w:rPr>
        <w:t xml:space="preserve"> ont été estimé</w:t>
      </w:r>
      <w:r w:rsidR="00893CE0" w:rsidRPr="00B6647E">
        <w:rPr>
          <w:rFonts w:ascii="Arial" w:hAnsi="Arial" w:cs="Arial"/>
          <w:sz w:val="20"/>
          <w:szCs w:val="20"/>
        </w:rPr>
        <w:t>e</w:t>
      </w:r>
      <w:r w:rsidRPr="00B6647E">
        <w:rPr>
          <w:rFonts w:ascii="Arial" w:hAnsi="Arial" w:cs="Arial"/>
          <w:sz w:val="20"/>
          <w:szCs w:val="20"/>
        </w:rPr>
        <w:t>s</w:t>
      </w:r>
      <w:r w:rsidR="00893CE0" w:rsidRPr="00B6647E">
        <w:rPr>
          <w:rFonts w:ascii="Arial" w:hAnsi="Arial" w:cs="Arial"/>
          <w:sz w:val="20"/>
          <w:szCs w:val="20"/>
        </w:rPr>
        <w:t xml:space="preserve"> en saison A dans Bugarane (8.400 kg/ha), Bugesera (8.000 kg/ha), Bututsi (8.000 kg/ha), au cours de la saison b dans Buyogoma (8.224 kg/ha), Bweru (6.657 kg/ha) et pendant la saison C dans Mugamba (6.167 kg/ha), Mumirwa (6.077 kg/ha).</w:t>
      </w:r>
    </w:p>
    <w:p w:rsidR="00D409CC" w:rsidRPr="00B6647E" w:rsidRDefault="00893CE0" w:rsidP="000C78E0">
      <w:pPr>
        <w:spacing w:line="240" w:lineRule="auto"/>
        <w:jc w:val="both"/>
        <w:rPr>
          <w:rFonts w:ascii="Arial" w:hAnsi="Arial" w:cs="Arial"/>
          <w:sz w:val="20"/>
          <w:szCs w:val="20"/>
        </w:rPr>
      </w:pPr>
      <w:r w:rsidRPr="00B6647E">
        <w:rPr>
          <w:rFonts w:ascii="Arial" w:hAnsi="Arial" w:cs="Arial"/>
          <w:sz w:val="20"/>
          <w:szCs w:val="20"/>
        </w:rPr>
        <w:t>Au cours de la saison A, les rendements les plus faibles ont été enregistrés dans Buyogoma (1.514 kg/ha), pendant la saison B dans Bututsi (490 kg/ha) et en saison C dans Buyenzi (2.941 kg/ha).</w:t>
      </w:r>
    </w:p>
    <w:p w:rsidR="003F7320" w:rsidRPr="00B6647E" w:rsidRDefault="005E6CB8" w:rsidP="000C78E0">
      <w:pPr>
        <w:pStyle w:val="Lgende"/>
        <w:keepNext/>
        <w:jc w:val="both"/>
        <w:rPr>
          <w:rFonts w:ascii="Arial" w:hAnsi="Arial" w:cs="Arial"/>
        </w:rPr>
      </w:pPr>
      <w:r w:rsidRPr="00B6647E">
        <w:rPr>
          <w:rFonts w:ascii="Arial" w:hAnsi="Arial" w:cs="Arial"/>
        </w:rPr>
        <w:lastRenderedPageBreak/>
        <w:t>Tableau 1</w:t>
      </w:r>
      <w:r w:rsidR="00E34AD0">
        <w:rPr>
          <w:rFonts w:ascii="Arial" w:hAnsi="Arial" w:cs="Arial"/>
        </w:rPr>
        <w:t>6</w:t>
      </w:r>
      <w:r w:rsidRPr="00B6647E">
        <w:rPr>
          <w:rFonts w:ascii="Arial" w:hAnsi="Arial" w:cs="Arial"/>
        </w:rPr>
        <w:t>6 :</w:t>
      </w:r>
      <w:r w:rsidR="003F7320" w:rsidRPr="00B6647E">
        <w:rPr>
          <w:rFonts w:ascii="Arial" w:hAnsi="Arial" w:cs="Arial"/>
        </w:rPr>
        <w:t xml:space="preserve"> Rendement d</w:t>
      </w:r>
      <w:r w:rsidR="00066812" w:rsidRPr="00B6647E">
        <w:rPr>
          <w:rFonts w:ascii="Arial" w:hAnsi="Arial" w:cs="Arial"/>
        </w:rPr>
        <w:t>u manioc</w:t>
      </w:r>
      <w:r w:rsidR="003F7320" w:rsidRPr="00B6647E">
        <w:rPr>
          <w:rFonts w:ascii="Arial" w:hAnsi="Arial" w:cs="Arial"/>
        </w:rPr>
        <w:t xml:space="preserve"> en culture pure par </w:t>
      </w:r>
      <w:r w:rsidR="00066812" w:rsidRPr="00B6647E">
        <w:rPr>
          <w:rFonts w:ascii="Arial" w:hAnsi="Arial" w:cs="Arial"/>
        </w:rPr>
        <w:t>région</w:t>
      </w:r>
      <w:r w:rsidR="003F7320" w:rsidRPr="00B6647E">
        <w:rPr>
          <w:rFonts w:ascii="Arial" w:hAnsi="Arial" w:cs="Arial"/>
        </w:rPr>
        <w:t xml:space="preserve"> pendant les trois saisons</w:t>
      </w:r>
    </w:p>
    <w:p w:rsidR="00066812" w:rsidRPr="00B6647E" w:rsidRDefault="00127189" w:rsidP="000C78E0">
      <w:pPr>
        <w:spacing w:line="240" w:lineRule="auto"/>
        <w:rPr>
          <w:lang w:eastAsia="fr-FR"/>
        </w:rPr>
      </w:pPr>
      <w:r w:rsidRPr="00B6647E">
        <w:rPr>
          <w:noProof/>
          <w:lang w:val="fr-FR" w:eastAsia="fr-FR"/>
        </w:rPr>
        <w:drawing>
          <wp:inline distT="0" distB="0" distL="0" distR="0">
            <wp:extent cx="3305175" cy="2914650"/>
            <wp:effectExtent l="19050" t="0" r="9525" b="0"/>
            <wp:docPr id="480"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16" cstate="print"/>
                    <a:srcRect/>
                    <a:stretch>
                      <a:fillRect/>
                    </a:stretch>
                  </pic:blipFill>
                  <pic:spPr bwMode="auto">
                    <a:xfrm>
                      <a:off x="0" y="0"/>
                      <a:ext cx="3305175" cy="2914650"/>
                    </a:xfrm>
                    <a:prstGeom prst="rect">
                      <a:avLst/>
                    </a:prstGeom>
                    <a:noFill/>
                    <a:ln w="9525">
                      <a:noFill/>
                      <a:miter lim="800000"/>
                      <a:headEnd/>
                      <a:tailEnd/>
                    </a:ln>
                  </pic:spPr>
                </pic:pic>
              </a:graphicData>
            </a:graphic>
          </wp:inline>
        </w:drawing>
      </w:r>
    </w:p>
    <w:p w:rsidR="00066812" w:rsidRPr="00B6647E" w:rsidRDefault="00490DD3" w:rsidP="00964884">
      <w:pPr>
        <w:spacing w:line="240" w:lineRule="auto"/>
        <w:jc w:val="both"/>
        <w:rPr>
          <w:rFonts w:ascii="Arial" w:hAnsi="Arial" w:cs="Arial"/>
          <w:sz w:val="20"/>
          <w:szCs w:val="20"/>
        </w:rPr>
      </w:pPr>
      <w:r w:rsidRPr="00B6647E">
        <w:rPr>
          <w:rFonts w:ascii="Arial" w:hAnsi="Arial" w:cs="Arial"/>
          <w:sz w:val="20"/>
          <w:szCs w:val="20"/>
        </w:rPr>
        <w:t>Les moyennes nationales du rendement de manioc amer en culture pure ont été estimées à : 4.487 kg/ha en saison A, 4.6</w:t>
      </w:r>
      <w:r w:rsidR="002B1FC7" w:rsidRPr="00B6647E">
        <w:rPr>
          <w:rFonts w:ascii="Arial" w:hAnsi="Arial" w:cs="Arial"/>
          <w:sz w:val="20"/>
          <w:szCs w:val="20"/>
        </w:rPr>
        <w:t>4</w:t>
      </w:r>
      <w:r w:rsidRPr="00B6647E">
        <w:rPr>
          <w:rFonts w:ascii="Arial" w:hAnsi="Arial" w:cs="Arial"/>
          <w:sz w:val="20"/>
          <w:szCs w:val="20"/>
        </w:rPr>
        <w:t>9 kg/ha pendant la saison B et 4.728 kg/ha au cours de la saison C</w:t>
      </w:r>
      <w:r w:rsidR="00782283">
        <w:rPr>
          <w:rFonts w:ascii="Arial" w:hAnsi="Arial" w:cs="Arial"/>
          <w:sz w:val="20"/>
          <w:szCs w:val="20"/>
        </w:rPr>
        <w:t>.</w:t>
      </w:r>
    </w:p>
    <w:p w:rsidR="003F7320" w:rsidRPr="00B6647E" w:rsidRDefault="005E6CB8" w:rsidP="000C78E0">
      <w:pPr>
        <w:pStyle w:val="Lgende"/>
        <w:keepNext/>
        <w:jc w:val="both"/>
        <w:rPr>
          <w:rFonts w:ascii="Arial" w:hAnsi="Arial" w:cs="Arial"/>
        </w:rPr>
      </w:pPr>
      <w:r w:rsidRPr="00B6647E">
        <w:rPr>
          <w:rFonts w:ascii="Arial" w:hAnsi="Arial" w:cs="Arial"/>
        </w:rPr>
        <w:t>Tableau 1</w:t>
      </w:r>
      <w:r w:rsidR="00E34AD0">
        <w:rPr>
          <w:rFonts w:ascii="Arial" w:hAnsi="Arial" w:cs="Arial"/>
        </w:rPr>
        <w:t>6</w:t>
      </w:r>
      <w:r w:rsidRPr="00B6647E">
        <w:rPr>
          <w:rFonts w:ascii="Arial" w:hAnsi="Arial" w:cs="Arial"/>
        </w:rPr>
        <w:t>7 :</w:t>
      </w:r>
      <w:r w:rsidR="003F7320" w:rsidRPr="00B6647E">
        <w:rPr>
          <w:rFonts w:ascii="Arial" w:hAnsi="Arial" w:cs="Arial"/>
        </w:rPr>
        <w:t xml:space="preserve"> Rendement d</w:t>
      </w:r>
      <w:r w:rsidR="00066812" w:rsidRPr="00B6647E">
        <w:rPr>
          <w:rFonts w:ascii="Arial" w:hAnsi="Arial" w:cs="Arial"/>
        </w:rPr>
        <w:t>u manioc amer</w:t>
      </w:r>
      <w:r w:rsidR="003F7320" w:rsidRPr="00B6647E">
        <w:rPr>
          <w:rFonts w:ascii="Arial" w:hAnsi="Arial" w:cs="Arial"/>
        </w:rPr>
        <w:t xml:space="preserve"> en culture pure par </w:t>
      </w:r>
      <w:r w:rsidR="00066812" w:rsidRPr="00B6647E">
        <w:rPr>
          <w:rFonts w:ascii="Arial" w:hAnsi="Arial" w:cs="Arial"/>
        </w:rPr>
        <w:t>région</w:t>
      </w:r>
      <w:r w:rsidR="003F7320" w:rsidRPr="00B6647E">
        <w:rPr>
          <w:rFonts w:ascii="Arial" w:hAnsi="Arial" w:cs="Arial"/>
        </w:rPr>
        <w:t xml:space="preserve"> pendant les trois saisons</w:t>
      </w:r>
    </w:p>
    <w:p w:rsidR="00066812" w:rsidRPr="00B6647E" w:rsidRDefault="00127189" w:rsidP="000C78E0">
      <w:pPr>
        <w:spacing w:line="240" w:lineRule="auto"/>
        <w:rPr>
          <w:lang w:eastAsia="fr-FR"/>
        </w:rPr>
      </w:pPr>
      <w:r w:rsidRPr="00B6647E">
        <w:rPr>
          <w:noProof/>
          <w:lang w:val="fr-FR" w:eastAsia="fr-FR"/>
        </w:rPr>
        <w:drawing>
          <wp:inline distT="0" distB="0" distL="0" distR="0">
            <wp:extent cx="3305175" cy="2914650"/>
            <wp:effectExtent l="19050" t="0" r="9525" b="0"/>
            <wp:docPr id="481"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17" cstate="print"/>
                    <a:srcRect/>
                    <a:stretch>
                      <a:fillRect/>
                    </a:stretch>
                  </pic:blipFill>
                  <pic:spPr bwMode="auto">
                    <a:xfrm>
                      <a:off x="0" y="0"/>
                      <a:ext cx="3305175" cy="2914650"/>
                    </a:xfrm>
                    <a:prstGeom prst="rect">
                      <a:avLst/>
                    </a:prstGeom>
                    <a:noFill/>
                    <a:ln w="9525">
                      <a:noFill/>
                      <a:miter lim="800000"/>
                      <a:headEnd/>
                      <a:tailEnd/>
                    </a:ln>
                  </pic:spPr>
                </pic:pic>
              </a:graphicData>
            </a:graphic>
          </wp:inline>
        </w:drawing>
      </w:r>
    </w:p>
    <w:p w:rsidR="00964884" w:rsidRPr="00B6647E" w:rsidRDefault="00964884" w:rsidP="00964884">
      <w:pPr>
        <w:spacing w:line="240" w:lineRule="auto"/>
        <w:jc w:val="both"/>
        <w:rPr>
          <w:rFonts w:ascii="Arial" w:hAnsi="Arial" w:cs="Arial"/>
          <w:sz w:val="20"/>
          <w:szCs w:val="20"/>
        </w:rPr>
      </w:pPr>
      <w:r w:rsidRPr="00B6647E">
        <w:rPr>
          <w:rFonts w:ascii="Arial" w:hAnsi="Arial" w:cs="Arial"/>
          <w:sz w:val="20"/>
          <w:szCs w:val="20"/>
        </w:rPr>
        <w:t>Ces rendements sont tous supérieurs à 4.000 kg/ha sauf dans Buyogoma (2.120 kg/ha) en saison A, dans Bututsi (490 kg/ha) et Moso (3.305 kg/ha) au cours de la saison B et pendant la saison C dans Bugesera dans (3.265 kg/ha), Buyenzi (2.650 kg/ha), Buyogoma (3.251 kg/ha), Moso (3.542 kg/ha)</w:t>
      </w:r>
    </w:p>
    <w:p w:rsidR="00964884" w:rsidRPr="00B6647E" w:rsidRDefault="00964884" w:rsidP="00964884">
      <w:pPr>
        <w:spacing w:line="240" w:lineRule="auto"/>
        <w:rPr>
          <w:rFonts w:ascii="Arial" w:hAnsi="Arial" w:cs="Arial"/>
          <w:sz w:val="20"/>
          <w:szCs w:val="20"/>
        </w:rPr>
      </w:pPr>
      <w:r w:rsidRPr="00B6647E">
        <w:rPr>
          <w:rFonts w:ascii="Arial" w:hAnsi="Arial" w:cs="Arial"/>
          <w:sz w:val="20"/>
          <w:szCs w:val="20"/>
        </w:rPr>
        <w:t>Au cours de la saison A, les régions naturelles de Buyogoma et Moso n’ont pas enregistré de manioc amer en culture pure.</w:t>
      </w:r>
    </w:p>
    <w:p w:rsidR="00066812" w:rsidRPr="00B6647E" w:rsidRDefault="00E16028" w:rsidP="000C78E0">
      <w:pPr>
        <w:spacing w:line="240" w:lineRule="auto"/>
        <w:rPr>
          <w:rFonts w:ascii="Arial" w:hAnsi="Arial" w:cs="Arial"/>
          <w:sz w:val="20"/>
          <w:szCs w:val="20"/>
        </w:rPr>
      </w:pPr>
      <w:r w:rsidRPr="00B6647E">
        <w:rPr>
          <w:rFonts w:ascii="Arial" w:hAnsi="Arial" w:cs="Arial"/>
          <w:sz w:val="20"/>
          <w:szCs w:val="20"/>
        </w:rPr>
        <w:t>La moyenne nationale du rendement de manioc doux en culture pure estimées à 2.104 kg/ha en saison A est plus faible que celles des saisons B (4.542 kg/ha) et C (4.559 kg/ha).</w:t>
      </w:r>
    </w:p>
    <w:p w:rsidR="003F7320" w:rsidRPr="00B6647E" w:rsidRDefault="003F7320" w:rsidP="000C78E0">
      <w:pPr>
        <w:pStyle w:val="Lgende"/>
        <w:keepNext/>
        <w:jc w:val="both"/>
        <w:rPr>
          <w:rFonts w:ascii="Arial" w:hAnsi="Arial" w:cs="Arial"/>
        </w:rPr>
      </w:pPr>
      <w:r w:rsidRPr="00B6647E">
        <w:rPr>
          <w:rFonts w:ascii="Arial" w:hAnsi="Arial" w:cs="Arial"/>
        </w:rPr>
        <w:lastRenderedPageBreak/>
        <w:t xml:space="preserve">Tableau </w:t>
      </w:r>
      <w:r w:rsidR="00E34AD0">
        <w:rPr>
          <w:rFonts w:ascii="Arial" w:hAnsi="Arial" w:cs="Arial"/>
        </w:rPr>
        <w:t>16</w:t>
      </w:r>
      <w:r w:rsidR="005E6CB8" w:rsidRPr="00B6647E">
        <w:rPr>
          <w:rFonts w:ascii="Arial" w:hAnsi="Arial" w:cs="Arial"/>
        </w:rPr>
        <w:t>8 :</w:t>
      </w:r>
      <w:r w:rsidRPr="00B6647E">
        <w:rPr>
          <w:rFonts w:ascii="Arial" w:hAnsi="Arial" w:cs="Arial"/>
        </w:rPr>
        <w:t xml:space="preserve"> Rendement d</w:t>
      </w:r>
      <w:r w:rsidR="00066812" w:rsidRPr="00B6647E">
        <w:rPr>
          <w:rFonts w:ascii="Arial" w:hAnsi="Arial" w:cs="Arial"/>
        </w:rPr>
        <w:t>u manioc doux</w:t>
      </w:r>
      <w:r w:rsidRPr="00B6647E">
        <w:rPr>
          <w:rFonts w:ascii="Arial" w:hAnsi="Arial" w:cs="Arial"/>
        </w:rPr>
        <w:t xml:space="preserve"> en culture pure par </w:t>
      </w:r>
      <w:r w:rsidR="00066812" w:rsidRPr="00B6647E">
        <w:rPr>
          <w:rFonts w:ascii="Arial" w:hAnsi="Arial" w:cs="Arial"/>
        </w:rPr>
        <w:t>région</w:t>
      </w:r>
      <w:r w:rsidRPr="00B6647E">
        <w:rPr>
          <w:rFonts w:ascii="Arial" w:hAnsi="Arial" w:cs="Arial"/>
        </w:rPr>
        <w:t xml:space="preserve"> pendant les trois saisons</w:t>
      </w:r>
    </w:p>
    <w:p w:rsidR="00066812" w:rsidRPr="00B6647E" w:rsidRDefault="00127189" w:rsidP="000C78E0">
      <w:pPr>
        <w:spacing w:line="240" w:lineRule="auto"/>
        <w:rPr>
          <w:rFonts w:ascii="Arial" w:hAnsi="Arial" w:cs="Arial"/>
          <w:sz w:val="20"/>
          <w:szCs w:val="20"/>
          <w:lang w:eastAsia="fr-FR"/>
        </w:rPr>
      </w:pPr>
      <w:r w:rsidRPr="00B6647E">
        <w:rPr>
          <w:noProof/>
          <w:szCs w:val="20"/>
          <w:lang w:val="fr-FR" w:eastAsia="fr-FR"/>
        </w:rPr>
        <w:drawing>
          <wp:inline distT="0" distB="0" distL="0" distR="0">
            <wp:extent cx="3305175" cy="2914650"/>
            <wp:effectExtent l="19050" t="0" r="9525" b="0"/>
            <wp:docPr id="482"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18" cstate="print"/>
                    <a:srcRect/>
                    <a:stretch>
                      <a:fillRect/>
                    </a:stretch>
                  </pic:blipFill>
                  <pic:spPr bwMode="auto">
                    <a:xfrm>
                      <a:off x="0" y="0"/>
                      <a:ext cx="3305175" cy="2914650"/>
                    </a:xfrm>
                    <a:prstGeom prst="rect">
                      <a:avLst/>
                    </a:prstGeom>
                    <a:noFill/>
                    <a:ln w="9525">
                      <a:noFill/>
                      <a:miter lim="800000"/>
                      <a:headEnd/>
                      <a:tailEnd/>
                    </a:ln>
                  </pic:spPr>
                </pic:pic>
              </a:graphicData>
            </a:graphic>
          </wp:inline>
        </w:drawing>
      </w:r>
    </w:p>
    <w:p w:rsidR="00DC3A2A" w:rsidRPr="00B6647E" w:rsidRDefault="00DC3A2A" w:rsidP="00DC3A2A">
      <w:pPr>
        <w:spacing w:line="240" w:lineRule="auto"/>
        <w:rPr>
          <w:rFonts w:ascii="Arial" w:hAnsi="Arial" w:cs="Arial"/>
          <w:sz w:val="20"/>
          <w:szCs w:val="20"/>
        </w:rPr>
      </w:pPr>
      <w:r w:rsidRPr="00B6647E">
        <w:rPr>
          <w:rFonts w:ascii="Arial" w:hAnsi="Arial" w:cs="Arial"/>
          <w:sz w:val="20"/>
          <w:szCs w:val="20"/>
        </w:rPr>
        <w:t>Tandis que trois régions seulement ont pratiqué du manioc doux en culture pure en saison A, il y en a trois (Buragane, Bututsi et Buyogoma) qui ne l’ont pas pratiqué pendant la saison B et une seule(Bututsi) au cours de la saison C.</w:t>
      </w:r>
    </w:p>
    <w:p w:rsidR="003F7320" w:rsidRPr="00B6647E" w:rsidRDefault="00E34AD0" w:rsidP="000C78E0">
      <w:pPr>
        <w:pStyle w:val="Lgende"/>
        <w:keepNext/>
        <w:jc w:val="both"/>
        <w:rPr>
          <w:rFonts w:ascii="Arial" w:hAnsi="Arial" w:cs="Arial"/>
        </w:rPr>
      </w:pPr>
      <w:r>
        <w:rPr>
          <w:rFonts w:ascii="Arial" w:hAnsi="Arial" w:cs="Arial"/>
        </w:rPr>
        <w:t>Tableau 16</w:t>
      </w:r>
      <w:r w:rsidR="005E6CB8" w:rsidRPr="00B6647E">
        <w:rPr>
          <w:rFonts w:ascii="Arial" w:hAnsi="Arial" w:cs="Arial"/>
        </w:rPr>
        <w:t>9 :</w:t>
      </w:r>
      <w:r w:rsidR="003F7320" w:rsidRPr="00B6647E">
        <w:rPr>
          <w:rFonts w:ascii="Arial" w:hAnsi="Arial" w:cs="Arial"/>
        </w:rPr>
        <w:t xml:space="preserve"> Rendement de </w:t>
      </w:r>
      <w:r w:rsidR="00066812" w:rsidRPr="00B6647E">
        <w:rPr>
          <w:rFonts w:ascii="Arial" w:hAnsi="Arial" w:cs="Arial"/>
        </w:rPr>
        <w:t>la patate douce</w:t>
      </w:r>
      <w:r w:rsidR="003F7320" w:rsidRPr="00B6647E">
        <w:rPr>
          <w:rFonts w:ascii="Arial" w:hAnsi="Arial" w:cs="Arial"/>
        </w:rPr>
        <w:t xml:space="preserve"> en culture pure par </w:t>
      </w:r>
      <w:r w:rsidR="00066812" w:rsidRPr="00B6647E">
        <w:rPr>
          <w:rFonts w:ascii="Arial" w:hAnsi="Arial" w:cs="Arial"/>
        </w:rPr>
        <w:t>région</w:t>
      </w:r>
      <w:r w:rsidR="003F7320" w:rsidRPr="00B6647E">
        <w:rPr>
          <w:rFonts w:ascii="Arial" w:hAnsi="Arial" w:cs="Arial"/>
        </w:rPr>
        <w:t xml:space="preserve"> pendant les trois saisons</w:t>
      </w:r>
    </w:p>
    <w:p w:rsidR="00066812" w:rsidRPr="00B6647E" w:rsidRDefault="00127189" w:rsidP="000C78E0">
      <w:pPr>
        <w:spacing w:line="240" w:lineRule="auto"/>
        <w:rPr>
          <w:lang w:eastAsia="fr-FR"/>
        </w:rPr>
      </w:pPr>
      <w:r w:rsidRPr="00B6647E">
        <w:rPr>
          <w:noProof/>
          <w:lang w:val="fr-FR" w:eastAsia="fr-FR"/>
        </w:rPr>
        <w:drawing>
          <wp:inline distT="0" distB="0" distL="0" distR="0">
            <wp:extent cx="3305175" cy="2914650"/>
            <wp:effectExtent l="19050" t="0" r="9525" b="0"/>
            <wp:docPr id="483"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19" cstate="print"/>
                    <a:srcRect/>
                    <a:stretch>
                      <a:fillRect/>
                    </a:stretch>
                  </pic:blipFill>
                  <pic:spPr bwMode="auto">
                    <a:xfrm>
                      <a:off x="0" y="0"/>
                      <a:ext cx="3305175" cy="2914650"/>
                    </a:xfrm>
                    <a:prstGeom prst="rect">
                      <a:avLst/>
                    </a:prstGeom>
                    <a:noFill/>
                    <a:ln w="9525">
                      <a:noFill/>
                      <a:miter lim="800000"/>
                      <a:headEnd/>
                      <a:tailEnd/>
                    </a:ln>
                  </pic:spPr>
                </pic:pic>
              </a:graphicData>
            </a:graphic>
          </wp:inline>
        </w:drawing>
      </w:r>
    </w:p>
    <w:p w:rsidR="00DC3A2A" w:rsidRPr="00B6647E" w:rsidRDefault="00DC3A2A" w:rsidP="00DC3A2A">
      <w:pPr>
        <w:spacing w:line="240" w:lineRule="auto"/>
        <w:rPr>
          <w:rFonts w:ascii="Arial" w:hAnsi="Arial" w:cs="Arial"/>
          <w:sz w:val="20"/>
          <w:szCs w:val="20"/>
          <w:lang w:eastAsia="fr-FR"/>
        </w:rPr>
      </w:pPr>
      <w:r w:rsidRPr="00B6647E">
        <w:rPr>
          <w:rFonts w:ascii="Arial" w:hAnsi="Arial" w:cs="Arial"/>
          <w:sz w:val="20"/>
          <w:szCs w:val="20"/>
          <w:lang w:eastAsia="fr-FR"/>
        </w:rPr>
        <w:t xml:space="preserve">La patate douce en culture pure a été pratiquée dans toutes les régions naturelles au cours des trois saisons de la campagne agricole 2011-2012. </w:t>
      </w:r>
      <w:r w:rsidRPr="00B6647E">
        <w:rPr>
          <w:rFonts w:ascii="Arial" w:hAnsi="Arial" w:cs="Arial"/>
          <w:sz w:val="20"/>
          <w:szCs w:val="20"/>
        </w:rPr>
        <w:t>La moyenne nationale du rendement de la patate douce en culture pure estimées à 5.557 kg/ha en saison A est plus faible que celles des saisons B (6.769 kg/ha) et C (6.466 kg/ha).</w:t>
      </w:r>
      <w:r w:rsidRPr="00B6647E">
        <w:rPr>
          <w:rFonts w:ascii="Arial" w:hAnsi="Arial" w:cs="Arial"/>
          <w:sz w:val="20"/>
          <w:szCs w:val="20"/>
          <w:lang w:eastAsia="fr-FR"/>
        </w:rPr>
        <w:t>Les rendements les plus élevés ont été estimées dans la région de Bututsi au cours des trois saisons : saison A (8.892 kg/ha), saison B (9.091 kg/ha) et saison C (9.191 kg/ha).</w:t>
      </w:r>
    </w:p>
    <w:p w:rsidR="006D0DFB" w:rsidRPr="00B6647E" w:rsidRDefault="009208C3" w:rsidP="000C78E0">
      <w:pPr>
        <w:spacing w:line="240" w:lineRule="auto"/>
        <w:jc w:val="both"/>
        <w:rPr>
          <w:rFonts w:ascii="Arial" w:hAnsi="Arial" w:cs="Arial"/>
          <w:sz w:val="20"/>
          <w:szCs w:val="20"/>
        </w:rPr>
      </w:pPr>
      <w:r w:rsidRPr="00B6647E">
        <w:rPr>
          <w:rFonts w:ascii="Arial" w:hAnsi="Arial" w:cs="Arial"/>
          <w:sz w:val="20"/>
          <w:szCs w:val="20"/>
          <w:lang w:eastAsia="fr-FR"/>
        </w:rPr>
        <w:t>Pendant les trois saisons, la pomme de terre n’a pas été pratiquée comme culture pure dans les régions d’Imbo, Moso et Mumirwa. Celles de Bututsi en saison B et les régions de Bugesera et Buragane pendant la saison A</w:t>
      </w:r>
      <w:r w:rsidR="006D0DFB" w:rsidRPr="00B6647E">
        <w:rPr>
          <w:rFonts w:ascii="Arial" w:hAnsi="Arial" w:cs="Arial"/>
          <w:sz w:val="20"/>
          <w:szCs w:val="20"/>
          <w:lang w:eastAsia="fr-FR"/>
        </w:rPr>
        <w:t xml:space="preserve"> n’ont pas enregistré de pomme de terre en culture pure</w:t>
      </w:r>
      <w:r w:rsidR="00833C03" w:rsidRPr="00B6647E">
        <w:rPr>
          <w:rFonts w:ascii="Arial" w:hAnsi="Arial" w:cs="Arial"/>
          <w:sz w:val="20"/>
          <w:szCs w:val="20"/>
          <w:lang w:eastAsia="fr-FR"/>
        </w:rPr>
        <w:t xml:space="preserve">. </w:t>
      </w:r>
      <w:r w:rsidR="006D0DFB" w:rsidRPr="00B6647E">
        <w:rPr>
          <w:rFonts w:ascii="Arial" w:hAnsi="Arial" w:cs="Arial"/>
          <w:sz w:val="20"/>
          <w:szCs w:val="20"/>
        </w:rPr>
        <w:t>Au niveau national, les rendements moyens de la patate douce en culture pure ont été estimés à 3.783 kg/ha en saison A, pendant la saison B, à 3.139 kg/ha et à 4.328 kg/ha au cours de la saison C.</w:t>
      </w:r>
    </w:p>
    <w:p w:rsidR="003F7320" w:rsidRPr="00B6647E" w:rsidRDefault="003F7320" w:rsidP="000C78E0">
      <w:pPr>
        <w:pStyle w:val="Lgende"/>
        <w:keepNext/>
        <w:jc w:val="both"/>
        <w:rPr>
          <w:rFonts w:ascii="Arial" w:hAnsi="Arial" w:cs="Arial"/>
        </w:rPr>
      </w:pPr>
      <w:r w:rsidRPr="00B6647E">
        <w:rPr>
          <w:rFonts w:ascii="Arial" w:hAnsi="Arial" w:cs="Arial"/>
        </w:rPr>
        <w:lastRenderedPageBreak/>
        <w:t xml:space="preserve">Tableau </w:t>
      </w:r>
      <w:r w:rsidR="005E6CB8" w:rsidRPr="00B6647E">
        <w:rPr>
          <w:rFonts w:ascii="Arial" w:hAnsi="Arial" w:cs="Arial"/>
        </w:rPr>
        <w:t>1</w:t>
      </w:r>
      <w:r w:rsidR="00E34AD0">
        <w:rPr>
          <w:rFonts w:ascii="Arial" w:hAnsi="Arial" w:cs="Arial"/>
        </w:rPr>
        <w:t>7</w:t>
      </w:r>
      <w:r w:rsidR="005E6CB8" w:rsidRPr="00B6647E">
        <w:rPr>
          <w:rFonts w:ascii="Arial" w:hAnsi="Arial" w:cs="Arial"/>
        </w:rPr>
        <w:t>0 :</w:t>
      </w:r>
      <w:r w:rsidRPr="00B6647E">
        <w:rPr>
          <w:rFonts w:ascii="Arial" w:hAnsi="Arial" w:cs="Arial"/>
        </w:rPr>
        <w:t xml:space="preserve"> Rendement de </w:t>
      </w:r>
      <w:r w:rsidR="00066812" w:rsidRPr="00B6647E">
        <w:rPr>
          <w:rFonts w:ascii="Arial" w:hAnsi="Arial" w:cs="Arial"/>
        </w:rPr>
        <w:t>la pomme de terre</w:t>
      </w:r>
      <w:r w:rsidRPr="00B6647E">
        <w:rPr>
          <w:rFonts w:ascii="Arial" w:hAnsi="Arial" w:cs="Arial"/>
        </w:rPr>
        <w:t xml:space="preserve"> en culture pure par </w:t>
      </w:r>
      <w:r w:rsidR="00066812" w:rsidRPr="00B6647E">
        <w:rPr>
          <w:rFonts w:ascii="Arial" w:hAnsi="Arial" w:cs="Arial"/>
        </w:rPr>
        <w:t>région</w:t>
      </w:r>
      <w:r w:rsidRPr="00B6647E">
        <w:rPr>
          <w:rFonts w:ascii="Arial" w:hAnsi="Arial" w:cs="Arial"/>
        </w:rPr>
        <w:t xml:space="preserve"> pendant les trois saisons</w:t>
      </w:r>
    </w:p>
    <w:p w:rsidR="00066812" w:rsidRPr="00B6647E" w:rsidRDefault="00127189" w:rsidP="000C78E0">
      <w:pPr>
        <w:spacing w:line="240" w:lineRule="auto"/>
        <w:rPr>
          <w:lang w:eastAsia="fr-FR"/>
        </w:rPr>
      </w:pPr>
      <w:r w:rsidRPr="00B6647E">
        <w:rPr>
          <w:noProof/>
          <w:lang w:val="fr-FR" w:eastAsia="fr-FR"/>
        </w:rPr>
        <w:drawing>
          <wp:inline distT="0" distB="0" distL="0" distR="0">
            <wp:extent cx="3305175" cy="2914650"/>
            <wp:effectExtent l="19050" t="0" r="9525" b="0"/>
            <wp:docPr id="484"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20" cstate="print"/>
                    <a:srcRect/>
                    <a:stretch>
                      <a:fillRect/>
                    </a:stretch>
                  </pic:blipFill>
                  <pic:spPr bwMode="auto">
                    <a:xfrm>
                      <a:off x="0" y="0"/>
                      <a:ext cx="3305175" cy="2914650"/>
                    </a:xfrm>
                    <a:prstGeom prst="rect">
                      <a:avLst/>
                    </a:prstGeom>
                    <a:noFill/>
                    <a:ln w="9525">
                      <a:noFill/>
                      <a:miter lim="800000"/>
                      <a:headEnd/>
                      <a:tailEnd/>
                    </a:ln>
                  </pic:spPr>
                </pic:pic>
              </a:graphicData>
            </a:graphic>
          </wp:inline>
        </w:drawing>
      </w:r>
    </w:p>
    <w:p w:rsidR="00672FC6" w:rsidRPr="00B6647E" w:rsidRDefault="00E24E6B" w:rsidP="000C78E0">
      <w:pPr>
        <w:spacing w:line="240" w:lineRule="auto"/>
        <w:jc w:val="both"/>
        <w:rPr>
          <w:rFonts w:ascii="Arial" w:hAnsi="Arial" w:cs="Arial"/>
          <w:sz w:val="20"/>
          <w:szCs w:val="20"/>
          <w:lang w:eastAsia="fr-FR"/>
        </w:rPr>
      </w:pPr>
      <w:r w:rsidRPr="00B6647E">
        <w:rPr>
          <w:rFonts w:ascii="Arial" w:hAnsi="Arial" w:cs="Arial"/>
          <w:sz w:val="20"/>
          <w:szCs w:val="20"/>
          <w:lang w:eastAsia="fr-FR"/>
        </w:rPr>
        <w:t>Tandis que la colocase en culture pure a été pratiquée dans toutes les régions naturelles au cours de la saison C, dans toutes les régions en saison B sauf dans Buragane, elle n’a été enregistrée que dans la seule région de Buyogoma</w:t>
      </w:r>
      <w:r w:rsidR="00672FC6" w:rsidRPr="00B6647E">
        <w:rPr>
          <w:rFonts w:ascii="Arial" w:hAnsi="Arial" w:cs="Arial"/>
          <w:sz w:val="20"/>
          <w:szCs w:val="20"/>
          <w:lang w:eastAsia="fr-FR"/>
        </w:rPr>
        <w:t xml:space="preserve"> (1.000 kg/ha)</w:t>
      </w:r>
      <w:r w:rsidRPr="00B6647E">
        <w:rPr>
          <w:rFonts w:ascii="Arial" w:hAnsi="Arial" w:cs="Arial"/>
          <w:sz w:val="20"/>
          <w:szCs w:val="20"/>
          <w:lang w:eastAsia="fr-FR"/>
        </w:rPr>
        <w:t xml:space="preserve"> pendant la saison A.</w:t>
      </w:r>
      <w:r w:rsidR="00672FC6" w:rsidRPr="00B6647E">
        <w:rPr>
          <w:rFonts w:ascii="Arial" w:hAnsi="Arial" w:cs="Arial"/>
          <w:sz w:val="20"/>
          <w:szCs w:val="20"/>
          <w:lang w:eastAsia="fr-FR"/>
        </w:rPr>
        <w:t xml:space="preserve"> </w:t>
      </w:r>
    </w:p>
    <w:p w:rsidR="003F7320" w:rsidRPr="00B6647E" w:rsidRDefault="003F7320" w:rsidP="000C78E0">
      <w:pPr>
        <w:pStyle w:val="Lgende"/>
        <w:keepNext/>
        <w:jc w:val="both"/>
        <w:rPr>
          <w:rFonts w:ascii="Arial" w:hAnsi="Arial" w:cs="Arial"/>
        </w:rPr>
      </w:pPr>
      <w:r w:rsidRPr="00B6647E">
        <w:rPr>
          <w:rFonts w:ascii="Arial" w:hAnsi="Arial" w:cs="Arial"/>
        </w:rPr>
        <w:t xml:space="preserve">Tableau </w:t>
      </w:r>
      <w:r w:rsidR="005E6CB8" w:rsidRPr="00B6647E">
        <w:rPr>
          <w:rFonts w:ascii="Arial" w:hAnsi="Arial" w:cs="Arial"/>
        </w:rPr>
        <w:t>1</w:t>
      </w:r>
      <w:r w:rsidR="00E34AD0">
        <w:rPr>
          <w:rFonts w:ascii="Arial" w:hAnsi="Arial" w:cs="Arial"/>
        </w:rPr>
        <w:t>7</w:t>
      </w:r>
      <w:r w:rsidR="005E6CB8" w:rsidRPr="00B6647E">
        <w:rPr>
          <w:rFonts w:ascii="Arial" w:hAnsi="Arial" w:cs="Arial"/>
        </w:rPr>
        <w:t>1 :</w:t>
      </w:r>
      <w:r w:rsidRPr="00B6647E">
        <w:rPr>
          <w:rFonts w:ascii="Arial" w:hAnsi="Arial" w:cs="Arial"/>
        </w:rPr>
        <w:t xml:space="preserve"> Rendement de la </w:t>
      </w:r>
      <w:r w:rsidR="00066812" w:rsidRPr="00B6647E">
        <w:rPr>
          <w:rFonts w:ascii="Arial" w:hAnsi="Arial" w:cs="Arial"/>
        </w:rPr>
        <w:t>colocase</w:t>
      </w:r>
      <w:r w:rsidRPr="00B6647E">
        <w:rPr>
          <w:rFonts w:ascii="Arial" w:hAnsi="Arial" w:cs="Arial"/>
        </w:rPr>
        <w:t xml:space="preserve"> en culture pure par </w:t>
      </w:r>
      <w:r w:rsidR="00066812" w:rsidRPr="00B6647E">
        <w:rPr>
          <w:rFonts w:ascii="Arial" w:hAnsi="Arial" w:cs="Arial"/>
        </w:rPr>
        <w:t>région</w:t>
      </w:r>
      <w:r w:rsidRPr="00B6647E">
        <w:rPr>
          <w:rFonts w:ascii="Arial" w:hAnsi="Arial" w:cs="Arial"/>
        </w:rPr>
        <w:t xml:space="preserve"> pendant les trois saisons</w:t>
      </w:r>
    </w:p>
    <w:p w:rsidR="00066812" w:rsidRPr="00B6647E" w:rsidRDefault="00127189" w:rsidP="000C78E0">
      <w:pPr>
        <w:spacing w:line="240" w:lineRule="auto"/>
        <w:jc w:val="both"/>
        <w:rPr>
          <w:rFonts w:ascii="Arial" w:hAnsi="Arial" w:cs="Arial"/>
          <w:sz w:val="20"/>
          <w:szCs w:val="20"/>
          <w:lang w:eastAsia="fr-FR"/>
        </w:rPr>
      </w:pPr>
      <w:r w:rsidRPr="00B6647E">
        <w:rPr>
          <w:noProof/>
          <w:szCs w:val="20"/>
          <w:lang w:val="fr-FR" w:eastAsia="fr-FR"/>
        </w:rPr>
        <w:drawing>
          <wp:inline distT="0" distB="0" distL="0" distR="0">
            <wp:extent cx="3305175" cy="2914650"/>
            <wp:effectExtent l="19050" t="0" r="9525" b="0"/>
            <wp:docPr id="485"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21" cstate="print"/>
                    <a:srcRect/>
                    <a:stretch>
                      <a:fillRect/>
                    </a:stretch>
                  </pic:blipFill>
                  <pic:spPr bwMode="auto">
                    <a:xfrm>
                      <a:off x="0" y="0"/>
                      <a:ext cx="3305175" cy="2914650"/>
                    </a:xfrm>
                    <a:prstGeom prst="rect">
                      <a:avLst/>
                    </a:prstGeom>
                    <a:noFill/>
                    <a:ln w="9525">
                      <a:noFill/>
                      <a:miter lim="800000"/>
                      <a:headEnd/>
                      <a:tailEnd/>
                    </a:ln>
                  </pic:spPr>
                </pic:pic>
              </a:graphicData>
            </a:graphic>
          </wp:inline>
        </w:drawing>
      </w:r>
    </w:p>
    <w:p w:rsidR="00833C03" w:rsidRPr="00B6647E" w:rsidRDefault="00833C03" w:rsidP="00833C03">
      <w:pPr>
        <w:spacing w:after="120" w:line="240" w:lineRule="auto"/>
        <w:jc w:val="both"/>
        <w:rPr>
          <w:rFonts w:ascii="Arial" w:hAnsi="Arial" w:cs="Arial"/>
          <w:sz w:val="20"/>
          <w:szCs w:val="20"/>
          <w:lang w:eastAsia="fr-FR"/>
        </w:rPr>
      </w:pPr>
      <w:r w:rsidRPr="00B6647E">
        <w:rPr>
          <w:rFonts w:ascii="Arial" w:hAnsi="Arial" w:cs="Arial"/>
          <w:sz w:val="20"/>
          <w:szCs w:val="20"/>
          <w:lang w:eastAsia="fr-FR"/>
        </w:rPr>
        <w:t xml:space="preserve">Les moyennes nationales des rendements de la colocase en pur sont 3.609 kg/ha pendant la saison B et de 3.703 kg/ha au cours de la saison C </w:t>
      </w:r>
    </w:p>
    <w:p w:rsidR="00066812" w:rsidRPr="00B6647E" w:rsidRDefault="009B2C12" w:rsidP="00833C03">
      <w:pPr>
        <w:spacing w:after="120" w:line="240" w:lineRule="auto"/>
        <w:jc w:val="both"/>
        <w:rPr>
          <w:rFonts w:ascii="Arial" w:hAnsi="Arial" w:cs="Arial"/>
          <w:sz w:val="20"/>
          <w:szCs w:val="20"/>
          <w:lang w:eastAsia="fr-FR"/>
        </w:rPr>
      </w:pPr>
      <w:r w:rsidRPr="00B6647E">
        <w:rPr>
          <w:rFonts w:ascii="Arial" w:hAnsi="Arial" w:cs="Arial"/>
          <w:sz w:val="20"/>
          <w:szCs w:val="20"/>
          <w:lang w:eastAsia="fr-FR"/>
        </w:rPr>
        <w:t>L’igname en culture pure n’a pas été enregistré au cours de la saison A</w:t>
      </w:r>
      <w:r w:rsidR="00782283">
        <w:rPr>
          <w:rFonts w:ascii="Arial" w:hAnsi="Arial" w:cs="Arial"/>
          <w:sz w:val="20"/>
          <w:szCs w:val="20"/>
          <w:lang w:eastAsia="fr-FR"/>
        </w:rPr>
        <w:t> ; il</w:t>
      </w:r>
      <w:r w:rsidRPr="00B6647E">
        <w:rPr>
          <w:rFonts w:ascii="Arial" w:hAnsi="Arial" w:cs="Arial"/>
          <w:sz w:val="20"/>
          <w:szCs w:val="20"/>
          <w:lang w:eastAsia="fr-FR"/>
        </w:rPr>
        <w:t xml:space="preserve"> l’a été dans </w:t>
      </w:r>
      <w:r w:rsidR="000C78E0" w:rsidRPr="00B6647E">
        <w:rPr>
          <w:rFonts w:ascii="Arial" w:hAnsi="Arial" w:cs="Arial"/>
          <w:sz w:val="20"/>
          <w:szCs w:val="20"/>
          <w:lang w:eastAsia="fr-FR"/>
        </w:rPr>
        <w:t xml:space="preserve">trois </w:t>
      </w:r>
      <w:r w:rsidRPr="00B6647E">
        <w:rPr>
          <w:rFonts w:ascii="Arial" w:hAnsi="Arial" w:cs="Arial"/>
          <w:sz w:val="20"/>
          <w:szCs w:val="20"/>
          <w:lang w:eastAsia="fr-FR"/>
        </w:rPr>
        <w:t xml:space="preserve">régions </w:t>
      </w:r>
      <w:r w:rsidR="000C78E0" w:rsidRPr="00B6647E">
        <w:rPr>
          <w:rFonts w:ascii="Arial" w:hAnsi="Arial" w:cs="Arial"/>
          <w:sz w:val="20"/>
          <w:szCs w:val="20"/>
          <w:lang w:eastAsia="fr-FR"/>
        </w:rPr>
        <w:t xml:space="preserve">(Imbo, Moso </w:t>
      </w:r>
      <w:r w:rsidRPr="00B6647E">
        <w:rPr>
          <w:rFonts w:ascii="Arial" w:hAnsi="Arial" w:cs="Arial"/>
          <w:sz w:val="20"/>
          <w:szCs w:val="20"/>
          <w:lang w:eastAsia="fr-FR"/>
        </w:rPr>
        <w:t>et Mumirwa) pendant l</w:t>
      </w:r>
      <w:r w:rsidR="000C78E0" w:rsidRPr="00B6647E">
        <w:rPr>
          <w:rFonts w:ascii="Arial" w:hAnsi="Arial" w:cs="Arial"/>
          <w:sz w:val="20"/>
          <w:szCs w:val="20"/>
          <w:lang w:eastAsia="fr-FR"/>
        </w:rPr>
        <w:t>es</w:t>
      </w:r>
      <w:r w:rsidRPr="00B6647E">
        <w:rPr>
          <w:rFonts w:ascii="Arial" w:hAnsi="Arial" w:cs="Arial"/>
          <w:sz w:val="20"/>
          <w:szCs w:val="20"/>
          <w:lang w:eastAsia="fr-FR"/>
        </w:rPr>
        <w:t xml:space="preserve"> saison</w:t>
      </w:r>
      <w:r w:rsidR="000C78E0" w:rsidRPr="00B6647E">
        <w:rPr>
          <w:rFonts w:ascii="Arial" w:hAnsi="Arial" w:cs="Arial"/>
          <w:sz w:val="20"/>
          <w:szCs w:val="20"/>
          <w:lang w:eastAsia="fr-FR"/>
        </w:rPr>
        <w:t>s</w:t>
      </w:r>
      <w:r w:rsidRPr="00B6647E">
        <w:rPr>
          <w:rFonts w:ascii="Arial" w:hAnsi="Arial" w:cs="Arial"/>
          <w:sz w:val="20"/>
          <w:szCs w:val="20"/>
          <w:lang w:eastAsia="fr-FR"/>
        </w:rPr>
        <w:t xml:space="preserve"> B et </w:t>
      </w:r>
      <w:r w:rsidR="000C78E0" w:rsidRPr="00B6647E">
        <w:rPr>
          <w:rFonts w:ascii="Arial" w:hAnsi="Arial" w:cs="Arial"/>
          <w:sz w:val="20"/>
          <w:szCs w:val="20"/>
          <w:lang w:eastAsia="fr-FR"/>
        </w:rPr>
        <w:t xml:space="preserve">C. On note en plus Mugamba en </w:t>
      </w:r>
      <w:r w:rsidR="0042384A" w:rsidRPr="00B6647E">
        <w:rPr>
          <w:rFonts w:ascii="Arial" w:hAnsi="Arial" w:cs="Arial"/>
          <w:sz w:val="20"/>
          <w:szCs w:val="20"/>
          <w:lang w:eastAsia="fr-FR"/>
        </w:rPr>
        <w:t xml:space="preserve">saison </w:t>
      </w:r>
      <w:r w:rsidR="000C78E0" w:rsidRPr="00B6647E">
        <w:rPr>
          <w:rFonts w:ascii="Arial" w:hAnsi="Arial" w:cs="Arial"/>
          <w:sz w:val="20"/>
          <w:szCs w:val="20"/>
          <w:lang w:eastAsia="fr-FR"/>
        </w:rPr>
        <w:t xml:space="preserve">B et Buyogoma </w:t>
      </w:r>
      <w:r w:rsidR="0042384A" w:rsidRPr="00B6647E">
        <w:rPr>
          <w:rFonts w:ascii="Arial" w:hAnsi="Arial" w:cs="Arial"/>
          <w:sz w:val="20"/>
          <w:szCs w:val="20"/>
          <w:lang w:eastAsia="fr-FR"/>
        </w:rPr>
        <w:t xml:space="preserve">au cours de la saison </w:t>
      </w:r>
      <w:r w:rsidR="000C78E0" w:rsidRPr="00B6647E">
        <w:rPr>
          <w:rFonts w:ascii="Arial" w:hAnsi="Arial" w:cs="Arial"/>
          <w:sz w:val="20"/>
          <w:szCs w:val="20"/>
          <w:lang w:eastAsia="fr-FR"/>
        </w:rPr>
        <w:t>C.</w:t>
      </w:r>
      <w:r w:rsidRPr="00B6647E">
        <w:rPr>
          <w:rFonts w:ascii="Arial" w:hAnsi="Arial" w:cs="Arial"/>
          <w:sz w:val="20"/>
          <w:szCs w:val="20"/>
          <w:lang w:eastAsia="fr-FR"/>
        </w:rPr>
        <w:t xml:space="preserve"> Les rendements moyens estimés sont de 4.629 kg/ha en saison B et 4.150 kg/ha au cours de la saison C.</w:t>
      </w:r>
    </w:p>
    <w:p w:rsidR="003F7320" w:rsidRPr="00B6647E" w:rsidRDefault="003F7320" w:rsidP="00833C03">
      <w:pPr>
        <w:pStyle w:val="Lgende"/>
        <w:keepNext/>
        <w:spacing w:after="120"/>
        <w:jc w:val="both"/>
        <w:rPr>
          <w:rFonts w:ascii="Arial" w:hAnsi="Arial" w:cs="Arial"/>
        </w:rPr>
      </w:pPr>
      <w:r w:rsidRPr="00B6647E">
        <w:rPr>
          <w:rFonts w:ascii="Arial" w:hAnsi="Arial" w:cs="Arial"/>
        </w:rPr>
        <w:lastRenderedPageBreak/>
        <w:t xml:space="preserve">Tableau </w:t>
      </w:r>
      <w:r w:rsidR="005E6CB8" w:rsidRPr="00B6647E">
        <w:rPr>
          <w:rFonts w:ascii="Arial" w:hAnsi="Arial" w:cs="Arial"/>
        </w:rPr>
        <w:t>1</w:t>
      </w:r>
      <w:r w:rsidR="00E34AD0">
        <w:rPr>
          <w:rFonts w:ascii="Arial" w:hAnsi="Arial" w:cs="Arial"/>
        </w:rPr>
        <w:t>7</w:t>
      </w:r>
      <w:r w:rsidR="005E6CB8" w:rsidRPr="00B6647E">
        <w:rPr>
          <w:rFonts w:ascii="Arial" w:hAnsi="Arial" w:cs="Arial"/>
        </w:rPr>
        <w:t>2 :</w:t>
      </w:r>
      <w:r w:rsidRPr="00B6647E">
        <w:rPr>
          <w:rFonts w:ascii="Arial" w:hAnsi="Arial" w:cs="Arial"/>
        </w:rPr>
        <w:t xml:space="preserve"> Rendement de </w:t>
      </w:r>
      <w:r w:rsidR="00066812" w:rsidRPr="00B6647E">
        <w:rPr>
          <w:rFonts w:ascii="Arial" w:hAnsi="Arial" w:cs="Arial"/>
        </w:rPr>
        <w:t>l’igname</w:t>
      </w:r>
      <w:r w:rsidRPr="00B6647E">
        <w:rPr>
          <w:rFonts w:ascii="Arial" w:hAnsi="Arial" w:cs="Arial"/>
        </w:rPr>
        <w:t xml:space="preserve"> en culture pure par </w:t>
      </w:r>
      <w:r w:rsidR="00066812" w:rsidRPr="00B6647E">
        <w:rPr>
          <w:rFonts w:ascii="Arial" w:hAnsi="Arial" w:cs="Arial"/>
        </w:rPr>
        <w:t>région</w:t>
      </w:r>
      <w:r w:rsidRPr="00B6647E">
        <w:rPr>
          <w:rFonts w:ascii="Arial" w:hAnsi="Arial" w:cs="Arial"/>
        </w:rPr>
        <w:t xml:space="preserve"> pendant les trois saisons</w:t>
      </w:r>
    </w:p>
    <w:p w:rsidR="00A22DB4" w:rsidRPr="00B6647E" w:rsidRDefault="00127189" w:rsidP="00833C03">
      <w:pPr>
        <w:spacing w:after="120" w:line="240" w:lineRule="auto"/>
        <w:rPr>
          <w:lang w:eastAsia="fr-FR"/>
        </w:rPr>
      </w:pPr>
      <w:r w:rsidRPr="00B6647E">
        <w:rPr>
          <w:noProof/>
          <w:lang w:val="fr-FR" w:eastAsia="fr-FR"/>
        </w:rPr>
        <w:drawing>
          <wp:inline distT="0" distB="0" distL="0" distR="0">
            <wp:extent cx="3305175" cy="2914650"/>
            <wp:effectExtent l="19050" t="0" r="9525" b="0"/>
            <wp:docPr id="486"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22" cstate="print"/>
                    <a:srcRect/>
                    <a:stretch>
                      <a:fillRect/>
                    </a:stretch>
                  </pic:blipFill>
                  <pic:spPr bwMode="auto">
                    <a:xfrm>
                      <a:off x="0" y="0"/>
                      <a:ext cx="3305175" cy="2914650"/>
                    </a:xfrm>
                    <a:prstGeom prst="rect">
                      <a:avLst/>
                    </a:prstGeom>
                    <a:noFill/>
                    <a:ln w="9525">
                      <a:noFill/>
                      <a:miter lim="800000"/>
                      <a:headEnd/>
                      <a:tailEnd/>
                    </a:ln>
                  </pic:spPr>
                </pic:pic>
              </a:graphicData>
            </a:graphic>
          </wp:inline>
        </w:drawing>
      </w:r>
    </w:p>
    <w:p w:rsidR="000C78E0" w:rsidRPr="00B6647E" w:rsidRDefault="000C78E0" w:rsidP="00833C03">
      <w:pPr>
        <w:spacing w:after="120" w:line="240" w:lineRule="auto"/>
        <w:rPr>
          <w:rFonts w:ascii="Arial" w:hAnsi="Arial" w:cs="Arial"/>
          <w:b/>
          <w:sz w:val="20"/>
          <w:szCs w:val="20"/>
          <w:lang w:val="fr-FR" w:eastAsia="fr-FR"/>
        </w:rPr>
      </w:pPr>
      <w:r w:rsidRPr="00B6647E">
        <w:rPr>
          <w:rFonts w:ascii="Arial" w:hAnsi="Arial" w:cs="Arial"/>
          <w:b/>
          <w:sz w:val="20"/>
          <w:szCs w:val="20"/>
          <w:lang w:val="fr-FR" w:eastAsia="fr-FR"/>
        </w:rPr>
        <w:t>a) Rendements en cultures pure des tubercules et racines par province et par saison</w:t>
      </w:r>
    </w:p>
    <w:p w:rsidR="009B2732" w:rsidRPr="00B6647E" w:rsidRDefault="009B2732" w:rsidP="00833C03">
      <w:pPr>
        <w:spacing w:after="120" w:line="240" w:lineRule="auto"/>
        <w:jc w:val="both"/>
        <w:rPr>
          <w:rFonts w:ascii="Arial" w:hAnsi="Arial" w:cs="Arial"/>
          <w:sz w:val="20"/>
          <w:szCs w:val="20"/>
        </w:rPr>
      </w:pPr>
      <w:r w:rsidRPr="00B6647E">
        <w:rPr>
          <w:rFonts w:ascii="Arial" w:hAnsi="Arial" w:cs="Arial"/>
          <w:sz w:val="20"/>
          <w:szCs w:val="20"/>
        </w:rPr>
        <w:t>Les moyennes nationales du rendement du manioc en culture pure ont été estimées à : 4.217 kg/ha en saison A, 4.639 kg/ha pendant la saison B et 4.675 kg/ha au cours de la saison C.</w:t>
      </w:r>
    </w:p>
    <w:p w:rsidR="00066812" w:rsidRPr="00B6647E" w:rsidRDefault="00066812" w:rsidP="0042384A">
      <w:pPr>
        <w:pStyle w:val="Lgende"/>
        <w:keepNext/>
        <w:jc w:val="both"/>
        <w:rPr>
          <w:rFonts w:ascii="Arial" w:hAnsi="Arial" w:cs="Arial"/>
        </w:rPr>
      </w:pPr>
      <w:r w:rsidRPr="00B6647E">
        <w:rPr>
          <w:rFonts w:ascii="Arial" w:hAnsi="Arial" w:cs="Arial"/>
        </w:rPr>
        <w:t xml:space="preserve">Tableau </w:t>
      </w:r>
      <w:r w:rsidR="005E6CB8" w:rsidRPr="00B6647E">
        <w:rPr>
          <w:rFonts w:ascii="Arial" w:hAnsi="Arial" w:cs="Arial"/>
        </w:rPr>
        <w:t>1</w:t>
      </w:r>
      <w:r w:rsidR="00E34AD0">
        <w:rPr>
          <w:rFonts w:ascii="Arial" w:hAnsi="Arial" w:cs="Arial"/>
        </w:rPr>
        <w:t>7</w:t>
      </w:r>
      <w:r w:rsidR="005E6CB8" w:rsidRPr="00B6647E">
        <w:rPr>
          <w:rFonts w:ascii="Arial" w:hAnsi="Arial" w:cs="Arial"/>
        </w:rPr>
        <w:t>3 :</w:t>
      </w:r>
      <w:r w:rsidRPr="00B6647E">
        <w:rPr>
          <w:rFonts w:ascii="Arial" w:hAnsi="Arial" w:cs="Arial"/>
        </w:rPr>
        <w:t xml:space="preserve"> Rendement du manioc en culture pure par province pendant les trois saisons</w:t>
      </w:r>
    </w:p>
    <w:p w:rsidR="00066812" w:rsidRPr="00B6647E" w:rsidRDefault="006435D1" w:rsidP="0042384A">
      <w:pPr>
        <w:spacing w:line="240" w:lineRule="auto"/>
        <w:rPr>
          <w:rFonts w:ascii="Arial" w:hAnsi="Arial" w:cs="Arial"/>
          <w:lang w:eastAsia="fr-FR"/>
        </w:rPr>
      </w:pPr>
      <w:r w:rsidRPr="00B6647E">
        <w:rPr>
          <w:noProof/>
          <w:lang w:val="fr-FR" w:eastAsia="fr-FR"/>
        </w:rPr>
        <w:drawing>
          <wp:inline distT="0" distB="0" distL="0" distR="0">
            <wp:extent cx="3305175" cy="3867150"/>
            <wp:effectExtent l="19050" t="0" r="9525" b="0"/>
            <wp:docPr id="487"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23" cstate="print"/>
                    <a:srcRect/>
                    <a:stretch>
                      <a:fillRect/>
                    </a:stretch>
                  </pic:blipFill>
                  <pic:spPr bwMode="auto">
                    <a:xfrm>
                      <a:off x="0" y="0"/>
                      <a:ext cx="3305175" cy="3867150"/>
                    </a:xfrm>
                    <a:prstGeom prst="rect">
                      <a:avLst/>
                    </a:prstGeom>
                    <a:noFill/>
                    <a:ln w="9525">
                      <a:noFill/>
                      <a:miter lim="800000"/>
                      <a:headEnd/>
                      <a:tailEnd/>
                    </a:ln>
                  </pic:spPr>
                </pic:pic>
              </a:graphicData>
            </a:graphic>
          </wp:inline>
        </w:drawing>
      </w:r>
    </w:p>
    <w:p w:rsidR="00833C03" w:rsidRPr="00B6647E" w:rsidRDefault="00833C03" w:rsidP="00833C03">
      <w:pPr>
        <w:spacing w:line="240" w:lineRule="auto"/>
        <w:jc w:val="both"/>
        <w:rPr>
          <w:rFonts w:ascii="Arial" w:hAnsi="Arial" w:cs="Arial"/>
          <w:sz w:val="20"/>
          <w:szCs w:val="20"/>
          <w:lang w:eastAsia="fr-FR"/>
        </w:rPr>
      </w:pPr>
      <w:r w:rsidRPr="00B6647E">
        <w:rPr>
          <w:rFonts w:ascii="Arial" w:hAnsi="Arial" w:cs="Arial"/>
          <w:sz w:val="20"/>
          <w:szCs w:val="20"/>
          <w:lang w:eastAsia="fr-FR"/>
        </w:rPr>
        <w:t xml:space="preserve">Dans toutes les provinces le manioc en culture pure a été récolté pendant les saisons B et C. Au cours de la saison A, on note quatre provinces  (Kayanza, Kirundo, Muyinga, Mwaro et Rutana) qui ne l’ont pas récolté, un rendement estimé très faible dans Cankuzo (700 kg/ha) et quatre provinces avec des rendements inférieurs à 3.000 kg/ha : Bujumbura rural (1.926 kg/ha), Gitega (2.500 kg/ha), Karuzi (2.370 kg/ha) et Ruyigi (1.800 kg/ha). Pendant la saison B, seule Rutana (1.800 kg/ha) </w:t>
      </w:r>
      <w:r w:rsidRPr="00B6647E">
        <w:rPr>
          <w:rFonts w:ascii="Arial" w:hAnsi="Arial" w:cs="Arial"/>
          <w:sz w:val="20"/>
          <w:szCs w:val="20"/>
          <w:lang w:eastAsia="fr-FR"/>
        </w:rPr>
        <w:lastRenderedPageBreak/>
        <w:t>pendant la saison B, Ngozi (2.667 kg/ha) et Rutana (2.967 kg/ha) en saison C ont des rendements de manioc en culture pure inférieurs à 3.000 kg/ha</w:t>
      </w:r>
    </w:p>
    <w:p w:rsidR="004F7E0A" w:rsidRPr="00B6647E" w:rsidRDefault="004F7E0A" w:rsidP="0042384A">
      <w:pPr>
        <w:spacing w:line="240" w:lineRule="auto"/>
        <w:jc w:val="both"/>
        <w:rPr>
          <w:rFonts w:ascii="Arial" w:hAnsi="Arial" w:cs="Arial"/>
          <w:sz w:val="20"/>
          <w:szCs w:val="20"/>
        </w:rPr>
      </w:pPr>
      <w:r w:rsidRPr="00B6647E">
        <w:rPr>
          <w:rFonts w:ascii="Arial" w:hAnsi="Arial" w:cs="Arial"/>
          <w:sz w:val="20"/>
          <w:szCs w:val="20"/>
        </w:rPr>
        <w:t xml:space="preserve">Les moyennes nationales du rendement de manioc amer en culture pure ont été estimées à : 4.487 kg/ha en saison A, 4.649 kg/ha pendant la saison B et 4.728 kg/ha au cours de la saison C. </w:t>
      </w:r>
    </w:p>
    <w:p w:rsidR="004F7E0A" w:rsidRPr="00B6647E" w:rsidRDefault="004F7E0A" w:rsidP="0042384A">
      <w:pPr>
        <w:spacing w:line="240" w:lineRule="auto"/>
        <w:jc w:val="both"/>
        <w:rPr>
          <w:rFonts w:ascii="Arial" w:hAnsi="Arial" w:cs="Arial"/>
          <w:sz w:val="20"/>
          <w:szCs w:val="20"/>
        </w:rPr>
      </w:pPr>
      <w:r w:rsidRPr="00B6647E">
        <w:rPr>
          <w:rFonts w:ascii="Arial" w:hAnsi="Arial" w:cs="Arial"/>
          <w:sz w:val="20"/>
          <w:szCs w:val="20"/>
        </w:rPr>
        <w:t xml:space="preserve">Les rendements les plus élevés ont été estimés </w:t>
      </w:r>
      <w:r w:rsidR="00DB6415" w:rsidRPr="00B6647E">
        <w:rPr>
          <w:rFonts w:ascii="Arial" w:hAnsi="Arial" w:cs="Arial"/>
          <w:sz w:val="20"/>
          <w:szCs w:val="20"/>
        </w:rPr>
        <w:t xml:space="preserve">au cours de la saison A dans </w:t>
      </w:r>
      <w:r w:rsidRPr="00B6647E">
        <w:rPr>
          <w:rFonts w:ascii="Arial" w:hAnsi="Arial" w:cs="Arial"/>
          <w:sz w:val="20"/>
          <w:szCs w:val="20"/>
        </w:rPr>
        <w:t xml:space="preserve">Bubanza </w:t>
      </w:r>
      <w:r w:rsidR="00DB6415" w:rsidRPr="00B6647E">
        <w:rPr>
          <w:rFonts w:ascii="Arial" w:hAnsi="Arial" w:cs="Arial"/>
          <w:sz w:val="20"/>
          <w:szCs w:val="20"/>
        </w:rPr>
        <w:t>(9.000 kg/ha),</w:t>
      </w:r>
      <w:r w:rsidRPr="00B6647E">
        <w:rPr>
          <w:rFonts w:ascii="Arial" w:hAnsi="Arial" w:cs="Arial"/>
          <w:sz w:val="20"/>
          <w:szCs w:val="20"/>
        </w:rPr>
        <w:t xml:space="preserve"> Bururi </w:t>
      </w:r>
      <w:r w:rsidR="00DB6415" w:rsidRPr="00B6647E">
        <w:rPr>
          <w:rFonts w:ascii="Arial" w:hAnsi="Arial" w:cs="Arial"/>
          <w:sz w:val="20"/>
          <w:szCs w:val="20"/>
        </w:rPr>
        <w:t xml:space="preserve">(9.000 kg/ha), Makamba (8.000 kg/ha), </w:t>
      </w:r>
      <w:r w:rsidRPr="00B6647E">
        <w:rPr>
          <w:rFonts w:ascii="Arial" w:hAnsi="Arial" w:cs="Arial"/>
          <w:sz w:val="20"/>
          <w:szCs w:val="20"/>
        </w:rPr>
        <w:t>en saison B</w:t>
      </w:r>
      <w:r w:rsidR="00DB6415" w:rsidRPr="00B6647E">
        <w:rPr>
          <w:rFonts w:ascii="Arial" w:hAnsi="Arial" w:cs="Arial"/>
          <w:sz w:val="20"/>
          <w:szCs w:val="20"/>
        </w:rPr>
        <w:t xml:space="preserve"> dans Gitega (9.000 kg/ha), Muyinga (7.280 kg/ha) et pendant</w:t>
      </w:r>
      <w:r w:rsidRPr="00B6647E">
        <w:rPr>
          <w:rFonts w:ascii="Arial" w:hAnsi="Arial" w:cs="Arial"/>
          <w:sz w:val="20"/>
          <w:szCs w:val="20"/>
        </w:rPr>
        <w:t xml:space="preserve"> la saison C</w:t>
      </w:r>
      <w:r w:rsidR="00DB6415" w:rsidRPr="00B6647E">
        <w:rPr>
          <w:rFonts w:ascii="Arial" w:hAnsi="Arial" w:cs="Arial"/>
          <w:sz w:val="20"/>
          <w:szCs w:val="20"/>
        </w:rPr>
        <w:t xml:space="preserve"> dans les provinces de </w:t>
      </w:r>
      <w:r w:rsidRPr="00B6647E">
        <w:rPr>
          <w:rFonts w:ascii="Arial" w:hAnsi="Arial" w:cs="Arial"/>
          <w:sz w:val="20"/>
          <w:szCs w:val="20"/>
        </w:rPr>
        <w:t xml:space="preserve">Muyinga (7.925 kg/ha) et </w:t>
      </w:r>
      <w:r w:rsidR="00DB6415" w:rsidRPr="00B6647E">
        <w:rPr>
          <w:rFonts w:ascii="Arial" w:hAnsi="Arial" w:cs="Arial"/>
          <w:sz w:val="20"/>
          <w:szCs w:val="20"/>
        </w:rPr>
        <w:t>Bujumbura rural (7.056 kg/ha).</w:t>
      </w:r>
    </w:p>
    <w:p w:rsidR="00066812" w:rsidRPr="00B6647E" w:rsidRDefault="00066812" w:rsidP="0042384A">
      <w:pPr>
        <w:pStyle w:val="Lgende"/>
        <w:keepNext/>
        <w:jc w:val="both"/>
        <w:rPr>
          <w:rFonts w:ascii="Arial" w:hAnsi="Arial" w:cs="Arial"/>
        </w:rPr>
      </w:pPr>
      <w:r w:rsidRPr="00B6647E">
        <w:rPr>
          <w:rFonts w:ascii="Arial" w:hAnsi="Arial" w:cs="Arial"/>
        </w:rPr>
        <w:t xml:space="preserve">Tableau </w:t>
      </w:r>
      <w:r w:rsidR="000A06E8" w:rsidRPr="00B6647E">
        <w:rPr>
          <w:rFonts w:ascii="Arial" w:hAnsi="Arial" w:cs="Arial"/>
        </w:rPr>
        <w:t>1</w:t>
      </w:r>
      <w:r w:rsidR="00E34AD0">
        <w:rPr>
          <w:rFonts w:ascii="Arial" w:hAnsi="Arial" w:cs="Arial"/>
        </w:rPr>
        <w:t>7</w:t>
      </w:r>
      <w:r w:rsidR="000A06E8" w:rsidRPr="00B6647E">
        <w:rPr>
          <w:rFonts w:ascii="Arial" w:hAnsi="Arial" w:cs="Arial"/>
        </w:rPr>
        <w:t>4 :</w:t>
      </w:r>
      <w:r w:rsidRPr="00B6647E">
        <w:rPr>
          <w:rFonts w:ascii="Arial" w:hAnsi="Arial" w:cs="Arial"/>
        </w:rPr>
        <w:t xml:space="preserve"> Rendement du manioc amer en culture pure par province pendant les trois saisons</w:t>
      </w:r>
    </w:p>
    <w:p w:rsidR="00066812" w:rsidRPr="00B6647E" w:rsidRDefault="006435D1" w:rsidP="0042384A">
      <w:pPr>
        <w:spacing w:line="240" w:lineRule="auto"/>
        <w:rPr>
          <w:rFonts w:ascii="Arial" w:hAnsi="Arial" w:cs="Arial"/>
          <w:lang w:eastAsia="fr-FR"/>
        </w:rPr>
      </w:pPr>
      <w:r w:rsidRPr="00B6647E">
        <w:rPr>
          <w:noProof/>
          <w:lang w:val="fr-FR" w:eastAsia="fr-FR"/>
        </w:rPr>
        <w:drawing>
          <wp:inline distT="0" distB="0" distL="0" distR="0">
            <wp:extent cx="3305175" cy="3867150"/>
            <wp:effectExtent l="19050" t="0" r="9525" b="0"/>
            <wp:docPr id="488"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4" cstate="print"/>
                    <a:srcRect/>
                    <a:stretch>
                      <a:fillRect/>
                    </a:stretch>
                  </pic:blipFill>
                  <pic:spPr bwMode="auto">
                    <a:xfrm>
                      <a:off x="0" y="0"/>
                      <a:ext cx="3305175" cy="3867150"/>
                    </a:xfrm>
                    <a:prstGeom prst="rect">
                      <a:avLst/>
                    </a:prstGeom>
                    <a:noFill/>
                    <a:ln w="9525">
                      <a:noFill/>
                      <a:miter lim="800000"/>
                      <a:headEnd/>
                      <a:tailEnd/>
                    </a:ln>
                  </pic:spPr>
                </pic:pic>
              </a:graphicData>
            </a:graphic>
          </wp:inline>
        </w:drawing>
      </w:r>
    </w:p>
    <w:p w:rsidR="00447DEA" w:rsidRPr="00B6647E" w:rsidRDefault="00447DEA" w:rsidP="0042384A">
      <w:pPr>
        <w:spacing w:line="240" w:lineRule="auto"/>
        <w:jc w:val="both"/>
        <w:rPr>
          <w:rFonts w:ascii="Arial" w:hAnsi="Arial" w:cs="Arial"/>
          <w:sz w:val="20"/>
          <w:szCs w:val="20"/>
        </w:rPr>
      </w:pPr>
      <w:r w:rsidRPr="00B6647E">
        <w:rPr>
          <w:rFonts w:ascii="Arial" w:hAnsi="Arial" w:cs="Arial"/>
          <w:sz w:val="20"/>
          <w:szCs w:val="20"/>
        </w:rPr>
        <w:t>La moyenne nationale du rendement de manioc doux en culture pure estimées à 2.104 kg/ha en saison A est plus faible que celles des saisons B (4.542 kg/ha) et C (4.559 kg/ha).</w:t>
      </w:r>
    </w:p>
    <w:p w:rsidR="006D1FD2" w:rsidRPr="00B6647E" w:rsidRDefault="00447DEA" w:rsidP="0042384A">
      <w:pPr>
        <w:spacing w:line="240" w:lineRule="auto"/>
        <w:jc w:val="both"/>
        <w:rPr>
          <w:rFonts w:ascii="Arial" w:hAnsi="Arial" w:cs="Arial"/>
          <w:sz w:val="20"/>
          <w:szCs w:val="20"/>
        </w:rPr>
      </w:pPr>
      <w:r w:rsidRPr="00B6647E">
        <w:rPr>
          <w:rFonts w:ascii="Arial" w:hAnsi="Arial" w:cs="Arial"/>
          <w:sz w:val="20"/>
          <w:szCs w:val="20"/>
        </w:rPr>
        <w:t>Tandis que toutes les provinces ont pratiqué du manioc doux en culture pure en saison C, il y en a que quatre (</w:t>
      </w:r>
      <w:r w:rsidR="00D97FA9" w:rsidRPr="00B6647E">
        <w:rPr>
          <w:rFonts w:ascii="Arial" w:hAnsi="Arial" w:cs="Arial"/>
          <w:sz w:val="20"/>
          <w:szCs w:val="20"/>
        </w:rPr>
        <w:t>Bururi, Cibitoke, Karuzi et Makamba)</w:t>
      </w:r>
      <w:r w:rsidRPr="00B6647E">
        <w:rPr>
          <w:rFonts w:ascii="Arial" w:hAnsi="Arial" w:cs="Arial"/>
          <w:sz w:val="20"/>
          <w:szCs w:val="20"/>
        </w:rPr>
        <w:t xml:space="preserve"> </w:t>
      </w:r>
      <w:r w:rsidR="00D97FA9" w:rsidRPr="00B6647E">
        <w:rPr>
          <w:rFonts w:ascii="Arial" w:hAnsi="Arial" w:cs="Arial"/>
          <w:sz w:val="20"/>
          <w:szCs w:val="20"/>
        </w:rPr>
        <w:t>pendant la saison A et sept (Bubanza, Bujumbura rural, Cibitoke, Karuzi, Kayanza, Kirundo, Muyinga, Ngozi et Ruyigi) au cours de la saison B.</w:t>
      </w:r>
    </w:p>
    <w:p w:rsidR="00447DEA" w:rsidRPr="00B6647E" w:rsidRDefault="00D97FA9" w:rsidP="0042384A">
      <w:pPr>
        <w:spacing w:line="240" w:lineRule="auto"/>
        <w:jc w:val="both"/>
        <w:rPr>
          <w:rFonts w:ascii="Arial" w:hAnsi="Arial" w:cs="Arial"/>
          <w:sz w:val="20"/>
          <w:szCs w:val="20"/>
        </w:rPr>
      </w:pPr>
      <w:r w:rsidRPr="00B6647E">
        <w:rPr>
          <w:rFonts w:ascii="Arial" w:hAnsi="Arial" w:cs="Arial"/>
          <w:sz w:val="20"/>
          <w:szCs w:val="20"/>
        </w:rPr>
        <w:t>Dans les provinces où le manioc doux a été récolté, tous les rendements estimés sont supérieurs à 3.000 kg/ha sauf dans Karuzi (1.250 kg/ha) en saison A, dans Karuzi (1.000 kg/ha), Kayanza (1.200 kg/ha)</w:t>
      </w:r>
      <w:r w:rsidR="00782283">
        <w:rPr>
          <w:rFonts w:ascii="Arial" w:hAnsi="Arial" w:cs="Arial"/>
          <w:sz w:val="20"/>
          <w:szCs w:val="20"/>
        </w:rPr>
        <w:t xml:space="preserve"> </w:t>
      </w:r>
      <w:r w:rsidRPr="00B6647E">
        <w:rPr>
          <w:rFonts w:ascii="Arial" w:hAnsi="Arial" w:cs="Arial"/>
          <w:sz w:val="20"/>
          <w:szCs w:val="20"/>
        </w:rPr>
        <w:t>et Ruyigi (8.00 kg/ha) pendant la saison B et au cours de la saison C dans les provinces de Gitega (2.375 kg/ha), Rutana (1.200 kg/ha).</w:t>
      </w:r>
    </w:p>
    <w:p w:rsidR="00066812" w:rsidRPr="00B6647E" w:rsidRDefault="00066812" w:rsidP="0042384A">
      <w:pPr>
        <w:spacing w:line="240" w:lineRule="auto"/>
        <w:rPr>
          <w:rFonts w:ascii="Arial" w:hAnsi="Arial" w:cs="Arial"/>
          <w:lang w:eastAsia="fr-FR"/>
        </w:rPr>
      </w:pPr>
    </w:p>
    <w:p w:rsidR="00066812" w:rsidRPr="00B6647E" w:rsidRDefault="00066812" w:rsidP="00833C03">
      <w:pPr>
        <w:pStyle w:val="Lgende"/>
        <w:keepNext/>
        <w:spacing w:after="120"/>
        <w:jc w:val="both"/>
        <w:rPr>
          <w:rFonts w:ascii="Arial" w:hAnsi="Arial" w:cs="Arial"/>
        </w:rPr>
      </w:pPr>
      <w:r w:rsidRPr="00B6647E">
        <w:rPr>
          <w:rFonts w:ascii="Arial" w:hAnsi="Arial" w:cs="Arial"/>
        </w:rPr>
        <w:lastRenderedPageBreak/>
        <w:t xml:space="preserve">Tableau </w:t>
      </w:r>
      <w:r w:rsidR="000A06E8" w:rsidRPr="00B6647E">
        <w:rPr>
          <w:rFonts w:ascii="Arial" w:hAnsi="Arial" w:cs="Arial"/>
        </w:rPr>
        <w:t>1</w:t>
      </w:r>
      <w:r w:rsidR="00E34AD0">
        <w:rPr>
          <w:rFonts w:ascii="Arial" w:hAnsi="Arial" w:cs="Arial"/>
        </w:rPr>
        <w:t>7</w:t>
      </w:r>
      <w:r w:rsidR="000A06E8" w:rsidRPr="00B6647E">
        <w:rPr>
          <w:rFonts w:ascii="Arial" w:hAnsi="Arial" w:cs="Arial"/>
        </w:rPr>
        <w:t>5 :</w:t>
      </w:r>
      <w:r w:rsidRPr="00B6647E">
        <w:rPr>
          <w:rFonts w:ascii="Arial" w:hAnsi="Arial" w:cs="Arial"/>
        </w:rPr>
        <w:t xml:space="preserve"> Rendement du manioc doux en culture pure par province pendant les trois saisons</w:t>
      </w:r>
    </w:p>
    <w:p w:rsidR="00066812" w:rsidRPr="00B6647E" w:rsidRDefault="006435D1" w:rsidP="00833C03">
      <w:pPr>
        <w:spacing w:after="120" w:line="240" w:lineRule="auto"/>
        <w:rPr>
          <w:rFonts w:ascii="Arial" w:hAnsi="Arial" w:cs="Arial"/>
          <w:lang w:eastAsia="fr-FR"/>
        </w:rPr>
      </w:pPr>
      <w:r w:rsidRPr="00B6647E">
        <w:rPr>
          <w:noProof/>
          <w:lang w:val="fr-FR" w:eastAsia="fr-FR"/>
        </w:rPr>
        <w:drawing>
          <wp:inline distT="0" distB="0" distL="0" distR="0">
            <wp:extent cx="3305175" cy="3867150"/>
            <wp:effectExtent l="19050" t="0" r="9525" b="0"/>
            <wp:docPr id="489"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25" cstate="print"/>
                    <a:srcRect/>
                    <a:stretch>
                      <a:fillRect/>
                    </a:stretch>
                  </pic:blipFill>
                  <pic:spPr bwMode="auto">
                    <a:xfrm>
                      <a:off x="0" y="0"/>
                      <a:ext cx="3305175" cy="3867150"/>
                    </a:xfrm>
                    <a:prstGeom prst="rect">
                      <a:avLst/>
                    </a:prstGeom>
                    <a:noFill/>
                    <a:ln w="9525">
                      <a:noFill/>
                      <a:miter lim="800000"/>
                      <a:headEnd/>
                      <a:tailEnd/>
                    </a:ln>
                  </pic:spPr>
                </pic:pic>
              </a:graphicData>
            </a:graphic>
          </wp:inline>
        </w:drawing>
      </w:r>
    </w:p>
    <w:p w:rsidR="002327AE" w:rsidRPr="00B6647E" w:rsidRDefault="002327AE" w:rsidP="00833C03">
      <w:pPr>
        <w:spacing w:after="120" w:line="240" w:lineRule="auto"/>
        <w:jc w:val="both"/>
        <w:rPr>
          <w:rFonts w:ascii="Arial" w:hAnsi="Arial" w:cs="Arial"/>
          <w:sz w:val="20"/>
          <w:szCs w:val="20"/>
        </w:rPr>
      </w:pPr>
      <w:r w:rsidRPr="00B6647E">
        <w:rPr>
          <w:rFonts w:ascii="Arial" w:hAnsi="Arial" w:cs="Arial"/>
          <w:sz w:val="20"/>
          <w:szCs w:val="20"/>
          <w:lang w:eastAsia="fr-FR"/>
        </w:rPr>
        <w:t>La patate douce en culture pure a été pratiquée dans toutes les provinces au cours des trois saisons de la campagne agricole 2011-2012 sauf dans Gitega et Rutana pendant la saison A.</w:t>
      </w:r>
    </w:p>
    <w:p w:rsidR="00066812" w:rsidRPr="00B6647E" w:rsidRDefault="00066812" w:rsidP="00833C03">
      <w:pPr>
        <w:pStyle w:val="Lgende"/>
        <w:keepNext/>
        <w:jc w:val="both"/>
        <w:rPr>
          <w:rFonts w:ascii="Arial" w:hAnsi="Arial" w:cs="Arial"/>
        </w:rPr>
      </w:pPr>
      <w:r w:rsidRPr="00B6647E">
        <w:rPr>
          <w:rFonts w:ascii="Arial" w:hAnsi="Arial" w:cs="Arial"/>
        </w:rPr>
        <w:t xml:space="preserve">Tableau </w:t>
      </w:r>
      <w:r w:rsidR="000A06E8" w:rsidRPr="00B6647E">
        <w:rPr>
          <w:rFonts w:ascii="Arial" w:hAnsi="Arial" w:cs="Arial"/>
        </w:rPr>
        <w:t>1</w:t>
      </w:r>
      <w:r w:rsidR="00E34AD0">
        <w:rPr>
          <w:rFonts w:ascii="Arial" w:hAnsi="Arial" w:cs="Arial"/>
        </w:rPr>
        <w:t>7</w:t>
      </w:r>
      <w:r w:rsidR="000A06E8" w:rsidRPr="00B6647E">
        <w:rPr>
          <w:rFonts w:ascii="Arial" w:hAnsi="Arial" w:cs="Arial"/>
        </w:rPr>
        <w:t>6 :</w:t>
      </w:r>
      <w:r w:rsidRPr="00B6647E">
        <w:rPr>
          <w:rFonts w:ascii="Arial" w:hAnsi="Arial" w:cs="Arial"/>
        </w:rPr>
        <w:t xml:space="preserve"> Rendement de la patate douce en culture pure par province pendant les trois saisons</w:t>
      </w:r>
    </w:p>
    <w:p w:rsidR="00066812" w:rsidRPr="00B6647E" w:rsidRDefault="006435D1" w:rsidP="00833C03">
      <w:pPr>
        <w:spacing w:after="0" w:line="240" w:lineRule="auto"/>
        <w:rPr>
          <w:rFonts w:ascii="Arial" w:hAnsi="Arial" w:cs="Arial"/>
          <w:lang w:eastAsia="fr-FR"/>
        </w:rPr>
      </w:pPr>
      <w:r w:rsidRPr="00B6647E">
        <w:rPr>
          <w:noProof/>
          <w:lang w:val="fr-FR" w:eastAsia="fr-FR"/>
        </w:rPr>
        <w:drawing>
          <wp:inline distT="0" distB="0" distL="0" distR="0">
            <wp:extent cx="3305175" cy="3867150"/>
            <wp:effectExtent l="19050" t="0" r="9525" b="0"/>
            <wp:docPr id="491"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26" cstate="print"/>
                    <a:srcRect/>
                    <a:stretch>
                      <a:fillRect/>
                    </a:stretch>
                  </pic:blipFill>
                  <pic:spPr bwMode="auto">
                    <a:xfrm>
                      <a:off x="0" y="0"/>
                      <a:ext cx="3305175" cy="3867150"/>
                    </a:xfrm>
                    <a:prstGeom prst="rect">
                      <a:avLst/>
                    </a:prstGeom>
                    <a:noFill/>
                    <a:ln w="9525">
                      <a:noFill/>
                      <a:miter lim="800000"/>
                      <a:headEnd/>
                      <a:tailEnd/>
                    </a:ln>
                  </pic:spPr>
                </pic:pic>
              </a:graphicData>
            </a:graphic>
          </wp:inline>
        </w:drawing>
      </w:r>
    </w:p>
    <w:p w:rsidR="00833C03" w:rsidRPr="00B6647E" w:rsidRDefault="00833C03" w:rsidP="00833C03">
      <w:pPr>
        <w:spacing w:after="120" w:line="240" w:lineRule="auto"/>
        <w:jc w:val="both"/>
        <w:rPr>
          <w:rFonts w:ascii="Arial" w:hAnsi="Arial" w:cs="Arial"/>
          <w:sz w:val="20"/>
          <w:szCs w:val="20"/>
        </w:rPr>
      </w:pPr>
      <w:r w:rsidRPr="00B6647E">
        <w:rPr>
          <w:rFonts w:ascii="Arial" w:hAnsi="Arial" w:cs="Arial"/>
          <w:sz w:val="20"/>
          <w:szCs w:val="20"/>
        </w:rPr>
        <w:lastRenderedPageBreak/>
        <w:t>La moyenne nationale du rendement de la patate douce en culture pure estimées à 5.557 kg/ha en saison A est plus faible que celles des saisons B (6.769 kg/ha) et C (6.466 kg/ha).</w:t>
      </w:r>
    </w:p>
    <w:p w:rsidR="00833C03" w:rsidRPr="00B6647E" w:rsidRDefault="00833C03" w:rsidP="00833C03">
      <w:pPr>
        <w:spacing w:after="120" w:line="240" w:lineRule="auto"/>
        <w:jc w:val="both"/>
        <w:rPr>
          <w:rFonts w:ascii="Arial" w:hAnsi="Arial" w:cs="Arial"/>
          <w:sz w:val="20"/>
          <w:szCs w:val="20"/>
          <w:lang w:eastAsia="fr-FR"/>
        </w:rPr>
      </w:pPr>
      <w:r w:rsidRPr="00B6647E">
        <w:rPr>
          <w:rFonts w:ascii="Arial" w:hAnsi="Arial" w:cs="Arial"/>
          <w:sz w:val="20"/>
          <w:szCs w:val="20"/>
          <w:lang w:eastAsia="fr-FR"/>
        </w:rPr>
        <w:t>Les rendements en pur de la patate douce sont pratiquement tous supérieurs à 5.000 kg/ha sauf dans les provinces de Muramvya (2.946 kg/ha), Ngozi (2.400 kg/ha) et Ruyigi (4.150 kg/ha) pendant la saison A, au cours de la saison B dans Cankuzo (4.869 kg/ha) et Ruyigi (4.021 kg/ha) et en saison C dans les provinces de Gitega (4.293 kg/ha), Ngozi (4.784 kg/ha) et Ruyigi (4.030 kg/ha).</w:t>
      </w:r>
    </w:p>
    <w:p w:rsidR="002E7AA4" w:rsidRPr="00B6647E" w:rsidRDefault="002E7AA4" w:rsidP="0042384A">
      <w:pPr>
        <w:spacing w:line="240" w:lineRule="auto"/>
        <w:jc w:val="both"/>
        <w:rPr>
          <w:rFonts w:ascii="Arial" w:hAnsi="Arial" w:cs="Arial"/>
          <w:sz w:val="20"/>
          <w:szCs w:val="20"/>
          <w:lang w:eastAsia="fr-FR"/>
        </w:rPr>
      </w:pPr>
      <w:r w:rsidRPr="00B6647E">
        <w:rPr>
          <w:rFonts w:ascii="Arial" w:hAnsi="Arial" w:cs="Arial"/>
          <w:sz w:val="20"/>
          <w:szCs w:val="20"/>
          <w:lang w:eastAsia="fr-FR"/>
        </w:rPr>
        <w:t>Pendant les trois saisons, la pomme de terre n’a pas été pratiquée comme culture pure dans la province de Bubanza. Par ailleurs, Bujumbura rural au cours des saisons A et B, Cankuzo  en saison C et Cibitoke pendant les saisons B et C n’ont pas enregistré de la pomme de terre en culture pure.</w:t>
      </w:r>
    </w:p>
    <w:p w:rsidR="002E7AA4" w:rsidRPr="00B6647E" w:rsidRDefault="002E7AA4" w:rsidP="0042384A">
      <w:pPr>
        <w:spacing w:line="240" w:lineRule="auto"/>
        <w:jc w:val="both"/>
        <w:rPr>
          <w:rFonts w:ascii="Arial" w:hAnsi="Arial" w:cs="Arial"/>
          <w:sz w:val="20"/>
          <w:szCs w:val="20"/>
        </w:rPr>
      </w:pPr>
      <w:r w:rsidRPr="00B6647E">
        <w:rPr>
          <w:rFonts w:ascii="Arial" w:hAnsi="Arial" w:cs="Arial"/>
          <w:sz w:val="20"/>
          <w:szCs w:val="20"/>
        </w:rPr>
        <w:t>Au niveau national, les rendements moyens de la patate douce en culture pure ont été estimés à 3.783 kg/ha en saison A, pendant la saison B, à 3.139 kg/ha et à 4.328 kg/ha au cours de la saison C.</w:t>
      </w:r>
    </w:p>
    <w:p w:rsidR="00066812" w:rsidRPr="00B6647E" w:rsidRDefault="00CC2D1F" w:rsidP="0042384A">
      <w:pPr>
        <w:spacing w:line="240" w:lineRule="auto"/>
        <w:jc w:val="both"/>
        <w:rPr>
          <w:rFonts w:ascii="Arial" w:hAnsi="Arial" w:cs="Arial"/>
          <w:sz w:val="20"/>
          <w:szCs w:val="20"/>
          <w:lang w:eastAsia="fr-FR"/>
        </w:rPr>
      </w:pPr>
      <w:r w:rsidRPr="00B6647E">
        <w:rPr>
          <w:rFonts w:ascii="Arial" w:hAnsi="Arial" w:cs="Arial"/>
          <w:sz w:val="20"/>
          <w:szCs w:val="20"/>
          <w:lang w:eastAsia="fr-FR"/>
        </w:rPr>
        <w:t>Le plus élevé de pomme de terre en culture pure a été estimé à 5.000 kg/ha en e</w:t>
      </w:r>
      <w:r w:rsidR="002E7AA4" w:rsidRPr="00B6647E">
        <w:rPr>
          <w:rFonts w:ascii="Arial" w:hAnsi="Arial" w:cs="Arial"/>
          <w:sz w:val="20"/>
          <w:szCs w:val="20"/>
          <w:lang w:eastAsia="fr-FR"/>
        </w:rPr>
        <w:t>n saison A dans Karuzi, Muyinga, Ngozi et Rutana</w:t>
      </w:r>
      <w:r w:rsidRPr="00B6647E">
        <w:rPr>
          <w:rFonts w:ascii="Arial" w:hAnsi="Arial" w:cs="Arial"/>
          <w:sz w:val="20"/>
          <w:szCs w:val="20"/>
          <w:lang w:eastAsia="fr-FR"/>
        </w:rPr>
        <w:t>. Pendant la saison B, il a été enregistré dans Karuzi (4.850 kg/ha) et au cours de la saison C dans les provinces de Karuzi (5.000 kg/ha), Ngozi (4.907 kg/ha).</w:t>
      </w:r>
    </w:p>
    <w:p w:rsidR="00066812" w:rsidRPr="00B6647E" w:rsidRDefault="00066812" w:rsidP="0042384A">
      <w:pPr>
        <w:pStyle w:val="Lgende"/>
        <w:keepNext/>
        <w:jc w:val="both"/>
        <w:rPr>
          <w:rFonts w:ascii="Arial" w:hAnsi="Arial" w:cs="Arial"/>
        </w:rPr>
      </w:pPr>
      <w:r w:rsidRPr="00B6647E">
        <w:rPr>
          <w:rFonts w:ascii="Arial" w:hAnsi="Arial" w:cs="Arial"/>
        </w:rPr>
        <w:t xml:space="preserve">Tableau </w:t>
      </w:r>
      <w:r w:rsidR="000A06E8" w:rsidRPr="00B6647E">
        <w:rPr>
          <w:rFonts w:ascii="Arial" w:hAnsi="Arial" w:cs="Arial"/>
        </w:rPr>
        <w:t>1</w:t>
      </w:r>
      <w:r w:rsidR="00E34AD0">
        <w:rPr>
          <w:rFonts w:ascii="Arial" w:hAnsi="Arial" w:cs="Arial"/>
        </w:rPr>
        <w:t>7</w:t>
      </w:r>
      <w:r w:rsidR="000A06E8" w:rsidRPr="00B6647E">
        <w:rPr>
          <w:rFonts w:ascii="Arial" w:hAnsi="Arial" w:cs="Arial"/>
        </w:rPr>
        <w:t>7 :</w:t>
      </w:r>
      <w:r w:rsidRPr="00B6647E">
        <w:rPr>
          <w:rFonts w:ascii="Arial" w:hAnsi="Arial" w:cs="Arial"/>
        </w:rPr>
        <w:t xml:space="preserve"> Rendement de la pomme de terre en culture pure par province pendant les trois saisons</w:t>
      </w:r>
    </w:p>
    <w:p w:rsidR="00066812" w:rsidRPr="00B6647E" w:rsidRDefault="006435D1" w:rsidP="0042384A">
      <w:pPr>
        <w:spacing w:line="240" w:lineRule="auto"/>
        <w:rPr>
          <w:rFonts w:ascii="Arial" w:hAnsi="Arial" w:cs="Arial"/>
          <w:lang w:eastAsia="fr-FR"/>
        </w:rPr>
      </w:pPr>
      <w:r w:rsidRPr="00B6647E">
        <w:rPr>
          <w:noProof/>
          <w:lang w:val="fr-FR" w:eastAsia="fr-FR"/>
        </w:rPr>
        <w:drawing>
          <wp:inline distT="0" distB="0" distL="0" distR="0">
            <wp:extent cx="3305175" cy="3867150"/>
            <wp:effectExtent l="19050" t="0" r="9525" b="0"/>
            <wp:docPr id="492"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27" cstate="print"/>
                    <a:srcRect/>
                    <a:stretch>
                      <a:fillRect/>
                    </a:stretch>
                  </pic:blipFill>
                  <pic:spPr bwMode="auto">
                    <a:xfrm>
                      <a:off x="0" y="0"/>
                      <a:ext cx="3305175" cy="3867150"/>
                    </a:xfrm>
                    <a:prstGeom prst="rect">
                      <a:avLst/>
                    </a:prstGeom>
                    <a:noFill/>
                    <a:ln w="9525">
                      <a:noFill/>
                      <a:miter lim="800000"/>
                      <a:headEnd/>
                      <a:tailEnd/>
                    </a:ln>
                  </pic:spPr>
                </pic:pic>
              </a:graphicData>
            </a:graphic>
          </wp:inline>
        </w:drawing>
      </w:r>
    </w:p>
    <w:p w:rsidR="00F22554" w:rsidRPr="00B6647E" w:rsidRDefault="00F22554" w:rsidP="0042384A">
      <w:pPr>
        <w:spacing w:line="240" w:lineRule="auto"/>
        <w:jc w:val="both"/>
        <w:rPr>
          <w:rFonts w:ascii="Arial" w:hAnsi="Arial" w:cs="Arial"/>
          <w:sz w:val="20"/>
          <w:szCs w:val="20"/>
          <w:lang w:eastAsia="fr-FR"/>
        </w:rPr>
      </w:pPr>
      <w:r w:rsidRPr="00B6647E">
        <w:rPr>
          <w:rFonts w:ascii="Arial" w:hAnsi="Arial" w:cs="Arial"/>
          <w:sz w:val="20"/>
          <w:szCs w:val="20"/>
          <w:lang w:eastAsia="fr-FR"/>
        </w:rPr>
        <w:t xml:space="preserve">Tandis que la colocase en culture pure a été pratiquée dans toutes les provinces en saison B sauf à Ngozi et au cours de la saison C sauf dans Muyinga, Ngozi et </w:t>
      </w:r>
      <w:r w:rsidR="006D1FD2" w:rsidRPr="00B6647E">
        <w:rPr>
          <w:rFonts w:ascii="Arial" w:hAnsi="Arial" w:cs="Arial"/>
          <w:sz w:val="20"/>
          <w:szCs w:val="20"/>
          <w:lang w:eastAsia="fr-FR"/>
        </w:rPr>
        <w:t>Rutana,</w:t>
      </w:r>
      <w:r w:rsidRPr="00B6647E">
        <w:rPr>
          <w:rFonts w:ascii="Arial" w:hAnsi="Arial" w:cs="Arial"/>
          <w:sz w:val="20"/>
          <w:szCs w:val="20"/>
          <w:lang w:eastAsia="fr-FR"/>
        </w:rPr>
        <w:t xml:space="preserve"> elle n’a été enregistrée que dans la seule province de Cankuzo (1.000 kg/ha) pendant la saison A. Les moyennes nationales des rendements de la colocase en pur sont 3.609 kg/ha pendant la saison B et de 3.703 kg/ha au cours de la saison C </w:t>
      </w:r>
    </w:p>
    <w:p w:rsidR="00066812" w:rsidRPr="00B6647E" w:rsidRDefault="00066812" w:rsidP="0042384A">
      <w:pPr>
        <w:spacing w:line="240" w:lineRule="auto"/>
        <w:rPr>
          <w:rFonts w:ascii="Arial" w:hAnsi="Arial" w:cs="Arial"/>
          <w:lang w:eastAsia="fr-FR"/>
        </w:rPr>
      </w:pPr>
    </w:p>
    <w:p w:rsidR="00066812" w:rsidRPr="00B6647E" w:rsidRDefault="000A06E8" w:rsidP="00833C03">
      <w:pPr>
        <w:pStyle w:val="Lgende"/>
        <w:keepNext/>
        <w:spacing w:after="120"/>
        <w:jc w:val="both"/>
        <w:rPr>
          <w:rFonts w:ascii="Arial" w:hAnsi="Arial" w:cs="Arial"/>
        </w:rPr>
      </w:pPr>
      <w:r w:rsidRPr="00B6647E">
        <w:rPr>
          <w:rFonts w:ascii="Arial" w:hAnsi="Arial" w:cs="Arial"/>
        </w:rPr>
        <w:lastRenderedPageBreak/>
        <w:t>Tableau 1</w:t>
      </w:r>
      <w:r w:rsidR="00E34AD0">
        <w:rPr>
          <w:rFonts w:ascii="Arial" w:hAnsi="Arial" w:cs="Arial"/>
        </w:rPr>
        <w:t>7</w:t>
      </w:r>
      <w:r w:rsidRPr="00B6647E">
        <w:rPr>
          <w:rFonts w:ascii="Arial" w:hAnsi="Arial" w:cs="Arial"/>
        </w:rPr>
        <w:t>8 :</w:t>
      </w:r>
      <w:r w:rsidR="00066812" w:rsidRPr="00B6647E">
        <w:rPr>
          <w:rFonts w:ascii="Arial" w:hAnsi="Arial" w:cs="Arial"/>
        </w:rPr>
        <w:t xml:space="preserve"> Rendement de la colocase en culture pure par province pendant les trois saisons</w:t>
      </w:r>
    </w:p>
    <w:p w:rsidR="00066812" w:rsidRPr="00B6647E" w:rsidRDefault="006435D1" w:rsidP="00833C03">
      <w:pPr>
        <w:spacing w:after="120" w:line="240" w:lineRule="auto"/>
        <w:rPr>
          <w:rFonts w:ascii="Arial" w:hAnsi="Arial" w:cs="Arial"/>
          <w:lang w:eastAsia="fr-FR"/>
        </w:rPr>
      </w:pPr>
      <w:r w:rsidRPr="00B6647E">
        <w:rPr>
          <w:noProof/>
          <w:lang w:val="fr-FR" w:eastAsia="fr-FR"/>
        </w:rPr>
        <w:drawing>
          <wp:inline distT="0" distB="0" distL="0" distR="0">
            <wp:extent cx="3305175" cy="3867150"/>
            <wp:effectExtent l="19050" t="0" r="9525" b="0"/>
            <wp:docPr id="493"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28" cstate="print"/>
                    <a:srcRect/>
                    <a:stretch>
                      <a:fillRect/>
                    </a:stretch>
                  </pic:blipFill>
                  <pic:spPr bwMode="auto">
                    <a:xfrm>
                      <a:off x="0" y="0"/>
                      <a:ext cx="3305175" cy="3867150"/>
                    </a:xfrm>
                    <a:prstGeom prst="rect">
                      <a:avLst/>
                    </a:prstGeom>
                    <a:noFill/>
                    <a:ln w="9525">
                      <a:noFill/>
                      <a:miter lim="800000"/>
                      <a:headEnd/>
                      <a:tailEnd/>
                    </a:ln>
                  </pic:spPr>
                </pic:pic>
              </a:graphicData>
            </a:graphic>
          </wp:inline>
        </w:drawing>
      </w:r>
    </w:p>
    <w:p w:rsidR="00F22554" w:rsidRPr="00B6647E" w:rsidRDefault="00F22554" w:rsidP="00833C03">
      <w:pPr>
        <w:spacing w:after="120" w:line="240" w:lineRule="auto"/>
        <w:jc w:val="both"/>
        <w:rPr>
          <w:rFonts w:ascii="Arial" w:hAnsi="Arial" w:cs="Arial"/>
          <w:sz w:val="20"/>
          <w:szCs w:val="20"/>
          <w:lang w:eastAsia="fr-FR"/>
        </w:rPr>
      </w:pPr>
      <w:r w:rsidRPr="00B6647E">
        <w:rPr>
          <w:rFonts w:ascii="Arial" w:hAnsi="Arial" w:cs="Arial"/>
          <w:sz w:val="20"/>
          <w:szCs w:val="20"/>
          <w:lang w:eastAsia="fr-FR"/>
        </w:rPr>
        <w:t>L’igname en culture pure n’a pas été enregistré au cours de la saison A. Il l</w:t>
      </w:r>
      <w:r w:rsidR="0042384A" w:rsidRPr="00B6647E">
        <w:rPr>
          <w:rFonts w:ascii="Arial" w:hAnsi="Arial" w:cs="Arial"/>
          <w:sz w:val="20"/>
          <w:szCs w:val="20"/>
          <w:lang w:eastAsia="fr-FR"/>
        </w:rPr>
        <w:t>’a été dans trois provinces (Bururi, Cankuzo et Cibitoke) p</w:t>
      </w:r>
      <w:r w:rsidRPr="00B6647E">
        <w:rPr>
          <w:rFonts w:ascii="Arial" w:hAnsi="Arial" w:cs="Arial"/>
          <w:sz w:val="20"/>
          <w:szCs w:val="20"/>
          <w:lang w:eastAsia="fr-FR"/>
        </w:rPr>
        <w:t>endant l</w:t>
      </w:r>
      <w:r w:rsidR="0042384A" w:rsidRPr="00B6647E">
        <w:rPr>
          <w:rFonts w:ascii="Arial" w:hAnsi="Arial" w:cs="Arial"/>
          <w:sz w:val="20"/>
          <w:szCs w:val="20"/>
          <w:lang w:eastAsia="fr-FR"/>
        </w:rPr>
        <w:t>es</w:t>
      </w:r>
      <w:r w:rsidRPr="00B6647E">
        <w:rPr>
          <w:rFonts w:ascii="Arial" w:hAnsi="Arial" w:cs="Arial"/>
          <w:sz w:val="20"/>
          <w:szCs w:val="20"/>
          <w:lang w:eastAsia="fr-FR"/>
        </w:rPr>
        <w:t xml:space="preserve"> saison</w:t>
      </w:r>
      <w:r w:rsidR="0042384A" w:rsidRPr="00B6647E">
        <w:rPr>
          <w:rFonts w:ascii="Arial" w:hAnsi="Arial" w:cs="Arial"/>
          <w:sz w:val="20"/>
          <w:szCs w:val="20"/>
          <w:lang w:eastAsia="fr-FR"/>
        </w:rPr>
        <w:t>s</w:t>
      </w:r>
      <w:r w:rsidRPr="00B6647E">
        <w:rPr>
          <w:rFonts w:ascii="Arial" w:hAnsi="Arial" w:cs="Arial"/>
          <w:sz w:val="20"/>
          <w:szCs w:val="20"/>
          <w:lang w:eastAsia="fr-FR"/>
        </w:rPr>
        <w:t xml:space="preserve"> B</w:t>
      </w:r>
      <w:r w:rsidR="0042384A" w:rsidRPr="00B6647E">
        <w:rPr>
          <w:rFonts w:ascii="Arial" w:hAnsi="Arial" w:cs="Arial"/>
          <w:sz w:val="20"/>
          <w:szCs w:val="20"/>
          <w:lang w:eastAsia="fr-FR"/>
        </w:rPr>
        <w:t xml:space="preserve"> et C.</w:t>
      </w:r>
    </w:p>
    <w:p w:rsidR="00066812" w:rsidRPr="00B6647E" w:rsidRDefault="00066812" w:rsidP="00833C03">
      <w:pPr>
        <w:pStyle w:val="Lgende"/>
        <w:keepNext/>
        <w:spacing w:after="120"/>
        <w:jc w:val="both"/>
        <w:rPr>
          <w:rFonts w:ascii="Arial" w:hAnsi="Arial" w:cs="Arial"/>
        </w:rPr>
      </w:pPr>
      <w:r w:rsidRPr="00B6647E">
        <w:rPr>
          <w:rFonts w:ascii="Arial" w:hAnsi="Arial" w:cs="Arial"/>
        </w:rPr>
        <w:t xml:space="preserve">Tableau </w:t>
      </w:r>
      <w:r w:rsidR="000A06E8" w:rsidRPr="00B6647E">
        <w:rPr>
          <w:rFonts w:ascii="Arial" w:hAnsi="Arial" w:cs="Arial"/>
        </w:rPr>
        <w:t>1</w:t>
      </w:r>
      <w:r w:rsidR="00E34AD0">
        <w:rPr>
          <w:rFonts w:ascii="Arial" w:hAnsi="Arial" w:cs="Arial"/>
        </w:rPr>
        <w:t>7</w:t>
      </w:r>
      <w:r w:rsidR="000A06E8" w:rsidRPr="00B6647E">
        <w:rPr>
          <w:rFonts w:ascii="Arial" w:hAnsi="Arial" w:cs="Arial"/>
        </w:rPr>
        <w:t>9 :</w:t>
      </w:r>
      <w:r w:rsidRPr="00B6647E">
        <w:rPr>
          <w:rFonts w:ascii="Arial" w:hAnsi="Arial" w:cs="Arial"/>
        </w:rPr>
        <w:t xml:space="preserve"> Rendement de  l’igname en culture pure par province pendant les trois saisons</w:t>
      </w:r>
    </w:p>
    <w:p w:rsidR="00A22DB4" w:rsidRPr="00B6647E" w:rsidRDefault="006435D1" w:rsidP="00833C03">
      <w:pPr>
        <w:spacing w:after="120" w:line="240" w:lineRule="auto"/>
        <w:jc w:val="both"/>
        <w:rPr>
          <w:rFonts w:ascii="Arial" w:hAnsi="Arial" w:cs="Arial"/>
          <w:lang w:eastAsia="fr-FR"/>
        </w:rPr>
      </w:pPr>
      <w:r w:rsidRPr="00B6647E">
        <w:rPr>
          <w:noProof/>
          <w:lang w:val="fr-FR" w:eastAsia="fr-FR"/>
        </w:rPr>
        <w:drawing>
          <wp:inline distT="0" distB="0" distL="0" distR="0">
            <wp:extent cx="3305175" cy="3867150"/>
            <wp:effectExtent l="19050" t="0" r="9525" b="0"/>
            <wp:docPr id="494"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29" cstate="print"/>
                    <a:srcRect/>
                    <a:stretch>
                      <a:fillRect/>
                    </a:stretch>
                  </pic:blipFill>
                  <pic:spPr bwMode="auto">
                    <a:xfrm>
                      <a:off x="0" y="0"/>
                      <a:ext cx="3305175" cy="3867150"/>
                    </a:xfrm>
                    <a:prstGeom prst="rect">
                      <a:avLst/>
                    </a:prstGeom>
                    <a:noFill/>
                    <a:ln w="9525">
                      <a:noFill/>
                      <a:miter lim="800000"/>
                      <a:headEnd/>
                      <a:tailEnd/>
                    </a:ln>
                  </pic:spPr>
                </pic:pic>
              </a:graphicData>
            </a:graphic>
          </wp:inline>
        </w:drawing>
      </w:r>
    </w:p>
    <w:p w:rsidR="00833C03" w:rsidRPr="00B6647E" w:rsidRDefault="00833C03" w:rsidP="00833C03">
      <w:pPr>
        <w:spacing w:after="120" w:line="240" w:lineRule="auto"/>
        <w:jc w:val="both"/>
        <w:rPr>
          <w:rFonts w:ascii="Arial" w:hAnsi="Arial" w:cs="Arial"/>
          <w:sz w:val="20"/>
          <w:szCs w:val="20"/>
          <w:lang w:eastAsia="fr-FR"/>
        </w:rPr>
      </w:pPr>
      <w:r w:rsidRPr="00B6647E">
        <w:rPr>
          <w:rFonts w:ascii="Arial" w:hAnsi="Arial" w:cs="Arial"/>
          <w:sz w:val="20"/>
          <w:szCs w:val="20"/>
          <w:lang w:eastAsia="fr-FR"/>
        </w:rPr>
        <w:lastRenderedPageBreak/>
        <w:t>On note en plus Bubanza en saison B et Gitega au cours de la saison  C. Les rendements moyens estimés sont de 4.629 kg/ha en saison B et 4.150 kg/ha au cours de la saison C.</w:t>
      </w:r>
    </w:p>
    <w:p w:rsidR="000552AE" w:rsidRPr="00B6647E" w:rsidRDefault="000552AE" w:rsidP="00C84C4B">
      <w:pPr>
        <w:pStyle w:val="Titre3"/>
        <w:keepNext w:val="0"/>
        <w:numPr>
          <w:ilvl w:val="2"/>
          <w:numId w:val="1"/>
        </w:numPr>
        <w:spacing w:before="200" w:after="120"/>
        <w:ind w:left="0" w:firstLine="0"/>
        <w:rPr>
          <w:rFonts w:cs="Arial"/>
          <w:szCs w:val="20"/>
        </w:rPr>
      </w:pPr>
      <w:bookmarkStart w:id="243" w:name="_Toc354313890"/>
      <w:r w:rsidRPr="00B6647E">
        <w:rPr>
          <w:rFonts w:cs="Arial"/>
          <w:szCs w:val="20"/>
        </w:rPr>
        <w:t>Productions</w:t>
      </w:r>
      <w:bookmarkEnd w:id="243"/>
    </w:p>
    <w:p w:rsidR="00E20D93" w:rsidRPr="00B6647E" w:rsidRDefault="00E20D93" w:rsidP="00F0613D">
      <w:pPr>
        <w:spacing w:line="240" w:lineRule="auto"/>
        <w:jc w:val="both"/>
        <w:rPr>
          <w:rFonts w:ascii="Arial" w:hAnsi="Arial" w:cs="Arial"/>
          <w:sz w:val="20"/>
          <w:szCs w:val="20"/>
          <w:lang w:eastAsia="fr-FR"/>
        </w:rPr>
      </w:pPr>
      <w:r w:rsidRPr="00B6647E">
        <w:rPr>
          <w:rFonts w:ascii="Arial" w:hAnsi="Arial" w:cs="Arial"/>
          <w:sz w:val="20"/>
          <w:szCs w:val="20"/>
          <w:lang w:eastAsia="fr-FR"/>
        </w:rPr>
        <w:t>La production totale de tubercules et racines(manioc amer, manioc doux, patate douce, pomme de terre, colocase et igname) pendant la campagne agricole 2011-2012 est estimée à 2.051.323 tonnes composées de 367.075 tonnes de la saison A (17,9%), 1.051.305 tonnes de la saison B (51,2%) et 632.943 tonnes produites au cours de la saison C (30,9%).</w:t>
      </w:r>
    </w:p>
    <w:p w:rsidR="00E20D93" w:rsidRPr="00B6647E" w:rsidRDefault="00E20D93" w:rsidP="00F0613D">
      <w:pPr>
        <w:spacing w:line="240" w:lineRule="auto"/>
        <w:jc w:val="both"/>
        <w:rPr>
          <w:rFonts w:ascii="Arial" w:hAnsi="Arial" w:cs="Arial"/>
          <w:sz w:val="20"/>
          <w:szCs w:val="20"/>
          <w:lang w:eastAsia="fr-FR"/>
        </w:rPr>
      </w:pPr>
      <w:r w:rsidRPr="00B6647E">
        <w:rPr>
          <w:rFonts w:ascii="Arial" w:hAnsi="Arial" w:cs="Arial"/>
          <w:sz w:val="20"/>
          <w:szCs w:val="20"/>
          <w:lang w:eastAsia="fr-FR"/>
        </w:rPr>
        <w:t>Cette production est constituée de 1.046.932 tonnes de manioc amer (</w:t>
      </w:r>
      <w:r w:rsidR="00075EFA" w:rsidRPr="00B6647E">
        <w:rPr>
          <w:rFonts w:ascii="Arial" w:hAnsi="Arial" w:cs="Arial"/>
          <w:sz w:val="20"/>
          <w:szCs w:val="20"/>
          <w:lang w:eastAsia="fr-FR"/>
        </w:rPr>
        <w:t>5</w:t>
      </w:r>
      <w:r w:rsidRPr="00B6647E">
        <w:rPr>
          <w:rFonts w:ascii="Arial" w:hAnsi="Arial" w:cs="Arial"/>
          <w:sz w:val="20"/>
          <w:szCs w:val="20"/>
          <w:lang w:eastAsia="fr-FR"/>
        </w:rPr>
        <w:t>1%), de 197.675 tonnes de manioc doux (</w:t>
      </w:r>
      <w:r w:rsidR="00075EFA" w:rsidRPr="00B6647E">
        <w:rPr>
          <w:rFonts w:ascii="Arial" w:hAnsi="Arial" w:cs="Arial"/>
          <w:sz w:val="20"/>
          <w:szCs w:val="20"/>
          <w:lang w:eastAsia="fr-FR"/>
        </w:rPr>
        <w:t>9,6</w:t>
      </w:r>
      <w:r w:rsidRPr="00B6647E">
        <w:rPr>
          <w:rFonts w:ascii="Arial" w:hAnsi="Arial" w:cs="Arial"/>
          <w:sz w:val="20"/>
          <w:szCs w:val="20"/>
          <w:lang w:eastAsia="fr-FR"/>
        </w:rPr>
        <w:t>%), 659.593 tonnes de patate douce</w:t>
      </w:r>
      <w:r w:rsidR="00075EFA" w:rsidRPr="00B6647E">
        <w:rPr>
          <w:rFonts w:ascii="Arial" w:hAnsi="Arial" w:cs="Arial"/>
          <w:sz w:val="20"/>
          <w:szCs w:val="20"/>
          <w:lang w:eastAsia="fr-FR"/>
        </w:rPr>
        <w:t xml:space="preserve"> (32,2%)</w:t>
      </w:r>
      <w:r w:rsidRPr="00B6647E">
        <w:rPr>
          <w:rFonts w:ascii="Arial" w:hAnsi="Arial" w:cs="Arial"/>
          <w:sz w:val="20"/>
          <w:szCs w:val="20"/>
          <w:lang w:eastAsia="fr-FR"/>
        </w:rPr>
        <w:t>, 47.841 tonnes de pomme de terre</w:t>
      </w:r>
      <w:r w:rsidR="00075EFA" w:rsidRPr="00B6647E">
        <w:rPr>
          <w:rFonts w:ascii="Arial" w:hAnsi="Arial" w:cs="Arial"/>
          <w:sz w:val="20"/>
          <w:szCs w:val="20"/>
          <w:lang w:eastAsia="fr-FR"/>
        </w:rPr>
        <w:t xml:space="preserve"> (2,3%)</w:t>
      </w:r>
      <w:r w:rsidRPr="00B6647E">
        <w:rPr>
          <w:rFonts w:ascii="Arial" w:hAnsi="Arial" w:cs="Arial"/>
          <w:sz w:val="20"/>
          <w:szCs w:val="20"/>
          <w:lang w:eastAsia="fr-FR"/>
        </w:rPr>
        <w:t xml:space="preserve">, </w:t>
      </w:r>
      <w:r w:rsidR="00075EFA" w:rsidRPr="00B6647E">
        <w:rPr>
          <w:rFonts w:ascii="Arial" w:hAnsi="Arial" w:cs="Arial"/>
          <w:sz w:val="20"/>
          <w:szCs w:val="20"/>
          <w:lang w:eastAsia="fr-FR"/>
        </w:rPr>
        <w:t xml:space="preserve">92.973 tonnes de colocase (4,5%) </w:t>
      </w:r>
      <w:r w:rsidRPr="00B6647E">
        <w:rPr>
          <w:rFonts w:ascii="Arial" w:hAnsi="Arial" w:cs="Arial"/>
          <w:sz w:val="20"/>
          <w:szCs w:val="20"/>
          <w:lang w:eastAsia="fr-FR"/>
        </w:rPr>
        <w:t xml:space="preserve">et de </w:t>
      </w:r>
      <w:r w:rsidR="00075EFA" w:rsidRPr="00B6647E">
        <w:rPr>
          <w:rFonts w:ascii="Arial" w:hAnsi="Arial" w:cs="Arial"/>
          <w:sz w:val="20"/>
          <w:szCs w:val="20"/>
          <w:lang w:eastAsia="fr-FR"/>
        </w:rPr>
        <w:t>6.309 tonnes d’igname</w:t>
      </w:r>
      <w:r w:rsidRPr="00B6647E">
        <w:rPr>
          <w:rFonts w:ascii="Arial" w:hAnsi="Arial" w:cs="Arial"/>
          <w:sz w:val="20"/>
          <w:szCs w:val="20"/>
          <w:lang w:eastAsia="fr-FR"/>
        </w:rPr>
        <w:t xml:space="preserve"> (</w:t>
      </w:r>
      <w:r w:rsidR="00075EFA" w:rsidRPr="00B6647E">
        <w:rPr>
          <w:rFonts w:ascii="Arial" w:hAnsi="Arial" w:cs="Arial"/>
          <w:sz w:val="20"/>
          <w:szCs w:val="20"/>
          <w:lang w:eastAsia="fr-FR"/>
        </w:rPr>
        <w:t>0,3</w:t>
      </w:r>
      <w:r w:rsidRPr="00B6647E">
        <w:rPr>
          <w:rFonts w:ascii="Arial" w:hAnsi="Arial" w:cs="Arial"/>
          <w:sz w:val="20"/>
          <w:szCs w:val="20"/>
          <w:lang w:eastAsia="fr-FR"/>
        </w:rPr>
        <w:t>%).</w:t>
      </w:r>
    </w:p>
    <w:p w:rsidR="00C173BF" w:rsidRPr="00B6647E" w:rsidRDefault="00C173BF" w:rsidP="006F5A28">
      <w:pPr>
        <w:spacing w:line="240" w:lineRule="auto"/>
        <w:rPr>
          <w:rFonts w:ascii="Arial" w:hAnsi="Arial" w:cs="Arial"/>
          <w:b/>
          <w:sz w:val="20"/>
          <w:szCs w:val="20"/>
          <w:lang w:val="fr-FR" w:eastAsia="fr-FR"/>
        </w:rPr>
      </w:pPr>
      <w:r w:rsidRPr="00B6647E">
        <w:rPr>
          <w:rFonts w:ascii="Arial" w:hAnsi="Arial" w:cs="Arial"/>
          <w:b/>
          <w:sz w:val="20"/>
          <w:szCs w:val="20"/>
          <w:lang w:val="fr-FR" w:eastAsia="fr-FR"/>
        </w:rPr>
        <w:t xml:space="preserve">Graphique </w:t>
      </w:r>
      <w:r w:rsidR="007F30DD">
        <w:rPr>
          <w:rFonts w:ascii="Arial" w:hAnsi="Arial" w:cs="Arial"/>
          <w:b/>
          <w:sz w:val="20"/>
          <w:szCs w:val="20"/>
          <w:lang w:val="fr-FR" w:eastAsia="fr-FR"/>
        </w:rPr>
        <w:t>21</w:t>
      </w:r>
      <w:r w:rsidRPr="00B6647E">
        <w:rPr>
          <w:rFonts w:ascii="Arial" w:hAnsi="Arial" w:cs="Arial"/>
          <w:b/>
          <w:sz w:val="20"/>
          <w:szCs w:val="20"/>
          <w:lang w:val="fr-FR" w:eastAsia="fr-FR"/>
        </w:rPr>
        <w:t> : Production de tubercules et racines par région naturelle (tonnes)</w:t>
      </w:r>
    </w:p>
    <w:p w:rsidR="00E20D93" w:rsidRPr="00B6647E" w:rsidRDefault="00C173BF" w:rsidP="00F0613D">
      <w:pPr>
        <w:spacing w:line="240" w:lineRule="auto"/>
        <w:jc w:val="both"/>
        <w:rPr>
          <w:rFonts w:ascii="Arial" w:hAnsi="Arial" w:cs="Arial"/>
          <w:sz w:val="20"/>
          <w:szCs w:val="20"/>
          <w:lang w:val="fr-FR" w:eastAsia="fr-FR"/>
        </w:rPr>
      </w:pPr>
      <w:r w:rsidRPr="00B6647E">
        <w:rPr>
          <w:rFonts w:ascii="Arial" w:hAnsi="Arial" w:cs="Arial"/>
          <w:noProof/>
          <w:sz w:val="20"/>
          <w:szCs w:val="20"/>
          <w:lang w:val="fr-FR" w:eastAsia="fr-FR"/>
        </w:rPr>
        <w:drawing>
          <wp:inline distT="0" distB="0" distL="0" distR="0">
            <wp:extent cx="5765062" cy="3289668"/>
            <wp:effectExtent l="19050" t="0" r="7088" b="0"/>
            <wp:docPr id="1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0" cstate="print"/>
                    <a:srcRect/>
                    <a:stretch>
                      <a:fillRect/>
                    </a:stretch>
                  </pic:blipFill>
                  <pic:spPr bwMode="auto">
                    <a:xfrm>
                      <a:off x="0" y="0"/>
                      <a:ext cx="5774370" cy="3294979"/>
                    </a:xfrm>
                    <a:prstGeom prst="rect">
                      <a:avLst/>
                    </a:prstGeom>
                    <a:noFill/>
                    <a:ln w="9525">
                      <a:noFill/>
                      <a:miter lim="800000"/>
                      <a:headEnd/>
                      <a:tailEnd/>
                    </a:ln>
                  </pic:spPr>
                </pic:pic>
              </a:graphicData>
            </a:graphic>
          </wp:inline>
        </w:drawing>
      </w:r>
    </w:p>
    <w:p w:rsidR="006573BB" w:rsidRPr="00B6647E" w:rsidRDefault="00C173BF" w:rsidP="00C84C4B">
      <w:pPr>
        <w:spacing w:before="200" w:after="120" w:line="240" w:lineRule="auto"/>
        <w:jc w:val="both"/>
        <w:rPr>
          <w:rFonts w:ascii="Arial" w:hAnsi="Arial" w:cs="Arial"/>
          <w:b/>
          <w:sz w:val="20"/>
          <w:szCs w:val="20"/>
          <w:lang w:val="fr-FR" w:eastAsia="fr-FR"/>
        </w:rPr>
      </w:pPr>
      <w:r w:rsidRPr="00B6647E">
        <w:rPr>
          <w:rFonts w:ascii="Arial" w:hAnsi="Arial" w:cs="Arial"/>
          <w:b/>
          <w:sz w:val="20"/>
          <w:szCs w:val="20"/>
          <w:lang w:val="fr-FR" w:eastAsia="fr-FR"/>
        </w:rPr>
        <w:t>a) Production des tubercules et racine par région naturelle au cours des trois saisons</w:t>
      </w:r>
    </w:p>
    <w:p w:rsidR="007A5B77" w:rsidRPr="00B6647E" w:rsidRDefault="007A5B77" w:rsidP="00F0613D">
      <w:pPr>
        <w:pStyle w:val="Paragraphedeliste"/>
        <w:spacing w:after="0" w:line="240" w:lineRule="auto"/>
        <w:ind w:left="0"/>
        <w:jc w:val="both"/>
        <w:rPr>
          <w:rFonts w:ascii="Arial" w:hAnsi="Arial" w:cs="Arial"/>
          <w:sz w:val="20"/>
          <w:szCs w:val="20"/>
        </w:rPr>
      </w:pPr>
      <w:r w:rsidRPr="00B6647E">
        <w:rPr>
          <w:rFonts w:ascii="Arial" w:hAnsi="Arial" w:cs="Arial"/>
          <w:sz w:val="20"/>
          <w:szCs w:val="20"/>
        </w:rPr>
        <w:t>La production des tubercules et racines au cours de la saison B estimée à 1.051.305 tonnes représente un peu plus de la moitié (52,2% de l’ensemble de la production des tubercules et racines des trois saisons.</w:t>
      </w:r>
    </w:p>
    <w:p w:rsidR="007A5B77" w:rsidRPr="00B6647E" w:rsidRDefault="007A5B77" w:rsidP="00F0613D">
      <w:pPr>
        <w:pStyle w:val="Paragraphedeliste"/>
        <w:spacing w:after="0" w:line="240" w:lineRule="auto"/>
        <w:ind w:left="0"/>
        <w:jc w:val="both"/>
        <w:rPr>
          <w:rFonts w:ascii="Arial" w:hAnsi="Arial" w:cs="Arial"/>
          <w:sz w:val="20"/>
          <w:szCs w:val="20"/>
        </w:rPr>
      </w:pPr>
    </w:p>
    <w:p w:rsidR="007A5B77" w:rsidRPr="00B6647E" w:rsidRDefault="007A5B77" w:rsidP="0053275E">
      <w:pPr>
        <w:pStyle w:val="Paragraphedeliste"/>
        <w:spacing w:after="120" w:line="240" w:lineRule="auto"/>
        <w:ind w:left="0"/>
        <w:contextualSpacing w:val="0"/>
        <w:jc w:val="both"/>
        <w:rPr>
          <w:rFonts w:ascii="Arial" w:hAnsi="Arial" w:cs="Arial"/>
          <w:sz w:val="20"/>
          <w:szCs w:val="20"/>
        </w:rPr>
      </w:pPr>
      <w:r w:rsidRPr="00B6647E">
        <w:rPr>
          <w:rFonts w:ascii="Arial" w:hAnsi="Arial" w:cs="Arial"/>
          <w:sz w:val="20"/>
          <w:szCs w:val="20"/>
        </w:rPr>
        <w:t>La région naturelle de Kirimiro a eu la plus grande production de tubercules et racines de toute la campagne agricole 2011-2012 (483.662 tonnes, soit 23,6% du total des trois saisons). Viennent ensuite dans l’ordre Mumirwa (300.064 tonnes, soit 14,6%), Imbo (247.124 tonnes, soit 12%), Buyenzi (191.519 tonnes, soit 9,3%), Bweru (187.801 tonnes, soit 9,2%), .Bugesera (</w:t>
      </w:r>
      <w:r w:rsidR="00182EEE" w:rsidRPr="00B6647E">
        <w:rPr>
          <w:rFonts w:ascii="Arial" w:hAnsi="Arial" w:cs="Arial"/>
          <w:sz w:val="20"/>
          <w:szCs w:val="20"/>
        </w:rPr>
        <w:t>173.749 tonnes</w:t>
      </w:r>
      <w:r w:rsidRPr="00B6647E">
        <w:rPr>
          <w:rFonts w:ascii="Arial" w:hAnsi="Arial" w:cs="Arial"/>
          <w:sz w:val="20"/>
          <w:szCs w:val="20"/>
        </w:rPr>
        <w:t xml:space="preserve">, soit </w:t>
      </w:r>
      <w:r w:rsidR="00182EEE" w:rsidRPr="00B6647E">
        <w:rPr>
          <w:rFonts w:ascii="Arial" w:hAnsi="Arial" w:cs="Arial"/>
          <w:sz w:val="20"/>
          <w:szCs w:val="20"/>
        </w:rPr>
        <w:t>8,5</w:t>
      </w:r>
      <w:r w:rsidRPr="00B6647E">
        <w:rPr>
          <w:rFonts w:ascii="Arial" w:hAnsi="Arial" w:cs="Arial"/>
          <w:sz w:val="20"/>
          <w:szCs w:val="20"/>
        </w:rPr>
        <w:t>%), Les plus faibles productions ont été enregistrées dans les régions de Buragane (</w:t>
      </w:r>
      <w:r w:rsidR="00182EEE" w:rsidRPr="00B6647E">
        <w:rPr>
          <w:rFonts w:ascii="Arial" w:hAnsi="Arial" w:cs="Arial"/>
          <w:sz w:val="20"/>
          <w:szCs w:val="20"/>
        </w:rPr>
        <w:t>56.434 tonnes, soit 2,8</w:t>
      </w:r>
      <w:r w:rsidRPr="00B6647E">
        <w:rPr>
          <w:rFonts w:ascii="Arial" w:hAnsi="Arial" w:cs="Arial"/>
          <w:sz w:val="20"/>
          <w:szCs w:val="20"/>
        </w:rPr>
        <w:t>%) et Bututsi (</w:t>
      </w:r>
      <w:r w:rsidR="00182EEE" w:rsidRPr="00B6647E">
        <w:rPr>
          <w:rFonts w:ascii="Arial" w:hAnsi="Arial" w:cs="Arial"/>
          <w:sz w:val="20"/>
          <w:szCs w:val="20"/>
        </w:rPr>
        <w:t>45</w:t>
      </w:r>
      <w:r w:rsidRPr="00B6647E">
        <w:rPr>
          <w:rFonts w:ascii="Arial" w:hAnsi="Arial" w:cs="Arial"/>
          <w:sz w:val="20"/>
          <w:szCs w:val="20"/>
        </w:rPr>
        <w:t>.</w:t>
      </w:r>
      <w:r w:rsidR="00182EEE" w:rsidRPr="00B6647E">
        <w:rPr>
          <w:rFonts w:ascii="Arial" w:hAnsi="Arial" w:cs="Arial"/>
          <w:sz w:val="20"/>
          <w:szCs w:val="20"/>
        </w:rPr>
        <w:t>630</w:t>
      </w:r>
      <w:r w:rsidRPr="00B6647E">
        <w:rPr>
          <w:rFonts w:ascii="Arial" w:hAnsi="Arial" w:cs="Arial"/>
          <w:sz w:val="20"/>
          <w:szCs w:val="20"/>
        </w:rPr>
        <w:t xml:space="preserve"> tonnes, soit 2,</w:t>
      </w:r>
      <w:r w:rsidR="00182EEE" w:rsidRPr="00B6647E">
        <w:rPr>
          <w:rFonts w:ascii="Arial" w:hAnsi="Arial" w:cs="Arial"/>
          <w:sz w:val="20"/>
          <w:szCs w:val="20"/>
        </w:rPr>
        <w:t>2</w:t>
      </w:r>
      <w:r w:rsidRPr="00B6647E">
        <w:rPr>
          <w:rFonts w:ascii="Arial" w:hAnsi="Arial" w:cs="Arial"/>
          <w:sz w:val="20"/>
          <w:szCs w:val="20"/>
        </w:rPr>
        <w:t>%).</w:t>
      </w:r>
    </w:p>
    <w:p w:rsidR="000A16E6" w:rsidRPr="00B6647E" w:rsidRDefault="000A16E6">
      <w:pPr>
        <w:rPr>
          <w:rFonts w:ascii="Arial" w:hAnsi="Arial" w:cs="Arial"/>
          <w:b/>
          <w:sz w:val="20"/>
          <w:szCs w:val="20"/>
          <w:lang w:val="fr-FR" w:eastAsia="fr-FR"/>
        </w:rPr>
      </w:pPr>
      <w:r w:rsidRPr="00B6647E">
        <w:rPr>
          <w:rFonts w:ascii="Arial" w:hAnsi="Arial" w:cs="Arial"/>
          <w:b/>
          <w:sz w:val="20"/>
          <w:szCs w:val="20"/>
          <w:lang w:val="fr-FR" w:eastAsia="fr-FR"/>
        </w:rPr>
        <w:br w:type="page"/>
      </w:r>
    </w:p>
    <w:p w:rsidR="0076422A" w:rsidRPr="00B6647E" w:rsidRDefault="0076422A" w:rsidP="00F0613D">
      <w:pPr>
        <w:spacing w:line="240" w:lineRule="auto"/>
        <w:jc w:val="both"/>
        <w:rPr>
          <w:rFonts w:ascii="Arial" w:hAnsi="Arial" w:cs="Arial"/>
          <w:b/>
          <w:sz w:val="20"/>
          <w:szCs w:val="20"/>
          <w:lang w:val="fr-FR" w:eastAsia="fr-FR"/>
        </w:rPr>
      </w:pPr>
      <w:r w:rsidRPr="00B6647E">
        <w:rPr>
          <w:rFonts w:ascii="Arial" w:hAnsi="Arial" w:cs="Arial"/>
          <w:b/>
          <w:sz w:val="20"/>
          <w:szCs w:val="20"/>
          <w:lang w:val="fr-FR" w:eastAsia="fr-FR"/>
        </w:rPr>
        <w:lastRenderedPageBreak/>
        <w:t xml:space="preserve">Tableau </w:t>
      </w:r>
      <w:r w:rsidR="000A06E8" w:rsidRPr="00B6647E">
        <w:rPr>
          <w:rFonts w:ascii="Arial" w:hAnsi="Arial" w:cs="Arial"/>
          <w:b/>
          <w:sz w:val="20"/>
          <w:szCs w:val="20"/>
          <w:lang w:val="fr-FR" w:eastAsia="fr-FR"/>
        </w:rPr>
        <w:t>1</w:t>
      </w:r>
      <w:r w:rsidR="00E34AD0">
        <w:rPr>
          <w:rFonts w:ascii="Arial" w:hAnsi="Arial" w:cs="Arial"/>
          <w:b/>
          <w:sz w:val="20"/>
          <w:szCs w:val="20"/>
          <w:lang w:val="fr-FR" w:eastAsia="fr-FR"/>
        </w:rPr>
        <w:t>8</w:t>
      </w:r>
      <w:r w:rsidR="000A06E8" w:rsidRPr="00B6647E">
        <w:rPr>
          <w:rFonts w:ascii="Arial" w:hAnsi="Arial" w:cs="Arial"/>
          <w:b/>
          <w:sz w:val="20"/>
          <w:szCs w:val="20"/>
          <w:lang w:val="fr-FR" w:eastAsia="fr-FR"/>
        </w:rPr>
        <w:t>0</w:t>
      </w:r>
      <w:r w:rsidRPr="00B6647E">
        <w:rPr>
          <w:rFonts w:ascii="Arial" w:hAnsi="Arial" w:cs="Arial"/>
          <w:b/>
          <w:sz w:val="20"/>
          <w:szCs w:val="20"/>
          <w:lang w:val="fr-FR" w:eastAsia="fr-FR"/>
        </w:rPr>
        <w:t> : Production totale de tubercules et racines par région et par saison</w:t>
      </w:r>
    </w:p>
    <w:p w:rsidR="0076422A" w:rsidRPr="00B6647E" w:rsidRDefault="0042616A" w:rsidP="00F0613D">
      <w:pPr>
        <w:spacing w:line="240" w:lineRule="auto"/>
        <w:jc w:val="both"/>
        <w:rPr>
          <w:rFonts w:ascii="Arial" w:hAnsi="Arial" w:cs="Arial"/>
          <w:lang w:val="fr-FR" w:eastAsia="fr-FR"/>
        </w:rPr>
      </w:pPr>
      <w:r w:rsidRPr="00B6647E">
        <w:rPr>
          <w:noProof/>
          <w:lang w:val="fr-FR" w:eastAsia="fr-FR"/>
        </w:rPr>
        <w:drawing>
          <wp:inline distT="0" distB="0" distL="0" distR="0">
            <wp:extent cx="4219575" cy="2914650"/>
            <wp:effectExtent l="19050" t="0" r="9525" b="0"/>
            <wp:docPr id="496"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31" cstate="print"/>
                    <a:srcRect/>
                    <a:stretch>
                      <a:fillRect/>
                    </a:stretch>
                  </pic:blipFill>
                  <pic:spPr bwMode="auto">
                    <a:xfrm>
                      <a:off x="0" y="0"/>
                      <a:ext cx="4219575" cy="2914650"/>
                    </a:xfrm>
                    <a:prstGeom prst="rect">
                      <a:avLst/>
                    </a:prstGeom>
                    <a:noFill/>
                    <a:ln w="9525">
                      <a:noFill/>
                      <a:miter lim="800000"/>
                      <a:headEnd/>
                      <a:tailEnd/>
                    </a:ln>
                  </pic:spPr>
                </pic:pic>
              </a:graphicData>
            </a:graphic>
          </wp:inline>
        </w:drawing>
      </w:r>
    </w:p>
    <w:p w:rsidR="00A84DE9" w:rsidRPr="00B6647E" w:rsidRDefault="00A84DE9" w:rsidP="00F0613D">
      <w:pPr>
        <w:spacing w:line="240" w:lineRule="auto"/>
        <w:jc w:val="both"/>
        <w:rPr>
          <w:rFonts w:ascii="Arial" w:hAnsi="Arial" w:cs="Arial"/>
          <w:sz w:val="20"/>
          <w:szCs w:val="20"/>
          <w:lang w:eastAsia="fr-FR"/>
        </w:rPr>
      </w:pPr>
      <w:r w:rsidRPr="00B6647E">
        <w:rPr>
          <w:rFonts w:ascii="Arial" w:hAnsi="Arial" w:cs="Arial"/>
          <w:sz w:val="20"/>
          <w:szCs w:val="20"/>
          <w:lang w:eastAsia="fr-FR"/>
        </w:rPr>
        <w:t>La production de manioc (amer et doux) qui est estimée à 1.244.607 tonnes représente 60,7% de l’ensemble de la production des tubercules et racines de toute la campagne agricole 2011-2012. L</w:t>
      </w:r>
      <w:r w:rsidR="00434283" w:rsidRPr="00B6647E">
        <w:rPr>
          <w:rFonts w:ascii="Arial" w:hAnsi="Arial" w:cs="Arial"/>
          <w:sz w:val="20"/>
          <w:szCs w:val="20"/>
          <w:lang w:eastAsia="fr-FR"/>
        </w:rPr>
        <w:t>a production la plus importante a été estimée pendant la saison B</w:t>
      </w:r>
      <w:r w:rsidRPr="00B6647E">
        <w:rPr>
          <w:rFonts w:ascii="Arial" w:hAnsi="Arial" w:cs="Arial"/>
          <w:sz w:val="20"/>
          <w:szCs w:val="20"/>
          <w:lang w:eastAsia="fr-FR"/>
        </w:rPr>
        <w:t xml:space="preserve"> (</w:t>
      </w:r>
      <w:r w:rsidR="00434283" w:rsidRPr="00B6647E">
        <w:rPr>
          <w:rFonts w:ascii="Arial" w:hAnsi="Arial" w:cs="Arial"/>
          <w:sz w:val="20"/>
          <w:szCs w:val="20"/>
          <w:lang w:eastAsia="fr-FR"/>
        </w:rPr>
        <w:t>604</w:t>
      </w:r>
      <w:r w:rsidRPr="00B6647E">
        <w:rPr>
          <w:rFonts w:ascii="Arial" w:hAnsi="Arial" w:cs="Arial"/>
          <w:sz w:val="20"/>
          <w:szCs w:val="20"/>
          <w:lang w:eastAsia="fr-FR"/>
        </w:rPr>
        <w:t>.</w:t>
      </w:r>
      <w:r w:rsidR="00434283" w:rsidRPr="00B6647E">
        <w:rPr>
          <w:rFonts w:ascii="Arial" w:hAnsi="Arial" w:cs="Arial"/>
          <w:sz w:val="20"/>
          <w:szCs w:val="20"/>
          <w:lang w:eastAsia="fr-FR"/>
        </w:rPr>
        <w:t>374</w:t>
      </w:r>
      <w:r w:rsidRPr="00B6647E">
        <w:rPr>
          <w:rFonts w:ascii="Arial" w:hAnsi="Arial" w:cs="Arial"/>
          <w:sz w:val="20"/>
          <w:szCs w:val="20"/>
          <w:lang w:eastAsia="fr-FR"/>
        </w:rPr>
        <w:t xml:space="preserve"> tonnes, soit </w:t>
      </w:r>
      <w:r w:rsidR="00434283" w:rsidRPr="00B6647E">
        <w:rPr>
          <w:rFonts w:ascii="Arial" w:hAnsi="Arial" w:cs="Arial"/>
          <w:sz w:val="20"/>
          <w:szCs w:val="20"/>
          <w:lang w:eastAsia="fr-FR"/>
        </w:rPr>
        <w:t>48,6</w:t>
      </w:r>
      <w:r w:rsidRPr="00B6647E">
        <w:rPr>
          <w:rFonts w:ascii="Arial" w:hAnsi="Arial" w:cs="Arial"/>
          <w:sz w:val="20"/>
          <w:szCs w:val="20"/>
          <w:lang w:eastAsia="fr-FR"/>
        </w:rPr>
        <w:t xml:space="preserve">% de la production totale de haricot et </w:t>
      </w:r>
      <w:r w:rsidR="00434283" w:rsidRPr="00B6647E">
        <w:rPr>
          <w:rFonts w:ascii="Arial" w:hAnsi="Arial" w:cs="Arial"/>
          <w:sz w:val="20"/>
          <w:szCs w:val="20"/>
          <w:lang w:eastAsia="fr-FR"/>
        </w:rPr>
        <w:t>2</w:t>
      </w:r>
      <w:r w:rsidRPr="00B6647E">
        <w:rPr>
          <w:rFonts w:ascii="Arial" w:hAnsi="Arial" w:cs="Arial"/>
          <w:sz w:val="20"/>
          <w:szCs w:val="20"/>
          <w:lang w:eastAsia="fr-FR"/>
        </w:rPr>
        <w:t>9,</w:t>
      </w:r>
      <w:r w:rsidR="00434283" w:rsidRPr="00B6647E">
        <w:rPr>
          <w:rFonts w:ascii="Arial" w:hAnsi="Arial" w:cs="Arial"/>
          <w:sz w:val="20"/>
          <w:szCs w:val="20"/>
          <w:lang w:eastAsia="fr-FR"/>
        </w:rPr>
        <w:t>5% de l’ensemble des tubercules et racines</w:t>
      </w:r>
      <w:r w:rsidRPr="00B6647E">
        <w:rPr>
          <w:rFonts w:ascii="Arial" w:hAnsi="Arial" w:cs="Arial"/>
          <w:sz w:val="20"/>
          <w:szCs w:val="20"/>
          <w:lang w:eastAsia="fr-FR"/>
        </w:rPr>
        <w:t>).</w:t>
      </w:r>
    </w:p>
    <w:p w:rsidR="00A84DE9" w:rsidRPr="00B6647E" w:rsidRDefault="00A84DE9" w:rsidP="00F0613D">
      <w:pPr>
        <w:spacing w:line="240" w:lineRule="auto"/>
        <w:jc w:val="both"/>
        <w:rPr>
          <w:rFonts w:ascii="Arial" w:hAnsi="Arial" w:cs="Arial"/>
          <w:sz w:val="20"/>
          <w:szCs w:val="20"/>
          <w:lang w:eastAsia="fr-FR"/>
        </w:rPr>
      </w:pPr>
      <w:r w:rsidRPr="00B6647E">
        <w:rPr>
          <w:rFonts w:ascii="Arial" w:hAnsi="Arial" w:cs="Arial"/>
          <w:sz w:val="20"/>
          <w:szCs w:val="20"/>
          <w:lang w:eastAsia="fr-FR"/>
        </w:rPr>
        <w:t xml:space="preserve">Sur la production totale de </w:t>
      </w:r>
      <w:r w:rsidR="00434283" w:rsidRPr="00B6647E">
        <w:rPr>
          <w:rFonts w:ascii="Arial" w:hAnsi="Arial" w:cs="Arial"/>
          <w:sz w:val="20"/>
          <w:szCs w:val="20"/>
          <w:lang w:eastAsia="fr-FR"/>
        </w:rPr>
        <w:t>manioc</w:t>
      </w:r>
      <w:r w:rsidRPr="00B6647E">
        <w:rPr>
          <w:rFonts w:ascii="Arial" w:hAnsi="Arial" w:cs="Arial"/>
          <w:sz w:val="20"/>
          <w:szCs w:val="20"/>
          <w:lang w:eastAsia="fr-FR"/>
        </w:rPr>
        <w:t xml:space="preserve">, la région naturelle de Kirimiro a produit </w:t>
      </w:r>
      <w:r w:rsidR="00434283" w:rsidRPr="00B6647E">
        <w:rPr>
          <w:rFonts w:ascii="Arial" w:hAnsi="Arial" w:cs="Arial"/>
          <w:sz w:val="20"/>
          <w:szCs w:val="20"/>
          <w:lang w:eastAsia="fr-FR"/>
        </w:rPr>
        <w:t>284.253</w:t>
      </w:r>
      <w:r w:rsidRPr="00B6647E">
        <w:rPr>
          <w:rFonts w:ascii="Arial" w:hAnsi="Arial" w:cs="Arial"/>
          <w:sz w:val="20"/>
          <w:szCs w:val="20"/>
          <w:lang w:eastAsia="fr-FR"/>
        </w:rPr>
        <w:t xml:space="preserve"> tonnes (2</w:t>
      </w:r>
      <w:r w:rsidR="00434283" w:rsidRPr="00B6647E">
        <w:rPr>
          <w:rFonts w:ascii="Arial" w:hAnsi="Arial" w:cs="Arial"/>
          <w:sz w:val="20"/>
          <w:szCs w:val="20"/>
          <w:lang w:eastAsia="fr-FR"/>
        </w:rPr>
        <w:t>2</w:t>
      </w:r>
      <w:r w:rsidRPr="00B6647E">
        <w:rPr>
          <w:rFonts w:ascii="Arial" w:hAnsi="Arial" w:cs="Arial"/>
          <w:sz w:val="20"/>
          <w:szCs w:val="20"/>
          <w:lang w:eastAsia="fr-FR"/>
        </w:rPr>
        <w:t>,</w:t>
      </w:r>
      <w:r w:rsidR="00434283" w:rsidRPr="00B6647E">
        <w:rPr>
          <w:rFonts w:ascii="Arial" w:hAnsi="Arial" w:cs="Arial"/>
          <w:sz w:val="20"/>
          <w:szCs w:val="20"/>
          <w:lang w:eastAsia="fr-FR"/>
        </w:rPr>
        <w:t>8</w:t>
      </w:r>
      <w:r w:rsidRPr="00B6647E">
        <w:rPr>
          <w:rFonts w:ascii="Arial" w:hAnsi="Arial" w:cs="Arial"/>
          <w:sz w:val="20"/>
          <w:szCs w:val="20"/>
          <w:lang w:eastAsia="fr-FR"/>
        </w:rPr>
        <w:t xml:space="preserve">%), </w:t>
      </w:r>
      <w:r w:rsidR="00434283" w:rsidRPr="00B6647E">
        <w:rPr>
          <w:rFonts w:ascii="Arial" w:hAnsi="Arial" w:cs="Arial"/>
          <w:sz w:val="20"/>
          <w:szCs w:val="20"/>
          <w:lang w:eastAsia="fr-FR"/>
        </w:rPr>
        <w:t>Mumirwa</w:t>
      </w:r>
      <w:r w:rsidRPr="00B6647E">
        <w:rPr>
          <w:rFonts w:ascii="Arial" w:hAnsi="Arial" w:cs="Arial"/>
          <w:sz w:val="20"/>
          <w:szCs w:val="20"/>
          <w:lang w:eastAsia="fr-FR"/>
        </w:rPr>
        <w:t xml:space="preserve"> en a récolté </w:t>
      </w:r>
      <w:r w:rsidR="00434283" w:rsidRPr="00B6647E">
        <w:rPr>
          <w:rFonts w:ascii="Arial" w:hAnsi="Arial" w:cs="Arial"/>
          <w:sz w:val="20"/>
          <w:szCs w:val="20"/>
          <w:lang w:eastAsia="fr-FR"/>
        </w:rPr>
        <w:t>233.039 tonnes (18</w:t>
      </w:r>
      <w:r w:rsidRPr="00B6647E">
        <w:rPr>
          <w:rFonts w:ascii="Arial" w:hAnsi="Arial" w:cs="Arial"/>
          <w:sz w:val="20"/>
          <w:szCs w:val="20"/>
          <w:lang w:eastAsia="fr-FR"/>
        </w:rPr>
        <w:t>,</w:t>
      </w:r>
      <w:r w:rsidR="00434283" w:rsidRPr="00B6647E">
        <w:rPr>
          <w:rFonts w:ascii="Arial" w:hAnsi="Arial" w:cs="Arial"/>
          <w:sz w:val="20"/>
          <w:szCs w:val="20"/>
          <w:lang w:eastAsia="fr-FR"/>
        </w:rPr>
        <w:t>7</w:t>
      </w:r>
      <w:r w:rsidRPr="00B6647E">
        <w:rPr>
          <w:rFonts w:ascii="Arial" w:hAnsi="Arial" w:cs="Arial"/>
          <w:sz w:val="20"/>
          <w:szCs w:val="20"/>
          <w:lang w:eastAsia="fr-FR"/>
        </w:rPr>
        <w:t xml:space="preserve">%). On a estimé à </w:t>
      </w:r>
      <w:r w:rsidR="00037077" w:rsidRPr="00B6647E">
        <w:rPr>
          <w:rFonts w:ascii="Arial" w:hAnsi="Arial" w:cs="Arial"/>
          <w:sz w:val="20"/>
          <w:szCs w:val="20"/>
          <w:lang w:eastAsia="fr-FR"/>
        </w:rPr>
        <w:t>207.833</w:t>
      </w:r>
      <w:r w:rsidRPr="00B6647E">
        <w:rPr>
          <w:rFonts w:ascii="Arial" w:hAnsi="Arial" w:cs="Arial"/>
          <w:sz w:val="20"/>
          <w:szCs w:val="20"/>
          <w:lang w:eastAsia="fr-FR"/>
        </w:rPr>
        <w:t xml:space="preserve"> tonnes (1</w:t>
      </w:r>
      <w:r w:rsidR="00037077" w:rsidRPr="00B6647E">
        <w:rPr>
          <w:rFonts w:ascii="Arial" w:hAnsi="Arial" w:cs="Arial"/>
          <w:sz w:val="20"/>
          <w:szCs w:val="20"/>
          <w:lang w:eastAsia="fr-FR"/>
        </w:rPr>
        <w:t>6,7</w:t>
      </w:r>
      <w:r w:rsidRPr="00B6647E">
        <w:rPr>
          <w:rFonts w:ascii="Arial" w:hAnsi="Arial" w:cs="Arial"/>
          <w:sz w:val="20"/>
          <w:szCs w:val="20"/>
          <w:lang w:eastAsia="fr-FR"/>
        </w:rPr>
        <w:t>%) la production d</w:t>
      </w:r>
      <w:r w:rsidR="00037077" w:rsidRPr="00B6647E">
        <w:rPr>
          <w:rFonts w:ascii="Arial" w:hAnsi="Arial" w:cs="Arial"/>
          <w:sz w:val="20"/>
          <w:szCs w:val="20"/>
          <w:lang w:eastAsia="fr-FR"/>
        </w:rPr>
        <w:t>’Imbo</w:t>
      </w:r>
      <w:r w:rsidRPr="00B6647E">
        <w:rPr>
          <w:rFonts w:ascii="Arial" w:hAnsi="Arial" w:cs="Arial"/>
          <w:sz w:val="20"/>
          <w:szCs w:val="20"/>
          <w:lang w:eastAsia="fr-FR"/>
        </w:rPr>
        <w:t xml:space="preserve"> et à </w:t>
      </w:r>
      <w:r w:rsidR="00037077" w:rsidRPr="00B6647E">
        <w:rPr>
          <w:rFonts w:ascii="Arial" w:hAnsi="Arial" w:cs="Arial"/>
          <w:sz w:val="20"/>
          <w:szCs w:val="20"/>
          <w:lang w:eastAsia="fr-FR"/>
        </w:rPr>
        <w:t>105</w:t>
      </w:r>
      <w:r w:rsidRPr="00B6647E">
        <w:rPr>
          <w:rFonts w:ascii="Arial" w:hAnsi="Arial" w:cs="Arial"/>
          <w:sz w:val="20"/>
          <w:szCs w:val="20"/>
          <w:lang w:eastAsia="fr-FR"/>
        </w:rPr>
        <w:t>.</w:t>
      </w:r>
      <w:r w:rsidR="00037077" w:rsidRPr="00B6647E">
        <w:rPr>
          <w:rFonts w:ascii="Arial" w:hAnsi="Arial" w:cs="Arial"/>
          <w:sz w:val="20"/>
          <w:szCs w:val="20"/>
          <w:lang w:eastAsia="fr-FR"/>
        </w:rPr>
        <w:t>937</w:t>
      </w:r>
      <w:r w:rsidRPr="00B6647E">
        <w:rPr>
          <w:rFonts w:ascii="Arial" w:hAnsi="Arial" w:cs="Arial"/>
          <w:sz w:val="20"/>
          <w:szCs w:val="20"/>
          <w:lang w:eastAsia="fr-FR"/>
        </w:rPr>
        <w:t xml:space="preserve"> tonnes (</w:t>
      </w:r>
      <w:r w:rsidR="00037077" w:rsidRPr="00B6647E">
        <w:rPr>
          <w:rFonts w:ascii="Arial" w:hAnsi="Arial" w:cs="Arial"/>
          <w:sz w:val="20"/>
          <w:szCs w:val="20"/>
          <w:lang w:eastAsia="fr-FR"/>
        </w:rPr>
        <w:t>8,5</w:t>
      </w:r>
      <w:r w:rsidRPr="00B6647E">
        <w:rPr>
          <w:rFonts w:ascii="Arial" w:hAnsi="Arial" w:cs="Arial"/>
          <w:sz w:val="20"/>
          <w:szCs w:val="20"/>
          <w:lang w:eastAsia="fr-FR"/>
        </w:rPr>
        <w:t>%) celle de Bweru.</w:t>
      </w:r>
    </w:p>
    <w:p w:rsidR="0076422A" w:rsidRPr="00B6647E" w:rsidRDefault="0076422A" w:rsidP="00F0613D">
      <w:pPr>
        <w:spacing w:line="240" w:lineRule="auto"/>
        <w:jc w:val="both"/>
        <w:rPr>
          <w:rFonts w:ascii="Arial" w:hAnsi="Arial" w:cs="Arial"/>
          <w:b/>
          <w:sz w:val="20"/>
          <w:szCs w:val="20"/>
          <w:lang w:val="fr-FR" w:eastAsia="fr-FR"/>
        </w:rPr>
      </w:pPr>
      <w:r w:rsidRPr="00B6647E">
        <w:rPr>
          <w:rFonts w:ascii="Arial" w:hAnsi="Arial" w:cs="Arial"/>
          <w:b/>
          <w:sz w:val="20"/>
          <w:szCs w:val="20"/>
          <w:lang w:val="fr-FR" w:eastAsia="fr-FR"/>
        </w:rPr>
        <w:t xml:space="preserve">Tableau </w:t>
      </w:r>
      <w:r w:rsidR="00AE22FF" w:rsidRPr="00B6647E">
        <w:rPr>
          <w:rFonts w:ascii="Arial" w:hAnsi="Arial" w:cs="Arial"/>
          <w:b/>
          <w:sz w:val="20"/>
          <w:szCs w:val="20"/>
          <w:lang w:val="fr-FR" w:eastAsia="fr-FR"/>
        </w:rPr>
        <w:t>1</w:t>
      </w:r>
      <w:r w:rsidR="00E34AD0">
        <w:rPr>
          <w:rFonts w:ascii="Arial" w:hAnsi="Arial" w:cs="Arial"/>
          <w:b/>
          <w:sz w:val="20"/>
          <w:szCs w:val="20"/>
          <w:lang w:val="fr-FR" w:eastAsia="fr-FR"/>
        </w:rPr>
        <w:t>8</w:t>
      </w:r>
      <w:r w:rsidR="00AE22FF" w:rsidRPr="00B6647E">
        <w:rPr>
          <w:rFonts w:ascii="Arial" w:hAnsi="Arial" w:cs="Arial"/>
          <w:b/>
          <w:sz w:val="20"/>
          <w:szCs w:val="20"/>
          <w:lang w:val="fr-FR" w:eastAsia="fr-FR"/>
        </w:rPr>
        <w:t>1</w:t>
      </w:r>
      <w:r w:rsidRPr="00B6647E">
        <w:rPr>
          <w:rFonts w:ascii="Arial" w:hAnsi="Arial" w:cs="Arial"/>
          <w:b/>
          <w:sz w:val="20"/>
          <w:szCs w:val="20"/>
          <w:lang w:val="fr-FR" w:eastAsia="fr-FR"/>
        </w:rPr>
        <w:t> : Production totale de</w:t>
      </w:r>
      <w:r w:rsidR="00A0093A" w:rsidRPr="00B6647E">
        <w:rPr>
          <w:rFonts w:ascii="Arial" w:hAnsi="Arial" w:cs="Arial"/>
          <w:b/>
          <w:sz w:val="20"/>
          <w:szCs w:val="20"/>
          <w:lang w:val="fr-FR" w:eastAsia="fr-FR"/>
        </w:rPr>
        <w:t xml:space="preserve"> manioc</w:t>
      </w:r>
      <w:r w:rsidRPr="00B6647E">
        <w:rPr>
          <w:rFonts w:ascii="Arial" w:hAnsi="Arial" w:cs="Arial"/>
          <w:b/>
          <w:sz w:val="20"/>
          <w:szCs w:val="20"/>
          <w:lang w:val="fr-FR" w:eastAsia="fr-FR"/>
        </w:rPr>
        <w:t xml:space="preserve"> par région et par saison</w:t>
      </w:r>
    </w:p>
    <w:p w:rsidR="0076422A" w:rsidRPr="00B6647E" w:rsidRDefault="0042616A" w:rsidP="00F0613D">
      <w:pPr>
        <w:spacing w:line="240" w:lineRule="auto"/>
        <w:jc w:val="both"/>
        <w:rPr>
          <w:rFonts w:ascii="Arial" w:hAnsi="Arial" w:cs="Arial"/>
          <w:lang w:val="fr-FR" w:eastAsia="fr-FR"/>
        </w:rPr>
      </w:pPr>
      <w:r w:rsidRPr="00B6647E">
        <w:rPr>
          <w:noProof/>
          <w:lang w:val="fr-FR" w:eastAsia="fr-FR"/>
        </w:rPr>
        <w:drawing>
          <wp:inline distT="0" distB="0" distL="0" distR="0">
            <wp:extent cx="4219575" cy="2924175"/>
            <wp:effectExtent l="19050" t="0" r="9525" b="0"/>
            <wp:docPr id="497"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32" cstate="print"/>
                    <a:srcRect/>
                    <a:stretch>
                      <a:fillRect/>
                    </a:stretch>
                  </pic:blipFill>
                  <pic:spPr bwMode="auto">
                    <a:xfrm>
                      <a:off x="0" y="0"/>
                      <a:ext cx="4219575" cy="2924175"/>
                    </a:xfrm>
                    <a:prstGeom prst="rect">
                      <a:avLst/>
                    </a:prstGeom>
                    <a:noFill/>
                    <a:ln w="9525">
                      <a:noFill/>
                      <a:miter lim="800000"/>
                      <a:headEnd/>
                      <a:tailEnd/>
                    </a:ln>
                  </pic:spPr>
                </pic:pic>
              </a:graphicData>
            </a:graphic>
          </wp:inline>
        </w:drawing>
      </w:r>
    </w:p>
    <w:p w:rsidR="008870A6" w:rsidRPr="00B6647E" w:rsidRDefault="008870A6" w:rsidP="00F0613D">
      <w:pPr>
        <w:spacing w:line="240" w:lineRule="auto"/>
        <w:jc w:val="both"/>
        <w:rPr>
          <w:rFonts w:ascii="Arial" w:hAnsi="Arial" w:cs="Arial"/>
          <w:sz w:val="20"/>
          <w:szCs w:val="20"/>
          <w:lang w:eastAsia="fr-FR"/>
        </w:rPr>
      </w:pPr>
      <w:r w:rsidRPr="00B6647E">
        <w:rPr>
          <w:rFonts w:ascii="Arial" w:hAnsi="Arial" w:cs="Arial"/>
          <w:sz w:val="20"/>
          <w:szCs w:val="20"/>
          <w:lang w:eastAsia="fr-FR"/>
        </w:rPr>
        <w:t xml:space="preserve">La production totale de manioc amer a été estimée à 1.046.932 tonnes, soit 84,1% de la production totale de haricot et 51% du total des tubercules et racines de toute la campagne agricole. </w:t>
      </w:r>
    </w:p>
    <w:p w:rsidR="0076422A" w:rsidRPr="00B6647E" w:rsidRDefault="008870A6" w:rsidP="00F0613D">
      <w:pPr>
        <w:spacing w:line="240" w:lineRule="auto"/>
        <w:jc w:val="both"/>
        <w:rPr>
          <w:rFonts w:ascii="Arial" w:hAnsi="Arial" w:cs="Arial"/>
          <w:lang w:eastAsia="fr-FR"/>
        </w:rPr>
      </w:pPr>
      <w:r w:rsidRPr="00B6647E">
        <w:rPr>
          <w:rFonts w:ascii="Arial" w:hAnsi="Arial" w:cs="Arial"/>
          <w:sz w:val="20"/>
          <w:szCs w:val="20"/>
          <w:lang w:eastAsia="fr-FR"/>
        </w:rPr>
        <w:t xml:space="preserve">La saison B a produit 505.675 tonnes de manioc amer, soit 48,3% de l’ensemble du manioc (amer et doux) et 24,7% de </w:t>
      </w:r>
      <w:r w:rsidR="009D2D29" w:rsidRPr="00B6647E">
        <w:rPr>
          <w:rFonts w:ascii="Arial" w:hAnsi="Arial" w:cs="Arial"/>
          <w:sz w:val="20"/>
          <w:szCs w:val="20"/>
          <w:lang w:eastAsia="fr-FR"/>
        </w:rPr>
        <w:t>tous les tubercules et racines</w:t>
      </w:r>
      <w:r w:rsidRPr="00B6647E">
        <w:rPr>
          <w:rFonts w:ascii="Arial" w:hAnsi="Arial" w:cs="Arial"/>
          <w:sz w:val="20"/>
          <w:szCs w:val="20"/>
          <w:lang w:eastAsia="fr-FR"/>
        </w:rPr>
        <w:t xml:space="preserve">. Les productions de </w:t>
      </w:r>
      <w:r w:rsidR="009D2D29" w:rsidRPr="00B6647E">
        <w:rPr>
          <w:rFonts w:ascii="Arial" w:hAnsi="Arial" w:cs="Arial"/>
          <w:sz w:val="20"/>
          <w:szCs w:val="20"/>
          <w:lang w:eastAsia="fr-FR"/>
        </w:rPr>
        <w:t>manioc amer</w:t>
      </w:r>
      <w:r w:rsidRPr="00B6647E">
        <w:rPr>
          <w:rFonts w:ascii="Arial" w:hAnsi="Arial" w:cs="Arial"/>
          <w:sz w:val="20"/>
          <w:szCs w:val="20"/>
          <w:lang w:eastAsia="fr-FR"/>
        </w:rPr>
        <w:t xml:space="preserve"> les plus élevées ont été enregistrées dans </w:t>
      </w:r>
      <w:r w:rsidR="009D2D29" w:rsidRPr="00B6647E">
        <w:rPr>
          <w:rFonts w:ascii="Arial" w:hAnsi="Arial" w:cs="Arial"/>
          <w:sz w:val="20"/>
          <w:szCs w:val="20"/>
          <w:lang w:eastAsia="fr-FR"/>
        </w:rPr>
        <w:t>Kirimiro</w:t>
      </w:r>
      <w:r w:rsidRPr="00B6647E">
        <w:rPr>
          <w:rFonts w:ascii="Arial" w:hAnsi="Arial" w:cs="Arial"/>
          <w:sz w:val="20"/>
          <w:szCs w:val="20"/>
          <w:lang w:eastAsia="fr-FR"/>
        </w:rPr>
        <w:t xml:space="preserve"> (2</w:t>
      </w:r>
      <w:r w:rsidR="009D2D29" w:rsidRPr="00B6647E">
        <w:rPr>
          <w:rFonts w:ascii="Arial" w:hAnsi="Arial" w:cs="Arial"/>
          <w:sz w:val="20"/>
          <w:szCs w:val="20"/>
          <w:lang w:eastAsia="fr-FR"/>
        </w:rPr>
        <w:t>29.216</w:t>
      </w:r>
      <w:r w:rsidRPr="00B6647E">
        <w:rPr>
          <w:rFonts w:ascii="Arial" w:hAnsi="Arial" w:cs="Arial"/>
          <w:sz w:val="20"/>
          <w:szCs w:val="20"/>
          <w:lang w:eastAsia="fr-FR"/>
        </w:rPr>
        <w:t xml:space="preserve"> tonnes, soit 2</w:t>
      </w:r>
      <w:r w:rsidR="009D2D29" w:rsidRPr="00B6647E">
        <w:rPr>
          <w:rFonts w:ascii="Arial" w:hAnsi="Arial" w:cs="Arial"/>
          <w:sz w:val="20"/>
          <w:szCs w:val="20"/>
          <w:lang w:eastAsia="fr-FR"/>
        </w:rPr>
        <w:t>1,9</w:t>
      </w:r>
      <w:r w:rsidRPr="00B6647E">
        <w:rPr>
          <w:rFonts w:ascii="Arial" w:hAnsi="Arial" w:cs="Arial"/>
          <w:sz w:val="20"/>
          <w:szCs w:val="20"/>
          <w:lang w:eastAsia="fr-FR"/>
        </w:rPr>
        <w:t xml:space="preserve">%), </w:t>
      </w:r>
      <w:r w:rsidR="009D2D29" w:rsidRPr="00B6647E">
        <w:rPr>
          <w:rFonts w:ascii="Arial" w:hAnsi="Arial" w:cs="Arial"/>
          <w:sz w:val="20"/>
          <w:szCs w:val="20"/>
          <w:lang w:eastAsia="fr-FR"/>
        </w:rPr>
        <w:t>Mumirwa (218.778</w:t>
      </w:r>
      <w:r w:rsidRPr="00B6647E">
        <w:rPr>
          <w:rFonts w:ascii="Arial" w:hAnsi="Arial" w:cs="Arial"/>
          <w:sz w:val="20"/>
          <w:szCs w:val="20"/>
          <w:lang w:eastAsia="fr-FR"/>
        </w:rPr>
        <w:t xml:space="preserve"> tonnes, soit </w:t>
      </w:r>
      <w:r w:rsidR="009D2D29" w:rsidRPr="00B6647E">
        <w:rPr>
          <w:rFonts w:ascii="Arial" w:hAnsi="Arial" w:cs="Arial"/>
          <w:sz w:val="20"/>
          <w:szCs w:val="20"/>
          <w:lang w:eastAsia="fr-FR"/>
        </w:rPr>
        <w:lastRenderedPageBreak/>
        <w:t>20,9</w:t>
      </w:r>
      <w:r w:rsidRPr="00B6647E">
        <w:rPr>
          <w:rFonts w:ascii="Arial" w:hAnsi="Arial" w:cs="Arial"/>
          <w:sz w:val="20"/>
          <w:szCs w:val="20"/>
          <w:lang w:eastAsia="fr-FR"/>
        </w:rPr>
        <w:t xml:space="preserve">%), </w:t>
      </w:r>
      <w:r w:rsidR="009D2D29" w:rsidRPr="00B6647E">
        <w:rPr>
          <w:rFonts w:ascii="Arial" w:hAnsi="Arial" w:cs="Arial"/>
          <w:sz w:val="20"/>
          <w:szCs w:val="20"/>
          <w:lang w:eastAsia="fr-FR"/>
        </w:rPr>
        <w:t>Imbo</w:t>
      </w:r>
      <w:r w:rsidRPr="00B6647E">
        <w:rPr>
          <w:rFonts w:ascii="Arial" w:hAnsi="Arial" w:cs="Arial"/>
          <w:sz w:val="20"/>
          <w:szCs w:val="20"/>
          <w:lang w:eastAsia="fr-FR"/>
        </w:rPr>
        <w:t xml:space="preserve"> (</w:t>
      </w:r>
      <w:r w:rsidR="009D2D29" w:rsidRPr="00B6647E">
        <w:rPr>
          <w:rFonts w:ascii="Arial" w:hAnsi="Arial" w:cs="Arial"/>
          <w:sz w:val="20"/>
          <w:szCs w:val="20"/>
          <w:lang w:eastAsia="fr-FR"/>
        </w:rPr>
        <w:t>168.006</w:t>
      </w:r>
      <w:r w:rsidRPr="00B6647E">
        <w:rPr>
          <w:rFonts w:ascii="Arial" w:hAnsi="Arial" w:cs="Arial"/>
          <w:sz w:val="20"/>
          <w:szCs w:val="20"/>
          <w:lang w:eastAsia="fr-FR"/>
        </w:rPr>
        <w:t xml:space="preserve"> tonnes, soit 1</w:t>
      </w:r>
      <w:r w:rsidR="009D2D29" w:rsidRPr="00B6647E">
        <w:rPr>
          <w:rFonts w:ascii="Arial" w:hAnsi="Arial" w:cs="Arial"/>
          <w:sz w:val="20"/>
          <w:szCs w:val="20"/>
          <w:lang w:eastAsia="fr-FR"/>
        </w:rPr>
        <w:t>6</w:t>
      </w:r>
      <w:r w:rsidRPr="00B6647E">
        <w:rPr>
          <w:rFonts w:ascii="Arial" w:hAnsi="Arial" w:cs="Arial"/>
          <w:sz w:val="20"/>
          <w:szCs w:val="20"/>
          <w:lang w:eastAsia="fr-FR"/>
        </w:rPr>
        <w:t>%).</w:t>
      </w:r>
      <w:r w:rsidR="00153E38" w:rsidRPr="00B6647E">
        <w:rPr>
          <w:rFonts w:ascii="Arial" w:hAnsi="Arial" w:cs="Arial"/>
          <w:sz w:val="20"/>
          <w:szCs w:val="20"/>
          <w:lang w:eastAsia="fr-FR"/>
        </w:rPr>
        <w:t xml:space="preserve">Bien qu’aucune production de manioc amer n’a été estimée au cours de la saison A dans Bweru, cette région vient en quatrième position par son volume de </w:t>
      </w:r>
    </w:p>
    <w:p w:rsidR="0076422A" w:rsidRPr="00B6647E" w:rsidRDefault="0076422A" w:rsidP="00F0613D">
      <w:pPr>
        <w:spacing w:line="240" w:lineRule="auto"/>
        <w:jc w:val="both"/>
        <w:rPr>
          <w:rFonts w:ascii="Arial" w:hAnsi="Arial" w:cs="Arial"/>
          <w:b/>
          <w:sz w:val="20"/>
          <w:szCs w:val="20"/>
          <w:lang w:val="fr-FR" w:eastAsia="fr-FR"/>
        </w:rPr>
      </w:pPr>
      <w:r w:rsidRPr="00B6647E">
        <w:rPr>
          <w:rFonts w:ascii="Arial" w:hAnsi="Arial" w:cs="Arial"/>
          <w:b/>
          <w:sz w:val="20"/>
          <w:szCs w:val="20"/>
          <w:lang w:val="fr-FR" w:eastAsia="fr-FR"/>
        </w:rPr>
        <w:t xml:space="preserve">Tableau </w:t>
      </w:r>
      <w:r w:rsidR="00AE22FF" w:rsidRPr="00B6647E">
        <w:rPr>
          <w:rFonts w:ascii="Arial" w:hAnsi="Arial" w:cs="Arial"/>
          <w:b/>
          <w:sz w:val="20"/>
          <w:szCs w:val="20"/>
          <w:lang w:val="fr-FR" w:eastAsia="fr-FR"/>
        </w:rPr>
        <w:t>1</w:t>
      </w:r>
      <w:r w:rsidR="00E34AD0">
        <w:rPr>
          <w:rFonts w:ascii="Arial" w:hAnsi="Arial" w:cs="Arial"/>
          <w:b/>
          <w:sz w:val="20"/>
          <w:szCs w:val="20"/>
          <w:lang w:val="fr-FR" w:eastAsia="fr-FR"/>
        </w:rPr>
        <w:t>8</w:t>
      </w:r>
      <w:r w:rsidR="00AE22FF" w:rsidRPr="00B6647E">
        <w:rPr>
          <w:rFonts w:ascii="Arial" w:hAnsi="Arial" w:cs="Arial"/>
          <w:b/>
          <w:sz w:val="20"/>
          <w:szCs w:val="20"/>
          <w:lang w:val="fr-FR" w:eastAsia="fr-FR"/>
        </w:rPr>
        <w:t>2</w:t>
      </w:r>
      <w:r w:rsidRPr="00B6647E">
        <w:rPr>
          <w:rFonts w:ascii="Arial" w:hAnsi="Arial" w:cs="Arial"/>
          <w:b/>
          <w:sz w:val="20"/>
          <w:szCs w:val="20"/>
          <w:lang w:val="fr-FR" w:eastAsia="fr-FR"/>
        </w:rPr>
        <w:t xml:space="preserve"> : Production totale de </w:t>
      </w:r>
      <w:r w:rsidR="00A0093A" w:rsidRPr="00B6647E">
        <w:rPr>
          <w:rFonts w:ascii="Arial" w:hAnsi="Arial" w:cs="Arial"/>
          <w:b/>
          <w:sz w:val="20"/>
          <w:szCs w:val="20"/>
          <w:lang w:val="fr-FR" w:eastAsia="fr-FR"/>
        </w:rPr>
        <w:t>manioc amer</w:t>
      </w:r>
      <w:r w:rsidRPr="00B6647E">
        <w:rPr>
          <w:rFonts w:ascii="Arial" w:hAnsi="Arial" w:cs="Arial"/>
          <w:b/>
          <w:sz w:val="20"/>
          <w:szCs w:val="20"/>
          <w:lang w:val="fr-FR" w:eastAsia="fr-FR"/>
        </w:rPr>
        <w:t xml:space="preserve"> par région et par saison</w:t>
      </w:r>
    </w:p>
    <w:p w:rsidR="0076422A" w:rsidRPr="00B6647E" w:rsidRDefault="0042616A" w:rsidP="00F0613D">
      <w:pPr>
        <w:spacing w:line="240" w:lineRule="auto"/>
        <w:jc w:val="both"/>
        <w:rPr>
          <w:rFonts w:ascii="Arial" w:hAnsi="Arial" w:cs="Arial"/>
          <w:lang w:val="fr-FR" w:eastAsia="fr-FR"/>
        </w:rPr>
      </w:pPr>
      <w:r w:rsidRPr="00B6647E">
        <w:rPr>
          <w:noProof/>
          <w:lang w:val="fr-FR" w:eastAsia="fr-FR"/>
        </w:rPr>
        <w:drawing>
          <wp:inline distT="0" distB="0" distL="0" distR="0">
            <wp:extent cx="4219575" cy="2924175"/>
            <wp:effectExtent l="19050" t="0" r="9525" b="0"/>
            <wp:docPr id="498"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32" cstate="print"/>
                    <a:srcRect/>
                    <a:stretch>
                      <a:fillRect/>
                    </a:stretch>
                  </pic:blipFill>
                  <pic:spPr bwMode="auto">
                    <a:xfrm>
                      <a:off x="0" y="0"/>
                      <a:ext cx="4219575" cy="2924175"/>
                    </a:xfrm>
                    <a:prstGeom prst="rect">
                      <a:avLst/>
                    </a:prstGeom>
                    <a:noFill/>
                    <a:ln w="9525">
                      <a:noFill/>
                      <a:miter lim="800000"/>
                      <a:headEnd/>
                      <a:tailEnd/>
                    </a:ln>
                  </pic:spPr>
                </pic:pic>
              </a:graphicData>
            </a:graphic>
          </wp:inline>
        </w:drawing>
      </w:r>
    </w:p>
    <w:p w:rsidR="003C44FA" w:rsidRPr="00B6647E" w:rsidRDefault="008870A6" w:rsidP="00F0613D">
      <w:pPr>
        <w:spacing w:line="240" w:lineRule="auto"/>
        <w:jc w:val="both"/>
        <w:rPr>
          <w:rFonts w:ascii="Arial" w:hAnsi="Arial" w:cs="Arial"/>
          <w:sz w:val="20"/>
          <w:szCs w:val="20"/>
          <w:lang w:eastAsia="fr-FR"/>
        </w:rPr>
      </w:pPr>
      <w:r w:rsidRPr="00B6647E">
        <w:rPr>
          <w:rFonts w:ascii="Arial" w:hAnsi="Arial" w:cs="Arial"/>
          <w:sz w:val="20"/>
          <w:szCs w:val="20"/>
          <w:lang w:eastAsia="fr-FR"/>
        </w:rPr>
        <w:t>La production totale du</w:t>
      </w:r>
      <w:r w:rsidR="00153E38" w:rsidRPr="00B6647E">
        <w:rPr>
          <w:rFonts w:ascii="Arial" w:hAnsi="Arial" w:cs="Arial"/>
          <w:sz w:val="20"/>
          <w:szCs w:val="20"/>
          <w:lang w:eastAsia="fr-FR"/>
        </w:rPr>
        <w:t xml:space="preserve"> manioc doux</w:t>
      </w:r>
      <w:r w:rsidRPr="00B6647E">
        <w:rPr>
          <w:rFonts w:ascii="Arial" w:hAnsi="Arial" w:cs="Arial"/>
          <w:sz w:val="20"/>
          <w:szCs w:val="20"/>
          <w:lang w:eastAsia="fr-FR"/>
        </w:rPr>
        <w:t xml:space="preserve"> (</w:t>
      </w:r>
      <w:r w:rsidR="00153E38" w:rsidRPr="00B6647E">
        <w:rPr>
          <w:rFonts w:ascii="Arial" w:hAnsi="Arial" w:cs="Arial"/>
          <w:sz w:val="20"/>
          <w:szCs w:val="20"/>
          <w:lang w:eastAsia="fr-FR"/>
        </w:rPr>
        <w:t xml:space="preserve">197.675 </w:t>
      </w:r>
      <w:r w:rsidRPr="00B6647E">
        <w:rPr>
          <w:rFonts w:ascii="Arial" w:hAnsi="Arial" w:cs="Arial"/>
          <w:sz w:val="20"/>
          <w:szCs w:val="20"/>
          <w:lang w:eastAsia="fr-FR"/>
        </w:rPr>
        <w:t>tonnes</w:t>
      </w:r>
      <w:r w:rsidR="003C44FA" w:rsidRPr="00B6647E">
        <w:rPr>
          <w:rFonts w:ascii="Arial" w:hAnsi="Arial" w:cs="Arial"/>
          <w:sz w:val="20"/>
          <w:szCs w:val="20"/>
          <w:lang w:eastAsia="fr-FR"/>
        </w:rPr>
        <w:t>) représente 15,9</w:t>
      </w:r>
      <w:r w:rsidRPr="00B6647E">
        <w:rPr>
          <w:rFonts w:ascii="Arial" w:hAnsi="Arial" w:cs="Arial"/>
          <w:sz w:val="20"/>
          <w:szCs w:val="20"/>
          <w:lang w:eastAsia="fr-FR"/>
        </w:rPr>
        <w:t xml:space="preserve">% de la production totale du </w:t>
      </w:r>
      <w:r w:rsidR="003C44FA" w:rsidRPr="00B6647E">
        <w:rPr>
          <w:rFonts w:ascii="Arial" w:hAnsi="Arial" w:cs="Arial"/>
          <w:sz w:val="20"/>
          <w:szCs w:val="20"/>
          <w:lang w:eastAsia="fr-FR"/>
        </w:rPr>
        <w:t>manioc</w:t>
      </w:r>
      <w:r w:rsidRPr="00B6647E">
        <w:rPr>
          <w:rFonts w:ascii="Arial" w:hAnsi="Arial" w:cs="Arial"/>
          <w:sz w:val="20"/>
          <w:szCs w:val="20"/>
          <w:lang w:eastAsia="fr-FR"/>
        </w:rPr>
        <w:t xml:space="preserve"> (</w:t>
      </w:r>
      <w:r w:rsidR="003C44FA" w:rsidRPr="00B6647E">
        <w:rPr>
          <w:rFonts w:ascii="Arial" w:hAnsi="Arial" w:cs="Arial"/>
          <w:sz w:val="20"/>
          <w:szCs w:val="20"/>
          <w:lang w:eastAsia="fr-FR"/>
        </w:rPr>
        <w:t>amer et doux</w:t>
      </w:r>
      <w:r w:rsidRPr="00B6647E">
        <w:rPr>
          <w:rFonts w:ascii="Arial" w:hAnsi="Arial" w:cs="Arial"/>
          <w:sz w:val="20"/>
          <w:szCs w:val="20"/>
          <w:lang w:eastAsia="fr-FR"/>
        </w:rPr>
        <w:t xml:space="preserve">) et </w:t>
      </w:r>
      <w:r w:rsidR="003C44FA" w:rsidRPr="00B6647E">
        <w:rPr>
          <w:rFonts w:ascii="Arial" w:hAnsi="Arial" w:cs="Arial"/>
          <w:sz w:val="20"/>
          <w:szCs w:val="20"/>
          <w:lang w:eastAsia="fr-FR"/>
        </w:rPr>
        <w:t>9,6</w:t>
      </w:r>
      <w:r w:rsidRPr="00B6647E">
        <w:rPr>
          <w:rFonts w:ascii="Arial" w:hAnsi="Arial" w:cs="Arial"/>
          <w:sz w:val="20"/>
          <w:szCs w:val="20"/>
          <w:lang w:eastAsia="fr-FR"/>
        </w:rPr>
        <w:t>% de la production totale de la campagne agricole 2011-2012.</w:t>
      </w:r>
      <w:r w:rsidR="000A16E6" w:rsidRPr="00B6647E">
        <w:rPr>
          <w:rFonts w:ascii="Arial" w:hAnsi="Arial" w:cs="Arial"/>
          <w:sz w:val="20"/>
          <w:szCs w:val="20"/>
          <w:lang w:eastAsia="fr-FR"/>
        </w:rPr>
        <w:t xml:space="preserve"> </w:t>
      </w:r>
      <w:r w:rsidR="003C44FA" w:rsidRPr="00B6647E">
        <w:rPr>
          <w:rFonts w:ascii="Arial" w:hAnsi="Arial" w:cs="Arial"/>
          <w:sz w:val="20"/>
          <w:szCs w:val="20"/>
          <w:lang w:eastAsia="fr-FR"/>
        </w:rPr>
        <w:t>Pendant la saison A, l’enquête a estimé une production de manioc doux pratiquement nulle dans Bugesera et Buyenzi. La région de Bututsi a enregistré une production nulle au cours des trois saisons.</w:t>
      </w:r>
    </w:p>
    <w:p w:rsidR="008870A6" w:rsidRPr="00B6647E" w:rsidRDefault="008870A6" w:rsidP="00F0613D">
      <w:pPr>
        <w:spacing w:line="240" w:lineRule="auto"/>
        <w:jc w:val="both"/>
        <w:rPr>
          <w:rFonts w:ascii="Arial" w:hAnsi="Arial" w:cs="Arial"/>
          <w:sz w:val="20"/>
          <w:szCs w:val="20"/>
          <w:lang w:eastAsia="fr-FR"/>
        </w:rPr>
      </w:pPr>
      <w:r w:rsidRPr="00B6647E">
        <w:rPr>
          <w:rFonts w:ascii="Arial" w:hAnsi="Arial" w:cs="Arial"/>
          <w:sz w:val="20"/>
          <w:szCs w:val="20"/>
          <w:lang w:eastAsia="fr-FR"/>
        </w:rPr>
        <w:t xml:space="preserve"> Les régions naturelles de Kirimiro (</w:t>
      </w:r>
      <w:r w:rsidR="003C44FA" w:rsidRPr="00B6647E">
        <w:rPr>
          <w:rFonts w:ascii="Arial" w:hAnsi="Arial" w:cs="Arial"/>
          <w:sz w:val="20"/>
          <w:szCs w:val="20"/>
          <w:lang w:eastAsia="fr-FR"/>
        </w:rPr>
        <w:t>55</w:t>
      </w:r>
      <w:r w:rsidRPr="00B6647E">
        <w:rPr>
          <w:rFonts w:ascii="Arial" w:hAnsi="Arial" w:cs="Arial"/>
          <w:sz w:val="20"/>
          <w:szCs w:val="20"/>
          <w:lang w:eastAsia="fr-FR"/>
        </w:rPr>
        <w:t>.</w:t>
      </w:r>
      <w:r w:rsidR="003C44FA" w:rsidRPr="00B6647E">
        <w:rPr>
          <w:rFonts w:ascii="Arial" w:hAnsi="Arial" w:cs="Arial"/>
          <w:sz w:val="20"/>
          <w:szCs w:val="20"/>
          <w:lang w:eastAsia="fr-FR"/>
        </w:rPr>
        <w:t>036</w:t>
      </w:r>
      <w:r w:rsidRPr="00B6647E">
        <w:rPr>
          <w:rFonts w:ascii="Arial" w:hAnsi="Arial" w:cs="Arial"/>
          <w:sz w:val="20"/>
          <w:szCs w:val="20"/>
          <w:lang w:eastAsia="fr-FR"/>
        </w:rPr>
        <w:t xml:space="preserve"> tonnes, soit </w:t>
      </w:r>
      <w:r w:rsidR="003C44FA" w:rsidRPr="00B6647E">
        <w:rPr>
          <w:rFonts w:ascii="Arial" w:hAnsi="Arial" w:cs="Arial"/>
          <w:sz w:val="20"/>
          <w:szCs w:val="20"/>
          <w:lang w:eastAsia="fr-FR"/>
        </w:rPr>
        <w:t>27</w:t>
      </w:r>
      <w:r w:rsidRPr="00B6647E">
        <w:rPr>
          <w:rFonts w:ascii="Arial" w:hAnsi="Arial" w:cs="Arial"/>
          <w:sz w:val="20"/>
          <w:szCs w:val="20"/>
          <w:lang w:eastAsia="fr-FR"/>
        </w:rPr>
        <w:t>,</w:t>
      </w:r>
      <w:r w:rsidR="003C44FA" w:rsidRPr="00B6647E">
        <w:rPr>
          <w:rFonts w:ascii="Arial" w:hAnsi="Arial" w:cs="Arial"/>
          <w:sz w:val="20"/>
          <w:szCs w:val="20"/>
          <w:lang w:eastAsia="fr-FR"/>
        </w:rPr>
        <w:t>8</w:t>
      </w:r>
      <w:r w:rsidRPr="00B6647E">
        <w:rPr>
          <w:rFonts w:ascii="Arial" w:hAnsi="Arial" w:cs="Arial"/>
          <w:sz w:val="20"/>
          <w:szCs w:val="20"/>
          <w:lang w:eastAsia="fr-FR"/>
        </w:rPr>
        <w:t>% du total de la campagne)</w:t>
      </w:r>
      <w:r w:rsidR="003C44FA" w:rsidRPr="00B6647E">
        <w:rPr>
          <w:rFonts w:ascii="Arial" w:hAnsi="Arial" w:cs="Arial"/>
          <w:sz w:val="20"/>
          <w:szCs w:val="20"/>
          <w:lang w:eastAsia="fr-FR"/>
        </w:rPr>
        <w:t>, Imbo (</w:t>
      </w:r>
      <w:r w:rsidR="0001731D" w:rsidRPr="00B6647E">
        <w:rPr>
          <w:rFonts w:ascii="Arial" w:hAnsi="Arial" w:cs="Arial"/>
          <w:sz w:val="20"/>
          <w:szCs w:val="20"/>
          <w:lang w:eastAsia="fr-FR"/>
        </w:rPr>
        <w:t>39</w:t>
      </w:r>
      <w:r w:rsidR="003C44FA" w:rsidRPr="00B6647E">
        <w:rPr>
          <w:rFonts w:ascii="Arial" w:hAnsi="Arial" w:cs="Arial"/>
          <w:sz w:val="20"/>
          <w:szCs w:val="20"/>
          <w:lang w:eastAsia="fr-FR"/>
        </w:rPr>
        <w:t>.</w:t>
      </w:r>
      <w:r w:rsidR="0001731D" w:rsidRPr="00B6647E">
        <w:rPr>
          <w:rFonts w:ascii="Arial" w:hAnsi="Arial" w:cs="Arial"/>
          <w:sz w:val="20"/>
          <w:szCs w:val="20"/>
          <w:lang w:eastAsia="fr-FR"/>
        </w:rPr>
        <w:t>828</w:t>
      </w:r>
      <w:r w:rsidR="003C44FA" w:rsidRPr="00B6647E">
        <w:rPr>
          <w:rFonts w:ascii="Arial" w:hAnsi="Arial" w:cs="Arial"/>
          <w:sz w:val="20"/>
          <w:szCs w:val="20"/>
          <w:lang w:eastAsia="fr-FR"/>
        </w:rPr>
        <w:t xml:space="preserve"> tonnes, soit 20,1%), Bugesera (</w:t>
      </w:r>
      <w:r w:rsidR="0001731D" w:rsidRPr="00B6647E">
        <w:rPr>
          <w:rFonts w:ascii="Arial" w:hAnsi="Arial" w:cs="Arial"/>
          <w:sz w:val="20"/>
          <w:szCs w:val="20"/>
          <w:lang w:eastAsia="fr-FR"/>
        </w:rPr>
        <w:t>25.299</w:t>
      </w:r>
      <w:r w:rsidR="003C44FA" w:rsidRPr="00B6647E">
        <w:rPr>
          <w:rFonts w:ascii="Arial" w:hAnsi="Arial" w:cs="Arial"/>
          <w:sz w:val="20"/>
          <w:szCs w:val="20"/>
          <w:lang w:eastAsia="fr-FR"/>
        </w:rPr>
        <w:t xml:space="preserve"> tonnes, soit </w:t>
      </w:r>
      <w:r w:rsidR="0001731D" w:rsidRPr="00B6647E">
        <w:rPr>
          <w:rFonts w:ascii="Arial" w:hAnsi="Arial" w:cs="Arial"/>
          <w:sz w:val="20"/>
          <w:szCs w:val="20"/>
          <w:lang w:eastAsia="fr-FR"/>
        </w:rPr>
        <w:t>12,8</w:t>
      </w:r>
      <w:r w:rsidR="003C44FA" w:rsidRPr="00B6647E">
        <w:rPr>
          <w:rFonts w:ascii="Arial" w:hAnsi="Arial" w:cs="Arial"/>
          <w:sz w:val="20"/>
          <w:szCs w:val="20"/>
          <w:lang w:eastAsia="fr-FR"/>
        </w:rPr>
        <w:t>%),</w:t>
      </w:r>
      <w:r w:rsidRPr="00B6647E">
        <w:rPr>
          <w:rFonts w:ascii="Arial" w:hAnsi="Arial" w:cs="Arial"/>
          <w:sz w:val="20"/>
          <w:szCs w:val="20"/>
          <w:lang w:eastAsia="fr-FR"/>
        </w:rPr>
        <w:t xml:space="preserve"> </w:t>
      </w:r>
      <w:r w:rsidR="0001731D" w:rsidRPr="00B6647E">
        <w:rPr>
          <w:rFonts w:ascii="Arial" w:hAnsi="Arial" w:cs="Arial"/>
          <w:sz w:val="20"/>
          <w:szCs w:val="20"/>
          <w:lang w:eastAsia="fr-FR"/>
        </w:rPr>
        <w:t>Buyogoma (20.270 tonnes, soit 10,3%), Moso (20.168</w:t>
      </w:r>
      <w:r w:rsidRPr="00B6647E">
        <w:rPr>
          <w:rFonts w:ascii="Arial" w:hAnsi="Arial" w:cs="Arial"/>
          <w:sz w:val="20"/>
          <w:szCs w:val="20"/>
          <w:lang w:eastAsia="fr-FR"/>
        </w:rPr>
        <w:t xml:space="preserve"> tonnes, soit </w:t>
      </w:r>
      <w:r w:rsidR="0001731D" w:rsidRPr="00B6647E">
        <w:rPr>
          <w:rFonts w:ascii="Arial" w:hAnsi="Arial" w:cs="Arial"/>
          <w:sz w:val="20"/>
          <w:szCs w:val="20"/>
          <w:lang w:eastAsia="fr-FR"/>
        </w:rPr>
        <w:t>10,2</w:t>
      </w:r>
      <w:r w:rsidRPr="00B6647E">
        <w:rPr>
          <w:rFonts w:ascii="Arial" w:hAnsi="Arial" w:cs="Arial"/>
          <w:sz w:val="20"/>
          <w:szCs w:val="20"/>
          <w:lang w:eastAsia="fr-FR"/>
        </w:rPr>
        <w:t xml:space="preserve">%) ont eu les plus grandes productions de </w:t>
      </w:r>
      <w:r w:rsidR="0001731D" w:rsidRPr="00B6647E">
        <w:rPr>
          <w:rFonts w:ascii="Arial" w:hAnsi="Arial" w:cs="Arial"/>
          <w:sz w:val="20"/>
          <w:szCs w:val="20"/>
          <w:lang w:eastAsia="fr-FR"/>
        </w:rPr>
        <w:t>manioc doux</w:t>
      </w:r>
      <w:r w:rsidRPr="00B6647E">
        <w:rPr>
          <w:rFonts w:ascii="Arial" w:hAnsi="Arial" w:cs="Arial"/>
          <w:sz w:val="20"/>
          <w:szCs w:val="20"/>
          <w:lang w:eastAsia="fr-FR"/>
        </w:rPr>
        <w:t xml:space="preserve">. </w:t>
      </w:r>
      <w:r w:rsidR="0001731D" w:rsidRPr="00B6647E">
        <w:rPr>
          <w:rFonts w:ascii="Arial" w:hAnsi="Arial" w:cs="Arial"/>
          <w:sz w:val="20"/>
          <w:szCs w:val="20"/>
          <w:lang w:eastAsia="fr-FR"/>
        </w:rPr>
        <w:t xml:space="preserve">La moitié de la production totale de manioc doux a été estimée en </w:t>
      </w:r>
      <w:r w:rsidRPr="00B6647E">
        <w:rPr>
          <w:rFonts w:ascii="Arial" w:hAnsi="Arial" w:cs="Arial"/>
          <w:sz w:val="20"/>
          <w:szCs w:val="20"/>
          <w:lang w:eastAsia="fr-FR"/>
        </w:rPr>
        <w:t>saison B</w:t>
      </w:r>
      <w:r w:rsidR="0001731D" w:rsidRPr="00B6647E">
        <w:rPr>
          <w:rFonts w:ascii="Arial" w:hAnsi="Arial" w:cs="Arial"/>
          <w:sz w:val="20"/>
          <w:szCs w:val="20"/>
          <w:lang w:eastAsia="fr-FR"/>
        </w:rPr>
        <w:t xml:space="preserve"> (98</w:t>
      </w:r>
      <w:r w:rsidRPr="00B6647E">
        <w:rPr>
          <w:rFonts w:ascii="Arial" w:hAnsi="Arial" w:cs="Arial"/>
          <w:sz w:val="20"/>
          <w:szCs w:val="20"/>
          <w:lang w:eastAsia="fr-FR"/>
        </w:rPr>
        <w:t>.</w:t>
      </w:r>
      <w:r w:rsidR="0001731D" w:rsidRPr="00B6647E">
        <w:rPr>
          <w:rFonts w:ascii="Arial" w:hAnsi="Arial" w:cs="Arial"/>
          <w:sz w:val="20"/>
          <w:szCs w:val="20"/>
          <w:lang w:eastAsia="fr-FR"/>
        </w:rPr>
        <w:t>699</w:t>
      </w:r>
      <w:r w:rsidRPr="00B6647E">
        <w:rPr>
          <w:rFonts w:ascii="Arial" w:hAnsi="Arial" w:cs="Arial"/>
          <w:sz w:val="20"/>
          <w:szCs w:val="20"/>
          <w:lang w:eastAsia="fr-FR"/>
        </w:rPr>
        <w:t xml:space="preserve"> tonnes</w:t>
      </w:r>
      <w:r w:rsidR="0001731D" w:rsidRPr="00B6647E">
        <w:rPr>
          <w:rFonts w:ascii="Arial" w:hAnsi="Arial" w:cs="Arial"/>
          <w:sz w:val="20"/>
          <w:szCs w:val="20"/>
          <w:lang w:eastAsia="fr-FR"/>
        </w:rPr>
        <w:t xml:space="preserve"> correspondant à 49,9%</w:t>
      </w:r>
      <w:r w:rsidRPr="00B6647E">
        <w:rPr>
          <w:rFonts w:ascii="Arial" w:hAnsi="Arial" w:cs="Arial"/>
          <w:sz w:val="20"/>
          <w:szCs w:val="20"/>
          <w:lang w:eastAsia="fr-FR"/>
        </w:rPr>
        <w:t xml:space="preserve">). En saison A, la production de </w:t>
      </w:r>
      <w:r w:rsidR="0001731D" w:rsidRPr="00B6647E">
        <w:rPr>
          <w:rFonts w:ascii="Arial" w:hAnsi="Arial" w:cs="Arial"/>
          <w:sz w:val="20"/>
          <w:szCs w:val="20"/>
          <w:lang w:eastAsia="fr-FR"/>
        </w:rPr>
        <w:t>manioc doux</w:t>
      </w:r>
      <w:r w:rsidRPr="00B6647E">
        <w:rPr>
          <w:rFonts w:ascii="Arial" w:hAnsi="Arial" w:cs="Arial"/>
          <w:sz w:val="20"/>
          <w:szCs w:val="20"/>
          <w:lang w:eastAsia="fr-FR"/>
        </w:rPr>
        <w:t xml:space="preserve"> a été </w:t>
      </w:r>
      <w:r w:rsidR="0001731D" w:rsidRPr="00B6647E">
        <w:rPr>
          <w:rFonts w:ascii="Arial" w:hAnsi="Arial" w:cs="Arial"/>
          <w:sz w:val="20"/>
          <w:szCs w:val="20"/>
          <w:lang w:eastAsia="fr-FR"/>
        </w:rPr>
        <w:t>évaluée</w:t>
      </w:r>
      <w:r w:rsidRPr="00B6647E">
        <w:rPr>
          <w:rFonts w:ascii="Arial" w:hAnsi="Arial" w:cs="Arial"/>
          <w:sz w:val="20"/>
          <w:szCs w:val="20"/>
          <w:lang w:eastAsia="fr-FR"/>
        </w:rPr>
        <w:t xml:space="preserve"> à </w:t>
      </w:r>
      <w:r w:rsidR="0001731D" w:rsidRPr="00B6647E">
        <w:rPr>
          <w:rFonts w:ascii="Arial" w:hAnsi="Arial" w:cs="Arial"/>
          <w:sz w:val="20"/>
          <w:szCs w:val="20"/>
          <w:lang w:eastAsia="fr-FR"/>
        </w:rPr>
        <w:t>35</w:t>
      </w:r>
      <w:r w:rsidRPr="00B6647E">
        <w:rPr>
          <w:rFonts w:ascii="Arial" w:hAnsi="Arial" w:cs="Arial"/>
          <w:sz w:val="20"/>
          <w:szCs w:val="20"/>
          <w:lang w:eastAsia="fr-FR"/>
        </w:rPr>
        <w:t>.</w:t>
      </w:r>
      <w:r w:rsidR="0001731D" w:rsidRPr="00B6647E">
        <w:rPr>
          <w:rFonts w:ascii="Arial" w:hAnsi="Arial" w:cs="Arial"/>
          <w:sz w:val="20"/>
          <w:szCs w:val="20"/>
          <w:lang w:eastAsia="fr-FR"/>
        </w:rPr>
        <w:t>422</w:t>
      </w:r>
      <w:r w:rsidRPr="00B6647E">
        <w:rPr>
          <w:rFonts w:ascii="Arial" w:hAnsi="Arial" w:cs="Arial"/>
          <w:sz w:val="20"/>
          <w:szCs w:val="20"/>
          <w:lang w:eastAsia="fr-FR"/>
        </w:rPr>
        <w:t xml:space="preserve"> tonnes (</w:t>
      </w:r>
      <w:r w:rsidR="00E46ED4" w:rsidRPr="00B6647E">
        <w:rPr>
          <w:rFonts w:ascii="Arial" w:hAnsi="Arial" w:cs="Arial"/>
          <w:sz w:val="20"/>
          <w:szCs w:val="20"/>
          <w:lang w:eastAsia="fr-FR"/>
        </w:rPr>
        <w:t>17,9</w:t>
      </w:r>
      <w:r w:rsidRPr="00B6647E">
        <w:rPr>
          <w:rFonts w:ascii="Arial" w:hAnsi="Arial" w:cs="Arial"/>
          <w:sz w:val="20"/>
          <w:szCs w:val="20"/>
          <w:lang w:eastAsia="fr-FR"/>
        </w:rPr>
        <w:t xml:space="preserve">%) et pendant la saison C à </w:t>
      </w:r>
      <w:r w:rsidR="00E46ED4" w:rsidRPr="00B6647E">
        <w:rPr>
          <w:rFonts w:ascii="Arial" w:hAnsi="Arial" w:cs="Arial"/>
          <w:sz w:val="20"/>
          <w:szCs w:val="20"/>
          <w:lang w:eastAsia="fr-FR"/>
        </w:rPr>
        <w:t>6</w:t>
      </w:r>
      <w:r w:rsidRPr="00B6647E">
        <w:rPr>
          <w:rFonts w:ascii="Arial" w:hAnsi="Arial" w:cs="Arial"/>
          <w:sz w:val="20"/>
          <w:szCs w:val="20"/>
          <w:lang w:eastAsia="fr-FR"/>
        </w:rPr>
        <w:t>3.5</w:t>
      </w:r>
      <w:r w:rsidR="00E46ED4" w:rsidRPr="00B6647E">
        <w:rPr>
          <w:rFonts w:ascii="Arial" w:hAnsi="Arial" w:cs="Arial"/>
          <w:sz w:val="20"/>
          <w:szCs w:val="20"/>
          <w:lang w:eastAsia="fr-FR"/>
        </w:rPr>
        <w:t>53</w:t>
      </w:r>
      <w:r w:rsidRPr="00B6647E">
        <w:rPr>
          <w:rFonts w:ascii="Arial" w:hAnsi="Arial" w:cs="Arial"/>
          <w:sz w:val="20"/>
          <w:szCs w:val="20"/>
          <w:lang w:eastAsia="fr-FR"/>
        </w:rPr>
        <w:t>tonnes (</w:t>
      </w:r>
      <w:r w:rsidR="00E46ED4" w:rsidRPr="00B6647E">
        <w:rPr>
          <w:rFonts w:ascii="Arial" w:hAnsi="Arial" w:cs="Arial"/>
          <w:sz w:val="20"/>
          <w:szCs w:val="20"/>
          <w:lang w:eastAsia="fr-FR"/>
        </w:rPr>
        <w:t>32,2</w:t>
      </w:r>
      <w:r w:rsidRPr="00B6647E">
        <w:rPr>
          <w:rFonts w:ascii="Arial" w:hAnsi="Arial" w:cs="Arial"/>
          <w:sz w:val="20"/>
          <w:szCs w:val="20"/>
          <w:lang w:eastAsia="fr-FR"/>
        </w:rPr>
        <w:t>%).</w:t>
      </w:r>
    </w:p>
    <w:p w:rsidR="0076422A" w:rsidRPr="00B6647E" w:rsidRDefault="0076422A" w:rsidP="00F0613D">
      <w:pPr>
        <w:spacing w:line="240" w:lineRule="auto"/>
        <w:jc w:val="both"/>
        <w:rPr>
          <w:rFonts w:ascii="Arial" w:hAnsi="Arial" w:cs="Arial"/>
          <w:b/>
          <w:sz w:val="20"/>
          <w:szCs w:val="20"/>
          <w:lang w:val="fr-FR" w:eastAsia="fr-FR"/>
        </w:rPr>
      </w:pPr>
      <w:r w:rsidRPr="00B6647E">
        <w:rPr>
          <w:rFonts w:ascii="Arial" w:hAnsi="Arial" w:cs="Arial"/>
          <w:b/>
          <w:sz w:val="20"/>
          <w:szCs w:val="20"/>
          <w:lang w:val="fr-FR" w:eastAsia="fr-FR"/>
        </w:rPr>
        <w:t xml:space="preserve">Tableau </w:t>
      </w:r>
      <w:r w:rsidR="00AE22FF" w:rsidRPr="00B6647E">
        <w:rPr>
          <w:rFonts w:ascii="Arial" w:hAnsi="Arial" w:cs="Arial"/>
          <w:b/>
          <w:sz w:val="20"/>
          <w:szCs w:val="20"/>
          <w:lang w:val="fr-FR" w:eastAsia="fr-FR"/>
        </w:rPr>
        <w:t>1</w:t>
      </w:r>
      <w:r w:rsidR="00E34AD0">
        <w:rPr>
          <w:rFonts w:ascii="Arial" w:hAnsi="Arial" w:cs="Arial"/>
          <w:b/>
          <w:sz w:val="20"/>
          <w:szCs w:val="20"/>
          <w:lang w:val="fr-FR" w:eastAsia="fr-FR"/>
        </w:rPr>
        <w:t>8</w:t>
      </w:r>
      <w:r w:rsidR="00AE22FF" w:rsidRPr="00B6647E">
        <w:rPr>
          <w:rFonts w:ascii="Arial" w:hAnsi="Arial" w:cs="Arial"/>
          <w:b/>
          <w:sz w:val="20"/>
          <w:szCs w:val="20"/>
          <w:lang w:val="fr-FR" w:eastAsia="fr-FR"/>
        </w:rPr>
        <w:t>3</w:t>
      </w:r>
      <w:r w:rsidRPr="00B6647E">
        <w:rPr>
          <w:rFonts w:ascii="Arial" w:hAnsi="Arial" w:cs="Arial"/>
          <w:b/>
          <w:sz w:val="20"/>
          <w:szCs w:val="20"/>
          <w:lang w:val="fr-FR" w:eastAsia="fr-FR"/>
        </w:rPr>
        <w:t xml:space="preserve"> : Production totale de </w:t>
      </w:r>
      <w:r w:rsidR="00A0093A" w:rsidRPr="00B6647E">
        <w:rPr>
          <w:rFonts w:ascii="Arial" w:hAnsi="Arial" w:cs="Arial"/>
          <w:b/>
          <w:sz w:val="20"/>
          <w:szCs w:val="20"/>
          <w:lang w:val="fr-FR" w:eastAsia="fr-FR"/>
        </w:rPr>
        <w:t>manioc doux</w:t>
      </w:r>
      <w:r w:rsidRPr="00B6647E">
        <w:rPr>
          <w:rFonts w:ascii="Arial" w:hAnsi="Arial" w:cs="Arial"/>
          <w:b/>
          <w:sz w:val="20"/>
          <w:szCs w:val="20"/>
          <w:lang w:val="fr-FR" w:eastAsia="fr-FR"/>
        </w:rPr>
        <w:t xml:space="preserve"> par région et par saison</w:t>
      </w:r>
    </w:p>
    <w:p w:rsidR="0076422A" w:rsidRPr="00B6647E" w:rsidRDefault="0042616A" w:rsidP="00F0613D">
      <w:pPr>
        <w:spacing w:line="240" w:lineRule="auto"/>
        <w:jc w:val="both"/>
        <w:rPr>
          <w:rFonts w:ascii="Arial" w:hAnsi="Arial" w:cs="Arial"/>
          <w:lang w:val="fr-FR" w:eastAsia="fr-FR"/>
        </w:rPr>
      </w:pPr>
      <w:r w:rsidRPr="00B6647E">
        <w:rPr>
          <w:noProof/>
          <w:lang w:val="fr-FR" w:eastAsia="fr-FR"/>
        </w:rPr>
        <w:drawing>
          <wp:inline distT="0" distB="0" distL="0" distR="0">
            <wp:extent cx="4219575" cy="2914650"/>
            <wp:effectExtent l="19050" t="0" r="9525" b="0"/>
            <wp:docPr id="499"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33" cstate="print"/>
                    <a:srcRect/>
                    <a:stretch>
                      <a:fillRect/>
                    </a:stretch>
                  </pic:blipFill>
                  <pic:spPr bwMode="auto">
                    <a:xfrm>
                      <a:off x="0" y="0"/>
                      <a:ext cx="4219575" cy="2914650"/>
                    </a:xfrm>
                    <a:prstGeom prst="rect">
                      <a:avLst/>
                    </a:prstGeom>
                    <a:noFill/>
                    <a:ln w="9525">
                      <a:noFill/>
                      <a:miter lim="800000"/>
                      <a:headEnd/>
                      <a:tailEnd/>
                    </a:ln>
                  </pic:spPr>
                </pic:pic>
              </a:graphicData>
            </a:graphic>
          </wp:inline>
        </w:drawing>
      </w:r>
    </w:p>
    <w:p w:rsidR="00D47CC8" w:rsidRPr="00B6647E" w:rsidRDefault="00D47CC8" w:rsidP="00F0613D">
      <w:pPr>
        <w:spacing w:line="240" w:lineRule="auto"/>
        <w:jc w:val="both"/>
        <w:rPr>
          <w:rFonts w:ascii="Arial" w:hAnsi="Arial" w:cs="Arial"/>
          <w:sz w:val="20"/>
          <w:szCs w:val="20"/>
          <w:lang w:eastAsia="fr-FR"/>
        </w:rPr>
      </w:pPr>
      <w:r w:rsidRPr="00B6647E">
        <w:rPr>
          <w:rFonts w:ascii="Arial" w:hAnsi="Arial" w:cs="Arial"/>
          <w:sz w:val="20"/>
          <w:szCs w:val="20"/>
          <w:lang w:val="fr-FR" w:eastAsia="fr-FR"/>
        </w:rPr>
        <w:lastRenderedPageBreak/>
        <w:t xml:space="preserve">La patate douce a été produite dans toutes les régionales naturelles au cours des trois saisons. </w:t>
      </w:r>
      <w:r w:rsidRPr="00B6647E">
        <w:rPr>
          <w:rFonts w:ascii="Arial" w:hAnsi="Arial" w:cs="Arial"/>
          <w:sz w:val="20"/>
          <w:szCs w:val="20"/>
          <w:lang w:eastAsia="fr-FR"/>
        </w:rPr>
        <w:t>La production totale de la patate douce (659.593 tonnes) représente 32,2% de la production totale des tubercules et racines de la campagne agricole 2011-2012.</w:t>
      </w:r>
    </w:p>
    <w:p w:rsidR="0076422A" w:rsidRPr="00B6647E" w:rsidRDefault="00D47CC8" w:rsidP="00F0613D">
      <w:pPr>
        <w:spacing w:line="240" w:lineRule="auto"/>
        <w:jc w:val="both"/>
        <w:rPr>
          <w:rFonts w:ascii="Arial" w:hAnsi="Arial" w:cs="Arial"/>
          <w:sz w:val="20"/>
          <w:szCs w:val="20"/>
          <w:lang w:eastAsia="fr-FR"/>
        </w:rPr>
      </w:pPr>
      <w:r w:rsidRPr="00B6647E">
        <w:rPr>
          <w:rFonts w:ascii="Arial" w:hAnsi="Arial" w:cs="Arial"/>
          <w:sz w:val="20"/>
          <w:szCs w:val="20"/>
          <w:lang w:eastAsia="fr-FR"/>
        </w:rPr>
        <w:t xml:space="preserve">La production estimée en saison B (359.534 tonnes) </w:t>
      </w:r>
      <w:r w:rsidR="00413217" w:rsidRPr="00B6647E">
        <w:rPr>
          <w:rFonts w:ascii="Arial" w:hAnsi="Arial" w:cs="Arial"/>
          <w:sz w:val="20"/>
          <w:szCs w:val="20"/>
          <w:lang w:eastAsia="fr-FR"/>
        </w:rPr>
        <w:t>représente</w:t>
      </w:r>
      <w:r w:rsidRPr="00B6647E">
        <w:rPr>
          <w:rFonts w:ascii="Arial" w:hAnsi="Arial" w:cs="Arial"/>
          <w:sz w:val="20"/>
          <w:szCs w:val="20"/>
          <w:lang w:eastAsia="fr-FR"/>
        </w:rPr>
        <w:t xml:space="preserve"> </w:t>
      </w:r>
      <w:r w:rsidR="00413217" w:rsidRPr="00B6647E">
        <w:rPr>
          <w:rFonts w:ascii="Arial" w:hAnsi="Arial" w:cs="Arial"/>
          <w:sz w:val="20"/>
          <w:szCs w:val="20"/>
          <w:lang w:eastAsia="fr-FR"/>
        </w:rPr>
        <w:t xml:space="preserve">54,5% de la production totale de patate douce. En saison A elle est évaluée à 158.494 tonnes (24%) et elle est 141.565 tonnes (21,5%) au cours de la saison C </w:t>
      </w:r>
    </w:p>
    <w:p w:rsidR="00413217" w:rsidRPr="00B6647E" w:rsidRDefault="00C84C4B" w:rsidP="00F0613D">
      <w:pPr>
        <w:spacing w:line="240" w:lineRule="auto"/>
        <w:jc w:val="both"/>
        <w:rPr>
          <w:rFonts w:ascii="Arial" w:hAnsi="Arial" w:cs="Arial"/>
          <w:sz w:val="20"/>
          <w:szCs w:val="20"/>
          <w:lang w:eastAsia="fr-FR"/>
        </w:rPr>
      </w:pPr>
      <w:r w:rsidRPr="00B6647E">
        <w:rPr>
          <w:rFonts w:ascii="Arial" w:hAnsi="Arial" w:cs="Arial"/>
          <w:sz w:val="20"/>
          <w:szCs w:val="20"/>
          <w:lang w:eastAsia="fr-FR"/>
        </w:rPr>
        <w:t>Les plus grandes productions</w:t>
      </w:r>
      <w:r w:rsidR="00413217" w:rsidRPr="00B6647E">
        <w:rPr>
          <w:rFonts w:ascii="Arial" w:hAnsi="Arial" w:cs="Arial"/>
          <w:sz w:val="20"/>
          <w:szCs w:val="20"/>
          <w:lang w:eastAsia="fr-FR"/>
        </w:rPr>
        <w:t xml:space="preserve"> de patate douce ont été estimées dans les régions de Kirimiro (171.661 tonnes, soit 26% de la production totale des trois saisons), Buyenzi (94.267 tonnes, soit 14,3%), Bugesera (76.437 tonnes, soit 11,6%), Bweru (67.542 tonnes, soit 10,2%).</w:t>
      </w:r>
    </w:p>
    <w:p w:rsidR="0076422A" w:rsidRPr="00B6647E" w:rsidRDefault="0076422A" w:rsidP="00F0613D">
      <w:pPr>
        <w:spacing w:line="240" w:lineRule="auto"/>
        <w:jc w:val="both"/>
        <w:rPr>
          <w:rFonts w:ascii="Arial" w:hAnsi="Arial" w:cs="Arial"/>
          <w:b/>
          <w:sz w:val="20"/>
          <w:szCs w:val="20"/>
          <w:lang w:val="fr-FR" w:eastAsia="fr-FR"/>
        </w:rPr>
      </w:pPr>
      <w:r w:rsidRPr="00B6647E">
        <w:rPr>
          <w:rFonts w:ascii="Arial" w:hAnsi="Arial" w:cs="Arial"/>
          <w:b/>
          <w:sz w:val="20"/>
          <w:szCs w:val="20"/>
          <w:lang w:val="fr-FR" w:eastAsia="fr-FR"/>
        </w:rPr>
        <w:t xml:space="preserve">Tableau </w:t>
      </w:r>
      <w:r w:rsidR="00AE22FF" w:rsidRPr="00B6647E">
        <w:rPr>
          <w:rFonts w:ascii="Arial" w:hAnsi="Arial" w:cs="Arial"/>
          <w:b/>
          <w:sz w:val="20"/>
          <w:szCs w:val="20"/>
          <w:lang w:val="fr-FR" w:eastAsia="fr-FR"/>
        </w:rPr>
        <w:t>1</w:t>
      </w:r>
      <w:r w:rsidR="00E34AD0">
        <w:rPr>
          <w:rFonts w:ascii="Arial" w:hAnsi="Arial" w:cs="Arial"/>
          <w:b/>
          <w:sz w:val="20"/>
          <w:szCs w:val="20"/>
          <w:lang w:val="fr-FR" w:eastAsia="fr-FR"/>
        </w:rPr>
        <w:t>8</w:t>
      </w:r>
      <w:r w:rsidR="00AE22FF" w:rsidRPr="00B6647E">
        <w:rPr>
          <w:rFonts w:ascii="Arial" w:hAnsi="Arial" w:cs="Arial"/>
          <w:b/>
          <w:sz w:val="20"/>
          <w:szCs w:val="20"/>
          <w:lang w:val="fr-FR" w:eastAsia="fr-FR"/>
        </w:rPr>
        <w:t>4</w:t>
      </w:r>
      <w:r w:rsidRPr="00B6647E">
        <w:rPr>
          <w:rFonts w:ascii="Arial" w:hAnsi="Arial" w:cs="Arial"/>
          <w:b/>
          <w:sz w:val="20"/>
          <w:szCs w:val="20"/>
          <w:lang w:val="fr-FR" w:eastAsia="fr-FR"/>
        </w:rPr>
        <w:t xml:space="preserve"> : Production totale de </w:t>
      </w:r>
      <w:r w:rsidR="00A0093A" w:rsidRPr="00B6647E">
        <w:rPr>
          <w:rFonts w:ascii="Arial" w:hAnsi="Arial" w:cs="Arial"/>
          <w:b/>
          <w:sz w:val="20"/>
          <w:szCs w:val="20"/>
          <w:lang w:val="fr-FR" w:eastAsia="fr-FR"/>
        </w:rPr>
        <w:t>patate douce</w:t>
      </w:r>
      <w:r w:rsidRPr="00B6647E">
        <w:rPr>
          <w:rFonts w:ascii="Arial" w:hAnsi="Arial" w:cs="Arial"/>
          <w:b/>
          <w:sz w:val="20"/>
          <w:szCs w:val="20"/>
          <w:lang w:val="fr-FR" w:eastAsia="fr-FR"/>
        </w:rPr>
        <w:t xml:space="preserve"> par région et par saison</w:t>
      </w:r>
    </w:p>
    <w:p w:rsidR="0076422A" w:rsidRPr="00B6647E" w:rsidRDefault="0042616A" w:rsidP="00F0613D">
      <w:pPr>
        <w:spacing w:line="240" w:lineRule="auto"/>
        <w:jc w:val="both"/>
        <w:rPr>
          <w:rFonts w:ascii="Arial" w:hAnsi="Arial" w:cs="Arial"/>
          <w:lang w:val="fr-FR" w:eastAsia="fr-FR"/>
        </w:rPr>
      </w:pPr>
      <w:r w:rsidRPr="00B6647E">
        <w:rPr>
          <w:noProof/>
          <w:lang w:val="fr-FR" w:eastAsia="fr-FR"/>
        </w:rPr>
        <w:drawing>
          <wp:inline distT="0" distB="0" distL="0" distR="0">
            <wp:extent cx="4219575" cy="2914650"/>
            <wp:effectExtent l="19050" t="0" r="9525" b="0"/>
            <wp:docPr id="500"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34" cstate="print"/>
                    <a:srcRect/>
                    <a:stretch>
                      <a:fillRect/>
                    </a:stretch>
                  </pic:blipFill>
                  <pic:spPr bwMode="auto">
                    <a:xfrm>
                      <a:off x="0" y="0"/>
                      <a:ext cx="4219575" cy="2914650"/>
                    </a:xfrm>
                    <a:prstGeom prst="rect">
                      <a:avLst/>
                    </a:prstGeom>
                    <a:noFill/>
                    <a:ln w="9525">
                      <a:noFill/>
                      <a:miter lim="800000"/>
                      <a:headEnd/>
                      <a:tailEnd/>
                    </a:ln>
                  </pic:spPr>
                </pic:pic>
              </a:graphicData>
            </a:graphic>
          </wp:inline>
        </w:drawing>
      </w:r>
    </w:p>
    <w:p w:rsidR="00D47CC8" w:rsidRPr="00B6647E" w:rsidRDefault="00D47CC8" w:rsidP="00F0613D">
      <w:pPr>
        <w:spacing w:line="240" w:lineRule="auto"/>
        <w:jc w:val="both"/>
        <w:rPr>
          <w:rFonts w:ascii="Arial" w:hAnsi="Arial" w:cs="Arial"/>
          <w:sz w:val="20"/>
          <w:szCs w:val="20"/>
          <w:lang w:eastAsia="fr-FR"/>
        </w:rPr>
      </w:pPr>
      <w:r w:rsidRPr="00B6647E">
        <w:rPr>
          <w:rFonts w:ascii="Arial" w:hAnsi="Arial" w:cs="Arial"/>
          <w:sz w:val="20"/>
          <w:szCs w:val="20"/>
          <w:lang w:eastAsia="fr-FR"/>
        </w:rPr>
        <w:t>Pendant la saison A, l’enquête a estimé une production de pomme de terre pratiquement nulle dans Bugesera. Les régions d’Imbo et Mumirwa ont enregistré une production de pomme de terre nulle au cours des trois saisons.</w:t>
      </w:r>
    </w:p>
    <w:p w:rsidR="0076422A" w:rsidRPr="00B6647E" w:rsidRDefault="00AE22FF" w:rsidP="00F0613D">
      <w:pPr>
        <w:spacing w:line="240" w:lineRule="auto"/>
        <w:jc w:val="both"/>
        <w:rPr>
          <w:rFonts w:ascii="Arial" w:hAnsi="Arial" w:cs="Arial"/>
          <w:b/>
          <w:sz w:val="20"/>
          <w:szCs w:val="20"/>
          <w:lang w:val="fr-FR" w:eastAsia="fr-FR"/>
        </w:rPr>
      </w:pPr>
      <w:r w:rsidRPr="00B6647E">
        <w:rPr>
          <w:rFonts w:ascii="Arial" w:hAnsi="Arial" w:cs="Arial"/>
          <w:b/>
          <w:sz w:val="20"/>
          <w:szCs w:val="20"/>
          <w:lang w:val="fr-FR" w:eastAsia="fr-FR"/>
        </w:rPr>
        <w:t>Tableau 1</w:t>
      </w:r>
      <w:r w:rsidR="00E34AD0">
        <w:rPr>
          <w:rFonts w:ascii="Arial" w:hAnsi="Arial" w:cs="Arial"/>
          <w:b/>
          <w:sz w:val="20"/>
          <w:szCs w:val="20"/>
          <w:lang w:val="fr-FR" w:eastAsia="fr-FR"/>
        </w:rPr>
        <w:t>8</w:t>
      </w:r>
      <w:r w:rsidRPr="00B6647E">
        <w:rPr>
          <w:rFonts w:ascii="Arial" w:hAnsi="Arial" w:cs="Arial"/>
          <w:b/>
          <w:sz w:val="20"/>
          <w:szCs w:val="20"/>
          <w:lang w:val="fr-FR" w:eastAsia="fr-FR"/>
        </w:rPr>
        <w:t>5</w:t>
      </w:r>
      <w:r w:rsidR="0076422A" w:rsidRPr="00B6647E">
        <w:rPr>
          <w:rFonts w:ascii="Arial" w:hAnsi="Arial" w:cs="Arial"/>
          <w:b/>
          <w:sz w:val="20"/>
          <w:szCs w:val="20"/>
          <w:lang w:val="fr-FR" w:eastAsia="fr-FR"/>
        </w:rPr>
        <w:t xml:space="preserve"> : Production totale de </w:t>
      </w:r>
      <w:r w:rsidR="00A0093A" w:rsidRPr="00B6647E">
        <w:rPr>
          <w:rFonts w:ascii="Arial" w:hAnsi="Arial" w:cs="Arial"/>
          <w:b/>
          <w:sz w:val="20"/>
          <w:szCs w:val="20"/>
          <w:lang w:val="fr-FR" w:eastAsia="fr-FR"/>
        </w:rPr>
        <w:t>pomme de terre</w:t>
      </w:r>
      <w:r w:rsidR="0076422A" w:rsidRPr="00B6647E">
        <w:rPr>
          <w:rFonts w:ascii="Arial" w:hAnsi="Arial" w:cs="Arial"/>
          <w:b/>
          <w:sz w:val="20"/>
          <w:szCs w:val="20"/>
          <w:lang w:val="fr-FR" w:eastAsia="fr-FR"/>
        </w:rPr>
        <w:t xml:space="preserve"> par région et par saison</w:t>
      </w:r>
    </w:p>
    <w:p w:rsidR="0076422A" w:rsidRPr="00B6647E" w:rsidRDefault="0042616A" w:rsidP="00F0613D">
      <w:pPr>
        <w:spacing w:line="240" w:lineRule="auto"/>
        <w:jc w:val="both"/>
        <w:rPr>
          <w:rFonts w:ascii="Arial" w:hAnsi="Arial" w:cs="Arial"/>
          <w:lang w:val="fr-FR" w:eastAsia="fr-FR"/>
        </w:rPr>
      </w:pPr>
      <w:r w:rsidRPr="00B6647E">
        <w:rPr>
          <w:noProof/>
          <w:lang w:val="fr-FR" w:eastAsia="fr-FR"/>
        </w:rPr>
        <w:drawing>
          <wp:inline distT="0" distB="0" distL="0" distR="0">
            <wp:extent cx="4219575" cy="2914650"/>
            <wp:effectExtent l="19050" t="0" r="9525" b="0"/>
            <wp:docPr id="501"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35" cstate="print"/>
                    <a:srcRect/>
                    <a:stretch>
                      <a:fillRect/>
                    </a:stretch>
                  </pic:blipFill>
                  <pic:spPr bwMode="auto">
                    <a:xfrm>
                      <a:off x="0" y="0"/>
                      <a:ext cx="4219575" cy="2914650"/>
                    </a:xfrm>
                    <a:prstGeom prst="rect">
                      <a:avLst/>
                    </a:prstGeom>
                    <a:noFill/>
                    <a:ln w="9525">
                      <a:noFill/>
                      <a:miter lim="800000"/>
                      <a:headEnd/>
                      <a:tailEnd/>
                    </a:ln>
                  </pic:spPr>
                </pic:pic>
              </a:graphicData>
            </a:graphic>
          </wp:inline>
        </w:drawing>
      </w:r>
    </w:p>
    <w:p w:rsidR="000A16E6" w:rsidRPr="00B6647E" w:rsidRDefault="000A16E6" w:rsidP="000A16E6">
      <w:pPr>
        <w:spacing w:line="240" w:lineRule="auto"/>
        <w:jc w:val="both"/>
        <w:rPr>
          <w:rFonts w:ascii="Arial" w:hAnsi="Arial" w:cs="Arial"/>
          <w:sz w:val="20"/>
          <w:szCs w:val="20"/>
          <w:lang w:eastAsia="fr-FR"/>
        </w:rPr>
      </w:pPr>
      <w:r w:rsidRPr="00B6647E">
        <w:rPr>
          <w:rFonts w:ascii="Arial" w:hAnsi="Arial" w:cs="Arial"/>
          <w:sz w:val="20"/>
          <w:szCs w:val="20"/>
          <w:lang w:eastAsia="fr-FR"/>
        </w:rPr>
        <w:lastRenderedPageBreak/>
        <w:t>Les trois saisons de la campagne agricole 2011-2012 ont enregistré des productions du même ordre de grandeurs. Sur les 47.841 tonnes totale de pomme terre (2,3% du l’ensemble des tubercules et racines des trois saisons), la saison A en a produit 16.939 tonnes (35,4%). Pendant la saison B, cette production est de 16.627 tonnes (34,8%) et celle de la saison C est estimée à 14.276 tonnes (29,8%).</w:t>
      </w:r>
    </w:p>
    <w:p w:rsidR="00296601" w:rsidRPr="00B6647E" w:rsidRDefault="00296601" w:rsidP="00F0613D">
      <w:pPr>
        <w:spacing w:line="240" w:lineRule="auto"/>
        <w:jc w:val="both"/>
        <w:rPr>
          <w:rFonts w:ascii="Arial" w:hAnsi="Arial" w:cs="Arial"/>
          <w:sz w:val="20"/>
          <w:szCs w:val="20"/>
        </w:rPr>
      </w:pPr>
      <w:r w:rsidRPr="00B6647E">
        <w:rPr>
          <w:rFonts w:ascii="Arial" w:hAnsi="Arial" w:cs="Arial"/>
          <w:sz w:val="20"/>
          <w:szCs w:val="20"/>
        </w:rPr>
        <w:t>La saison B a produit 65.224 tonnes de colocase, soit 70,2% de la production totale de colocase qui ne représente que 4,5% de la production totale de tubercules et racines. La saison C a produit 25.890 tonnes (27,8%) et la saison A n’a récolté que 1.858 tonnes (2%) de colocase.</w:t>
      </w:r>
      <w:r w:rsidR="000A16E6" w:rsidRPr="00B6647E">
        <w:rPr>
          <w:rFonts w:ascii="Arial" w:hAnsi="Arial" w:cs="Arial"/>
          <w:sz w:val="20"/>
          <w:szCs w:val="20"/>
        </w:rPr>
        <w:t xml:space="preserve"> </w:t>
      </w:r>
      <w:r w:rsidR="000339EE" w:rsidRPr="00B6647E">
        <w:rPr>
          <w:rFonts w:ascii="Arial" w:hAnsi="Arial" w:cs="Arial"/>
          <w:sz w:val="20"/>
          <w:szCs w:val="20"/>
        </w:rPr>
        <w:t>Les productions</w:t>
      </w:r>
      <w:r w:rsidRPr="00B6647E">
        <w:rPr>
          <w:rFonts w:ascii="Arial" w:hAnsi="Arial" w:cs="Arial"/>
          <w:sz w:val="20"/>
          <w:szCs w:val="20"/>
        </w:rPr>
        <w:t xml:space="preserve"> les plus élevées de colocase ont été estimées dans Kirimiro avec 13.074 tonnes (14,1%), Buyogoma avec 12.141 tonnes (13,1%)</w:t>
      </w:r>
      <w:r w:rsidR="000339EE" w:rsidRPr="00B6647E">
        <w:rPr>
          <w:rFonts w:ascii="Arial" w:hAnsi="Arial" w:cs="Arial"/>
          <w:sz w:val="20"/>
          <w:szCs w:val="20"/>
        </w:rPr>
        <w:t>, Mumirwa avec 11.850 tonnes (12,7%), Imbo avec 11.734 tonnes (12,6%)</w:t>
      </w:r>
      <w:r w:rsidRPr="00B6647E">
        <w:rPr>
          <w:rFonts w:ascii="Arial" w:hAnsi="Arial" w:cs="Arial"/>
          <w:sz w:val="20"/>
          <w:szCs w:val="20"/>
        </w:rPr>
        <w:t>. La</w:t>
      </w:r>
      <w:r w:rsidR="000339EE" w:rsidRPr="00B6647E">
        <w:rPr>
          <w:rFonts w:ascii="Arial" w:hAnsi="Arial" w:cs="Arial"/>
          <w:sz w:val="20"/>
          <w:szCs w:val="20"/>
        </w:rPr>
        <w:t xml:space="preserve"> production de colocase estimée dans Buragane est pratiquement nulle au cours des saisons A et B.</w:t>
      </w:r>
    </w:p>
    <w:p w:rsidR="0076422A" w:rsidRPr="00B6647E" w:rsidRDefault="00AE22FF" w:rsidP="000A16E6">
      <w:pPr>
        <w:spacing w:after="0" w:line="240" w:lineRule="auto"/>
        <w:jc w:val="both"/>
        <w:rPr>
          <w:rFonts w:ascii="Arial" w:hAnsi="Arial" w:cs="Arial"/>
          <w:b/>
          <w:sz w:val="20"/>
          <w:szCs w:val="20"/>
          <w:lang w:val="fr-FR" w:eastAsia="fr-FR"/>
        </w:rPr>
      </w:pPr>
      <w:r w:rsidRPr="00B6647E">
        <w:rPr>
          <w:rFonts w:ascii="Arial" w:hAnsi="Arial" w:cs="Arial"/>
          <w:b/>
          <w:sz w:val="20"/>
          <w:szCs w:val="20"/>
          <w:lang w:val="fr-FR" w:eastAsia="fr-FR"/>
        </w:rPr>
        <w:t>Tableau 1</w:t>
      </w:r>
      <w:r w:rsidR="00E34AD0">
        <w:rPr>
          <w:rFonts w:ascii="Arial" w:hAnsi="Arial" w:cs="Arial"/>
          <w:b/>
          <w:sz w:val="20"/>
          <w:szCs w:val="20"/>
          <w:lang w:val="fr-FR" w:eastAsia="fr-FR"/>
        </w:rPr>
        <w:t>8</w:t>
      </w:r>
      <w:r w:rsidRPr="00B6647E">
        <w:rPr>
          <w:rFonts w:ascii="Arial" w:hAnsi="Arial" w:cs="Arial"/>
          <w:b/>
          <w:sz w:val="20"/>
          <w:szCs w:val="20"/>
          <w:lang w:val="fr-FR" w:eastAsia="fr-FR"/>
        </w:rPr>
        <w:t>6</w:t>
      </w:r>
      <w:r w:rsidR="0076422A" w:rsidRPr="00B6647E">
        <w:rPr>
          <w:rFonts w:ascii="Arial" w:hAnsi="Arial" w:cs="Arial"/>
          <w:b/>
          <w:sz w:val="20"/>
          <w:szCs w:val="20"/>
          <w:lang w:val="fr-FR" w:eastAsia="fr-FR"/>
        </w:rPr>
        <w:t xml:space="preserve"> : Production totale de </w:t>
      </w:r>
      <w:r w:rsidR="00A0093A" w:rsidRPr="00B6647E">
        <w:rPr>
          <w:rFonts w:ascii="Arial" w:hAnsi="Arial" w:cs="Arial"/>
          <w:b/>
          <w:sz w:val="20"/>
          <w:szCs w:val="20"/>
          <w:lang w:val="fr-FR" w:eastAsia="fr-FR"/>
        </w:rPr>
        <w:t>colocase</w:t>
      </w:r>
      <w:r w:rsidR="0076422A" w:rsidRPr="00B6647E">
        <w:rPr>
          <w:rFonts w:ascii="Arial" w:hAnsi="Arial" w:cs="Arial"/>
          <w:b/>
          <w:sz w:val="20"/>
          <w:szCs w:val="20"/>
          <w:lang w:val="fr-FR" w:eastAsia="fr-FR"/>
        </w:rPr>
        <w:t xml:space="preserve"> par région et par saison</w:t>
      </w:r>
    </w:p>
    <w:p w:rsidR="0076422A" w:rsidRPr="00B6647E" w:rsidRDefault="0042616A" w:rsidP="000A16E6">
      <w:pPr>
        <w:spacing w:after="0" w:line="240" w:lineRule="auto"/>
        <w:jc w:val="both"/>
        <w:rPr>
          <w:rFonts w:ascii="Arial" w:hAnsi="Arial" w:cs="Arial"/>
          <w:lang w:val="fr-FR" w:eastAsia="fr-FR"/>
        </w:rPr>
      </w:pPr>
      <w:r w:rsidRPr="00B6647E">
        <w:rPr>
          <w:noProof/>
          <w:lang w:val="fr-FR" w:eastAsia="fr-FR"/>
        </w:rPr>
        <w:drawing>
          <wp:inline distT="0" distB="0" distL="0" distR="0">
            <wp:extent cx="4219575" cy="2914650"/>
            <wp:effectExtent l="19050" t="0" r="9525" b="0"/>
            <wp:docPr id="502"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36" cstate="print"/>
                    <a:srcRect/>
                    <a:stretch>
                      <a:fillRect/>
                    </a:stretch>
                  </pic:blipFill>
                  <pic:spPr bwMode="auto">
                    <a:xfrm>
                      <a:off x="0" y="0"/>
                      <a:ext cx="4219575" cy="2914650"/>
                    </a:xfrm>
                    <a:prstGeom prst="rect">
                      <a:avLst/>
                    </a:prstGeom>
                    <a:noFill/>
                    <a:ln w="9525">
                      <a:noFill/>
                      <a:miter lim="800000"/>
                      <a:headEnd/>
                      <a:tailEnd/>
                    </a:ln>
                  </pic:spPr>
                </pic:pic>
              </a:graphicData>
            </a:graphic>
          </wp:inline>
        </w:drawing>
      </w:r>
    </w:p>
    <w:p w:rsidR="00296601" w:rsidRPr="00B6647E" w:rsidRDefault="00296601" w:rsidP="000A16E6">
      <w:pPr>
        <w:spacing w:after="120" w:line="240" w:lineRule="auto"/>
        <w:jc w:val="both"/>
        <w:rPr>
          <w:rFonts w:ascii="Arial" w:hAnsi="Arial" w:cs="Arial"/>
          <w:sz w:val="20"/>
          <w:szCs w:val="20"/>
        </w:rPr>
      </w:pPr>
      <w:r w:rsidRPr="00B6647E">
        <w:rPr>
          <w:rFonts w:ascii="Arial" w:hAnsi="Arial" w:cs="Arial"/>
          <w:sz w:val="20"/>
          <w:szCs w:val="20"/>
        </w:rPr>
        <w:t xml:space="preserve">Sur une production totale de </w:t>
      </w:r>
      <w:r w:rsidR="000339EE" w:rsidRPr="00B6647E">
        <w:rPr>
          <w:rFonts w:ascii="Arial" w:hAnsi="Arial" w:cs="Arial"/>
          <w:sz w:val="20"/>
          <w:szCs w:val="20"/>
        </w:rPr>
        <w:t>6309</w:t>
      </w:r>
      <w:r w:rsidRPr="00B6647E">
        <w:rPr>
          <w:rFonts w:ascii="Arial" w:hAnsi="Arial" w:cs="Arial"/>
          <w:sz w:val="20"/>
          <w:szCs w:val="20"/>
        </w:rPr>
        <w:t xml:space="preserve"> tonnes d</w:t>
      </w:r>
      <w:r w:rsidR="000339EE" w:rsidRPr="00B6647E">
        <w:rPr>
          <w:rFonts w:ascii="Arial" w:hAnsi="Arial" w:cs="Arial"/>
          <w:sz w:val="20"/>
          <w:szCs w:val="20"/>
        </w:rPr>
        <w:t>’igname</w:t>
      </w:r>
      <w:r w:rsidRPr="00B6647E">
        <w:rPr>
          <w:rFonts w:ascii="Arial" w:hAnsi="Arial" w:cs="Arial"/>
          <w:sz w:val="20"/>
          <w:szCs w:val="20"/>
        </w:rPr>
        <w:t xml:space="preserve"> pendant toute la campagne agricole 2011-2012</w:t>
      </w:r>
      <w:r w:rsidR="000339EE" w:rsidRPr="00B6647E">
        <w:rPr>
          <w:rFonts w:ascii="Arial" w:hAnsi="Arial" w:cs="Arial"/>
          <w:sz w:val="20"/>
          <w:szCs w:val="20"/>
        </w:rPr>
        <w:t xml:space="preserve"> (0,3</w:t>
      </w:r>
      <w:r w:rsidRPr="00B6647E">
        <w:rPr>
          <w:rFonts w:ascii="Arial" w:hAnsi="Arial" w:cs="Arial"/>
          <w:sz w:val="20"/>
          <w:szCs w:val="20"/>
        </w:rPr>
        <w:t xml:space="preserve">% de la production totale de </w:t>
      </w:r>
      <w:r w:rsidR="000339EE" w:rsidRPr="00B6647E">
        <w:rPr>
          <w:rFonts w:ascii="Arial" w:hAnsi="Arial" w:cs="Arial"/>
          <w:sz w:val="20"/>
          <w:szCs w:val="20"/>
        </w:rPr>
        <w:t>tubercules et racines</w:t>
      </w:r>
      <w:r w:rsidRPr="00B6647E">
        <w:rPr>
          <w:rFonts w:ascii="Arial" w:hAnsi="Arial" w:cs="Arial"/>
          <w:sz w:val="20"/>
          <w:szCs w:val="20"/>
        </w:rPr>
        <w:t xml:space="preserve">), l’enquête a estimé à </w:t>
      </w:r>
      <w:r w:rsidR="000339EE" w:rsidRPr="00B6647E">
        <w:rPr>
          <w:rFonts w:ascii="Arial" w:hAnsi="Arial" w:cs="Arial"/>
          <w:sz w:val="20"/>
          <w:szCs w:val="20"/>
        </w:rPr>
        <w:t>5.546</w:t>
      </w:r>
      <w:r w:rsidRPr="00B6647E">
        <w:rPr>
          <w:rFonts w:ascii="Arial" w:hAnsi="Arial" w:cs="Arial"/>
          <w:sz w:val="20"/>
          <w:szCs w:val="20"/>
        </w:rPr>
        <w:t xml:space="preserve"> tonnes la production au cours de la saison </w:t>
      </w:r>
      <w:r w:rsidR="000339EE" w:rsidRPr="00B6647E">
        <w:rPr>
          <w:rFonts w:ascii="Arial" w:hAnsi="Arial" w:cs="Arial"/>
          <w:sz w:val="20"/>
          <w:szCs w:val="20"/>
        </w:rPr>
        <w:t>B</w:t>
      </w:r>
      <w:r w:rsidRPr="00B6647E">
        <w:rPr>
          <w:rFonts w:ascii="Arial" w:hAnsi="Arial" w:cs="Arial"/>
          <w:sz w:val="20"/>
          <w:szCs w:val="20"/>
        </w:rPr>
        <w:t xml:space="preserve"> (</w:t>
      </w:r>
      <w:r w:rsidR="000339EE" w:rsidRPr="00B6647E">
        <w:rPr>
          <w:rFonts w:ascii="Arial" w:hAnsi="Arial" w:cs="Arial"/>
          <w:sz w:val="20"/>
          <w:szCs w:val="20"/>
        </w:rPr>
        <w:t>87,9</w:t>
      </w:r>
      <w:r w:rsidRPr="00B6647E">
        <w:rPr>
          <w:rFonts w:ascii="Arial" w:hAnsi="Arial" w:cs="Arial"/>
          <w:sz w:val="20"/>
          <w:szCs w:val="20"/>
        </w:rPr>
        <w:t>%)</w:t>
      </w:r>
      <w:r w:rsidR="000339EE" w:rsidRPr="00B6647E">
        <w:rPr>
          <w:rFonts w:ascii="Arial" w:hAnsi="Arial" w:cs="Arial"/>
          <w:sz w:val="20"/>
          <w:szCs w:val="20"/>
        </w:rPr>
        <w:t xml:space="preserve">. Trois régions naturelles ont produit </w:t>
      </w:r>
      <w:r w:rsidR="00F0613D" w:rsidRPr="00B6647E">
        <w:rPr>
          <w:rFonts w:ascii="Arial" w:hAnsi="Arial" w:cs="Arial"/>
          <w:sz w:val="20"/>
          <w:szCs w:val="20"/>
        </w:rPr>
        <w:t xml:space="preserve"> à elles seules </w:t>
      </w:r>
      <w:r w:rsidR="000339EE" w:rsidRPr="00B6647E">
        <w:rPr>
          <w:rFonts w:ascii="Arial" w:hAnsi="Arial" w:cs="Arial"/>
          <w:sz w:val="20"/>
          <w:szCs w:val="20"/>
        </w:rPr>
        <w:t xml:space="preserve">77,3% de </w:t>
      </w:r>
      <w:r w:rsidR="00F0613D" w:rsidRPr="00B6647E">
        <w:rPr>
          <w:rFonts w:ascii="Arial" w:hAnsi="Arial" w:cs="Arial"/>
          <w:sz w:val="20"/>
          <w:szCs w:val="20"/>
        </w:rPr>
        <w:t>la production</w:t>
      </w:r>
      <w:r w:rsidR="000339EE" w:rsidRPr="00B6647E">
        <w:rPr>
          <w:rFonts w:ascii="Arial" w:hAnsi="Arial" w:cs="Arial"/>
          <w:sz w:val="20"/>
          <w:szCs w:val="20"/>
        </w:rPr>
        <w:t xml:space="preserve"> totale d</w:t>
      </w:r>
      <w:r w:rsidR="00F0613D" w:rsidRPr="00B6647E">
        <w:rPr>
          <w:rFonts w:ascii="Arial" w:hAnsi="Arial" w:cs="Arial"/>
          <w:sz w:val="20"/>
          <w:szCs w:val="20"/>
        </w:rPr>
        <w:t>’igname</w:t>
      </w:r>
      <w:r w:rsidR="000339EE" w:rsidRPr="00B6647E">
        <w:rPr>
          <w:rFonts w:ascii="Arial" w:hAnsi="Arial" w:cs="Arial"/>
          <w:sz w:val="20"/>
          <w:szCs w:val="20"/>
        </w:rPr>
        <w:t> : Kirimiro (1.755</w:t>
      </w:r>
      <w:r w:rsidRPr="00B6647E">
        <w:rPr>
          <w:rFonts w:ascii="Arial" w:hAnsi="Arial" w:cs="Arial"/>
          <w:sz w:val="20"/>
          <w:szCs w:val="20"/>
        </w:rPr>
        <w:t xml:space="preserve"> tonnes</w:t>
      </w:r>
      <w:r w:rsidR="000339EE" w:rsidRPr="00B6647E">
        <w:rPr>
          <w:rFonts w:ascii="Arial" w:hAnsi="Arial" w:cs="Arial"/>
          <w:sz w:val="20"/>
          <w:szCs w:val="20"/>
        </w:rPr>
        <w:t xml:space="preserve">), </w:t>
      </w:r>
      <w:r w:rsidR="00F0613D" w:rsidRPr="00B6647E">
        <w:rPr>
          <w:rFonts w:ascii="Arial" w:hAnsi="Arial" w:cs="Arial"/>
          <w:sz w:val="20"/>
          <w:szCs w:val="20"/>
        </w:rPr>
        <w:t>Mumirwa (</w:t>
      </w:r>
      <w:r w:rsidR="000339EE" w:rsidRPr="00B6647E">
        <w:rPr>
          <w:rFonts w:ascii="Arial" w:hAnsi="Arial" w:cs="Arial"/>
          <w:sz w:val="20"/>
          <w:szCs w:val="20"/>
        </w:rPr>
        <w:t>1.736 tonnes</w:t>
      </w:r>
      <w:r w:rsidR="00F0613D" w:rsidRPr="00B6647E">
        <w:rPr>
          <w:rFonts w:ascii="Arial" w:hAnsi="Arial" w:cs="Arial"/>
          <w:sz w:val="20"/>
          <w:szCs w:val="20"/>
        </w:rPr>
        <w:t xml:space="preserve">) et </w:t>
      </w:r>
      <w:r w:rsidR="000339EE" w:rsidRPr="00B6647E">
        <w:rPr>
          <w:rFonts w:ascii="Arial" w:hAnsi="Arial" w:cs="Arial"/>
          <w:sz w:val="20"/>
          <w:szCs w:val="20"/>
        </w:rPr>
        <w:t xml:space="preserve">Moso </w:t>
      </w:r>
      <w:r w:rsidR="00F0613D" w:rsidRPr="00B6647E">
        <w:rPr>
          <w:rFonts w:ascii="Arial" w:hAnsi="Arial" w:cs="Arial"/>
          <w:sz w:val="20"/>
          <w:szCs w:val="20"/>
        </w:rPr>
        <w:t>(</w:t>
      </w:r>
      <w:r w:rsidR="000339EE" w:rsidRPr="00B6647E">
        <w:rPr>
          <w:rFonts w:ascii="Arial" w:hAnsi="Arial" w:cs="Arial"/>
          <w:sz w:val="20"/>
          <w:szCs w:val="20"/>
        </w:rPr>
        <w:t>1385 tonnes</w:t>
      </w:r>
      <w:r w:rsidR="00F0613D" w:rsidRPr="00B6647E">
        <w:rPr>
          <w:rFonts w:ascii="Arial" w:hAnsi="Arial" w:cs="Arial"/>
          <w:sz w:val="20"/>
          <w:szCs w:val="20"/>
        </w:rPr>
        <w:t>)</w:t>
      </w:r>
      <w:r w:rsidR="000339EE" w:rsidRPr="00B6647E">
        <w:rPr>
          <w:rFonts w:ascii="Arial" w:hAnsi="Arial" w:cs="Arial"/>
          <w:sz w:val="20"/>
          <w:szCs w:val="20"/>
        </w:rPr>
        <w:t>.</w:t>
      </w:r>
    </w:p>
    <w:p w:rsidR="0076422A" w:rsidRPr="00B6647E" w:rsidRDefault="0076422A" w:rsidP="000A16E6">
      <w:pPr>
        <w:spacing w:after="0" w:line="240" w:lineRule="auto"/>
        <w:jc w:val="both"/>
        <w:rPr>
          <w:rFonts w:ascii="Arial" w:hAnsi="Arial" w:cs="Arial"/>
          <w:b/>
          <w:sz w:val="20"/>
          <w:szCs w:val="20"/>
          <w:lang w:val="fr-FR" w:eastAsia="fr-FR"/>
        </w:rPr>
      </w:pPr>
      <w:r w:rsidRPr="00B6647E">
        <w:rPr>
          <w:rFonts w:ascii="Arial" w:hAnsi="Arial" w:cs="Arial"/>
          <w:b/>
          <w:sz w:val="20"/>
          <w:szCs w:val="20"/>
          <w:lang w:val="fr-FR" w:eastAsia="fr-FR"/>
        </w:rPr>
        <w:t xml:space="preserve">Tableau </w:t>
      </w:r>
      <w:r w:rsidR="00AE22FF" w:rsidRPr="00B6647E">
        <w:rPr>
          <w:rFonts w:ascii="Arial" w:hAnsi="Arial" w:cs="Arial"/>
          <w:b/>
          <w:sz w:val="20"/>
          <w:szCs w:val="20"/>
          <w:lang w:val="fr-FR" w:eastAsia="fr-FR"/>
        </w:rPr>
        <w:t>1</w:t>
      </w:r>
      <w:r w:rsidR="00E34AD0">
        <w:rPr>
          <w:rFonts w:ascii="Arial" w:hAnsi="Arial" w:cs="Arial"/>
          <w:b/>
          <w:sz w:val="20"/>
          <w:szCs w:val="20"/>
          <w:lang w:val="fr-FR" w:eastAsia="fr-FR"/>
        </w:rPr>
        <w:t>8</w:t>
      </w:r>
      <w:r w:rsidR="00AE22FF" w:rsidRPr="00B6647E">
        <w:rPr>
          <w:rFonts w:ascii="Arial" w:hAnsi="Arial" w:cs="Arial"/>
          <w:b/>
          <w:sz w:val="20"/>
          <w:szCs w:val="20"/>
          <w:lang w:val="fr-FR" w:eastAsia="fr-FR"/>
        </w:rPr>
        <w:t>7</w:t>
      </w:r>
      <w:r w:rsidRPr="00B6647E">
        <w:rPr>
          <w:rFonts w:ascii="Arial" w:hAnsi="Arial" w:cs="Arial"/>
          <w:b/>
          <w:sz w:val="20"/>
          <w:szCs w:val="20"/>
          <w:lang w:val="fr-FR" w:eastAsia="fr-FR"/>
        </w:rPr>
        <w:t> : Production totale d</w:t>
      </w:r>
      <w:r w:rsidR="00A0093A" w:rsidRPr="00B6647E">
        <w:rPr>
          <w:rFonts w:ascii="Arial" w:hAnsi="Arial" w:cs="Arial"/>
          <w:b/>
          <w:sz w:val="20"/>
          <w:szCs w:val="20"/>
          <w:lang w:val="fr-FR" w:eastAsia="fr-FR"/>
        </w:rPr>
        <w:t>’igname</w:t>
      </w:r>
      <w:r w:rsidRPr="00B6647E">
        <w:rPr>
          <w:rFonts w:ascii="Arial" w:hAnsi="Arial" w:cs="Arial"/>
          <w:b/>
          <w:sz w:val="20"/>
          <w:szCs w:val="20"/>
          <w:lang w:val="fr-FR" w:eastAsia="fr-FR"/>
        </w:rPr>
        <w:t xml:space="preserve"> par région et par saison</w:t>
      </w:r>
    </w:p>
    <w:p w:rsidR="0076422A" w:rsidRPr="00B6647E" w:rsidRDefault="0042616A" w:rsidP="000A16E6">
      <w:pPr>
        <w:spacing w:after="0" w:line="240" w:lineRule="auto"/>
        <w:jc w:val="both"/>
        <w:rPr>
          <w:rFonts w:ascii="Arial" w:hAnsi="Arial" w:cs="Arial"/>
          <w:sz w:val="20"/>
          <w:szCs w:val="20"/>
          <w:lang w:val="fr-FR" w:eastAsia="fr-FR"/>
        </w:rPr>
      </w:pPr>
      <w:r w:rsidRPr="00B6647E">
        <w:rPr>
          <w:noProof/>
          <w:szCs w:val="20"/>
          <w:lang w:val="fr-FR" w:eastAsia="fr-FR"/>
        </w:rPr>
        <w:drawing>
          <wp:inline distT="0" distB="0" distL="0" distR="0">
            <wp:extent cx="4219575" cy="2914650"/>
            <wp:effectExtent l="19050" t="0" r="9525" b="0"/>
            <wp:docPr id="503"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37" cstate="print"/>
                    <a:srcRect/>
                    <a:stretch>
                      <a:fillRect/>
                    </a:stretch>
                  </pic:blipFill>
                  <pic:spPr bwMode="auto">
                    <a:xfrm>
                      <a:off x="0" y="0"/>
                      <a:ext cx="4219575" cy="2914650"/>
                    </a:xfrm>
                    <a:prstGeom prst="rect">
                      <a:avLst/>
                    </a:prstGeom>
                    <a:noFill/>
                    <a:ln w="9525">
                      <a:noFill/>
                      <a:miter lim="800000"/>
                      <a:headEnd/>
                      <a:tailEnd/>
                    </a:ln>
                  </pic:spPr>
                </pic:pic>
              </a:graphicData>
            </a:graphic>
          </wp:inline>
        </w:drawing>
      </w:r>
    </w:p>
    <w:p w:rsidR="00C173BF" w:rsidRPr="00B6647E" w:rsidRDefault="00C173BF" w:rsidP="00C84C4B">
      <w:pPr>
        <w:spacing w:before="200" w:after="120" w:line="240" w:lineRule="auto"/>
        <w:rPr>
          <w:rFonts w:ascii="Arial" w:hAnsi="Arial" w:cs="Arial"/>
          <w:b/>
          <w:sz w:val="20"/>
          <w:szCs w:val="20"/>
          <w:lang w:val="fr-FR" w:eastAsia="fr-FR"/>
        </w:rPr>
      </w:pPr>
      <w:r w:rsidRPr="00B6647E">
        <w:rPr>
          <w:rFonts w:ascii="Arial" w:hAnsi="Arial" w:cs="Arial"/>
          <w:b/>
          <w:sz w:val="20"/>
          <w:szCs w:val="20"/>
          <w:lang w:val="fr-FR" w:eastAsia="fr-FR"/>
        </w:rPr>
        <w:lastRenderedPageBreak/>
        <w:t>a) Production des tubercules et racine par province au cours des trois saisons</w:t>
      </w:r>
    </w:p>
    <w:p w:rsidR="00C57D3E" w:rsidRPr="00B6647E" w:rsidRDefault="00C57D3E" w:rsidP="00D94E5B">
      <w:pPr>
        <w:spacing w:line="240" w:lineRule="auto"/>
        <w:jc w:val="both"/>
        <w:rPr>
          <w:rFonts w:ascii="Arial" w:hAnsi="Arial" w:cs="Arial"/>
          <w:sz w:val="20"/>
          <w:szCs w:val="20"/>
          <w:lang w:eastAsia="fr-FR"/>
        </w:rPr>
      </w:pPr>
      <w:r w:rsidRPr="00B6647E">
        <w:rPr>
          <w:rFonts w:ascii="Arial" w:hAnsi="Arial" w:cs="Arial"/>
          <w:sz w:val="20"/>
          <w:szCs w:val="20"/>
          <w:lang w:val="fr-FR" w:eastAsia="fr-FR"/>
        </w:rPr>
        <w:t xml:space="preserve">La production totale de 2.051.323 tonnes de tubercules et racines de toutes les trois saisons de la campagne agricole 2011-2012 est </w:t>
      </w:r>
      <w:r w:rsidRPr="00B6647E">
        <w:rPr>
          <w:rFonts w:ascii="Arial" w:hAnsi="Arial" w:cs="Arial"/>
          <w:sz w:val="20"/>
          <w:szCs w:val="20"/>
          <w:lang w:eastAsia="fr-FR"/>
        </w:rPr>
        <w:t>composée de 367.075 tonnes de la saison A (17,9%), 1.051.305 tonnes de la saison B (51,2%) et 632.943 tonnes produites au cours de la saison C (30,9%).</w:t>
      </w:r>
    </w:p>
    <w:p w:rsidR="004046D6" w:rsidRPr="00B6647E" w:rsidRDefault="00C57D3E" w:rsidP="00D94E5B">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t xml:space="preserve">Dans cette </w:t>
      </w:r>
      <w:r w:rsidR="004046D6" w:rsidRPr="00B6647E">
        <w:rPr>
          <w:rFonts w:ascii="Arial" w:hAnsi="Arial" w:cs="Arial"/>
          <w:sz w:val="20"/>
          <w:szCs w:val="20"/>
          <w:lang w:val="fr-FR" w:eastAsia="fr-FR"/>
        </w:rPr>
        <w:t xml:space="preserve">production totale de tubercules </w:t>
      </w:r>
      <w:r w:rsidR="00534C5C" w:rsidRPr="00B6647E">
        <w:rPr>
          <w:rFonts w:ascii="Arial" w:hAnsi="Arial" w:cs="Arial"/>
          <w:sz w:val="20"/>
          <w:szCs w:val="20"/>
          <w:lang w:val="fr-FR" w:eastAsia="fr-FR"/>
        </w:rPr>
        <w:t xml:space="preserve">et racines, </w:t>
      </w:r>
      <w:r w:rsidR="006435D8" w:rsidRPr="00B6647E">
        <w:rPr>
          <w:rFonts w:ascii="Arial" w:hAnsi="Arial" w:cs="Arial"/>
          <w:sz w:val="20"/>
          <w:szCs w:val="20"/>
          <w:lang w:val="fr-FR" w:eastAsia="fr-FR"/>
        </w:rPr>
        <w:t xml:space="preserve">la part de </w:t>
      </w:r>
      <w:r w:rsidR="00534C5C" w:rsidRPr="00B6647E">
        <w:rPr>
          <w:rFonts w:ascii="Arial" w:hAnsi="Arial" w:cs="Arial"/>
          <w:sz w:val="20"/>
          <w:szCs w:val="20"/>
          <w:lang w:val="fr-FR" w:eastAsia="fr-FR"/>
        </w:rPr>
        <w:t xml:space="preserve">la province de Gitega </w:t>
      </w:r>
      <w:r w:rsidR="006435D8" w:rsidRPr="00B6647E">
        <w:rPr>
          <w:rFonts w:ascii="Arial" w:hAnsi="Arial" w:cs="Arial"/>
          <w:sz w:val="20"/>
          <w:szCs w:val="20"/>
          <w:lang w:val="fr-FR" w:eastAsia="fr-FR"/>
        </w:rPr>
        <w:t xml:space="preserve">est estimée à </w:t>
      </w:r>
      <w:r w:rsidR="00534C5C" w:rsidRPr="00B6647E">
        <w:rPr>
          <w:rFonts w:ascii="Arial" w:hAnsi="Arial" w:cs="Arial"/>
          <w:sz w:val="20"/>
          <w:szCs w:val="20"/>
          <w:lang w:val="fr-FR" w:eastAsia="fr-FR"/>
        </w:rPr>
        <w:t>223.757 tonnes</w:t>
      </w:r>
      <w:r w:rsidR="006435D8" w:rsidRPr="00B6647E">
        <w:rPr>
          <w:rFonts w:ascii="Arial" w:hAnsi="Arial" w:cs="Arial"/>
          <w:sz w:val="20"/>
          <w:szCs w:val="20"/>
          <w:lang w:val="fr-FR" w:eastAsia="fr-FR"/>
        </w:rPr>
        <w:t xml:space="preserve"> (10,9%</w:t>
      </w:r>
      <w:r w:rsidR="00534C5C" w:rsidRPr="00B6647E">
        <w:rPr>
          <w:rFonts w:ascii="Arial" w:hAnsi="Arial" w:cs="Arial"/>
          <w:sz w:val="20"/>
          <w:szCs w:val="20"/>
          <w:lang w:val="fr-FR" w:eastAsia="fr-FR"/>
        </w:rPr>
        <w:t>)</w:t>
      </w:r>
      <w:r w:rsidR="006435D8" w:rsidRPr="00B6647E">
        <w:rPr>
          <w:rFonts w:ascii="Arial" w:hAnsi="Arial" w:cs="Arial"/>
          <w:sz w:val="20"/>
          <w:szCs w:val="20"/>
          <w:lang w:val="fr-FR" w:eastAsia="fr-FR"/>
        </w:rPr>
        <w:t>, celle de Bujumbura rural est 195.869 tonnes (9,5%), celle de Kirundo est évaluée à 191.515 tonnes (9,3%).</w:t>
      </w:r>
      <w:r w:rsidRPr="00B6647E">
        <w:rPr>
          <w:rFonts w:ascii="Arial" w:hAnsi="Arial" w:cs="Arial"/>
          <w:sz w:val="20"/>
          <w:szCs w:val="20"/>
          <w:lang w:val="fr-FR" w:eastAsia="fr-FR"/>
        </w:rPr>
        <w:t>Rutana est la seule province à avoir eu une production sur les trois saisons estimée à moins de 50.000 tonnes (34.052 tonnes).</w:t>
      </w:r>
    </w:p>
    <w:p w:rsidR="0076422A" w:rsidRPr="00B6647E" w:rsidRDefault="0076422A" w:rsidP="00AE22FF">
      <w:pPr>
        <w:spacing w:line="240" w:lineRule="auto"/>
        <w:jc w:val="both"/>
        <w:rPr>
          <w:rFonts w:ascii="Arial" w:hAnsi="Arial" w:cs="Arial"/>
          <w:b/>
          <w:sz w:val="20"/>
          <w:szCs w:val="20"/>
          <w:lang w:val="fr-FR" w:eastAsia="fr-FR"/>
        </w:rPr>
      </w:pPr>
      <w:r w:rsidRPr="00B6647E">
        <w:rPr>
          <w:rFonts w:ascii="Arial" w:hAnsi="Arial" w:cs="Arial"/>
          <w:b/>
          <w:sz w:val="20"/>
          <w:szCs w:val="20"/>
          <w:lang w:val="fr-FR" w:eastAsia="fr-FR"/>
        </w:rPr>
        <w:t xml:space="preserve">Tableau </w:t>
      </w:r>
      <w:r w:rsidR="00AE22FF" w:rsidRPr="00B6647E">
        <w:rPr>
          <w:rFonts w:ascii="Arial" w:hAnsi="Arial" w:cs="Arial"/>
          <w:b/>
          <w:sz w:val="20"/>
          <w:szCs w:val="20"/>
          <w:lang w:val="fr-FR" w:eastAsia="fr-FR"/>
        </w:rPr>
        <w:t>1</w:t>
      </w:r>
      <w:r w:rsidR="00E34AD0">
        <w:rPr>
          <w:rFonts w:ascii="Arial" w:hAnsi="Arial" w:cs="Arial"/>
          <w:b/>
          <w:sz w:val="20"/>
          <w:szCs w:val="20"/>
          <w:lang w:val="fr-FR" w:eastAsia="fr-FR"/>
        </w:rPr>
        <w:t>8</w:t>
      </w:r>
      <w:r w:rsidR="00AE22FF" w:rsidRPr="00B6647E">
        <w:rPr>
          <w:rFonts w:ascii="Arial" w:hAnsi="Arial" w:cs="Arial"/>
          <w:b/>
          <w:sz w:val="20"/>
          <w:szCs w:val="20"/>
          <w:lang w:val="fr-FR" w:eastAsia="fr-FR"/>
        </w:rPr>
        <w:t>8</w:t>
      </w:r>
      <w:r w:rsidRPr="00B6647E">
        <w:rPr>
          <w:rFonts w:ascii="Arial" w:hAnsi="Arial" w:cs="Arial"/>
          <w:b/>
          <w:sz w:val="20"/>
          <w:szCs w:val="20"/>
          <w:lang w:val="fr-FR" w:eastAsia="fr-FR"/>
        </w:rPr>
        <w:t> : Production totale de tubercules et racines par province et par saison</w:t>
      </w:r>
    </w:p>
    <w:p w:rsidR="0076422A" w:rsidRPr="00B6647E" w:rsidRDefault="00354D64" w:rsidP="00D94E5B">
      <w:pPr>
        <w:spacing w:line="240" w:lineRule="auto"/>
        <w:jc w:val="both"/>
        <w:rPr>
          <w:rFonts w:ascii="Arial" w:hAnsi="Arial" w:cs="Arial"/>
          <w:sz w:val="20"/>
          <w:szCs w:val="20"/>
          <w:lang w:val="fr-FR" w:eastAsia="fr-FR"/>
        </w:rPr>
      </w:pPr>
      <w:r w:rsidRPr="00B6647E">
        <w:rPr>
          <w:noProof/>
          <w:szCs w:val="20"/>
          <w:lang w:val="fr-FR" w:eastAsia="fr-FR"/>
        </w:rPr>
        <w:drawing>
          <wp:inline distT="0" distB="0" distL="0" distR="0">
            <wp:extent cx="4191000" cy="3867150"/>
            <wp:effectExtent l="19050" t="0" r="0" b="0"/>
            <wp:docPr id="504"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38" cstate="print"/>
                    <a:srcRect/>
                    <a:stretch>
                      <a:fillRect/>
                    </a:stretch>
                  </pic:blipFill>
                  <pic:spPr bwMode="auto">
                    <a:xfrm>
                      <a:off x="0" y="0"/>
                      <a:ext cx="4191000" cy="3867150"/>
                    </a:xfrm>
                    <a:prstGeom prst="rect">
                      <a:avLst/>
                    </a:prstGeom>
                    <a:noFill/>
                    <a:ln w="9525">
                      <a:noFill/>
                      <a:miter lim="800000"/>
                      <a:headEnd/>
                      <a:tailEnd/>
                    </a:ln>
                  </pic:spPr>
                </pic:pic>
              </a:graphicData>
            </a:graphic>
          </wp:inline>
        </w:drawing>
      </w:r>
    </w:p>
    <w:p w:rsidR="0076422A" w:rsidRPr="00B6647E" w:rsidRDefault="003F29FE" w:rsidP="00D94E5B">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t>Le manioc (amer et doux) qui représente 60,7% de la production totale des tubercules et racines est la principale composante de ce groupe de cultures.</w:t>
      </w:r>
    </w:p>
    <w:p w:rsidR="001A12CA" w:rsidRPr="00B6647E" w:rsidRDefault="001A12CA" w:rsidP="00D94E5B">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t>Les plus grandes productions de manioc ont été estimées dans les provinces de Gitega (173.156 tonnes, soit 13,9% de la production totale de manioc des trois saisons), Cibitoke (140.203 tonnes, soit 11,3%), Bujumbura rural (135.011 tonnes, soit 10,8%), Makamba (118.182 tonnes, soit 9,5%)</w:t>
      </w:r>
    </w:p>
    <w:p w:rsidR="003F29FE" w:rsidRPr="00B6647E" w:rsidRDefault="00782283" w:rsidP="00D94E5B">
      <w:pPr>
        <w:spacing w:line="240" w:lineRule="auto"/>
        <w:jc w:val="both"/>
        <w:rPr>
          <w:rFonts w:ascii="Arial" w:hAnsi="Arial" w:cs="Arial"/>
          <w:sz w:val="20"/>
          <w:szCs w:val="20"/>
          <w:lang w:val="fr-FR" w:eastAsia="fr-FR"/>
        </w:rPr>
      </w:pPr>
      <w:r>
        <w:rPr>
          <w:rFonts w:ascii="Arial" w:hAnsi="Arial" w:cs="Arial"/>
          <w:sz w:val="20"/>
          <w:szCs w:val="20"/>
          <w:lang w:val="fr-FR" w:eastAsia="fr-FR"/>
        </w:rPr>
        <w:t>L’enquête n’a pas signalé de</w:t>
      </w:r>
      <w:r w:rsidR="002E7D98" w:rsidRPr="00B6647E">
        <w:rPr>
          <w:rFonts w:ascii="Arial" w:hAnsi="Arial" w:cs="Arial"/>
          <w:sz w:val="20"/>
          <w:szCs w:val="20"/>
          <w:lang w:val="fr-FR" w:eastAsia="fr-FR"/>
        </w:rPr>
        <w:t xml:space="preserve"> manioc au cours de la saison A dans les provinces de Kirundo, Mwaro et Rutana.</w:t>
      </w:r>
    </w:p>
    <w:p w:rsidR="000A16E6" w:rsidRPr="00B6647E" w:rsidRDefault="000A16E6">
      <w:pPr>
        <w:rPr>
          <w:rFonts w:ascii="Arial" w:hAnsi="Arial" w:cs="Arial"/>
          <w:b/>
          <w:sz w:val="20"/>
          <w:szCs w:val="20"/>
          <w:lang w:val="fr-FR" w:eastAsia="fr-FR"/>
        </w:rPr>
      </w:pPr>
      <w:r w:rsidRPr="00B6647E">
        <w:rPr>
          <w:rFonts w:ascii="Arial" w:hAnsi="Arial" w:cs="Arial"/>
          <w:b/>
          <w:sz w:val="20"/>
          <w:szCs w:val="20"/>
          <w:lang w:val="fr-FR" w:eastAsia="fr-FR"/>
        </w:rPr>
        <w:br w:type="page"/>
      </w:r>
    </w:p>
    <w:p w:rsidR="00A0093A" w:rsidRPr="00B6647E" w:rsidRDefault="00A0093A" w:rsidP="00AE22FF">
      <w:pPr>
        <w:spacing w:line="240" w:lineRule="auto"/>
        <w:jc w:val="both"/>
        <w:rPr>
          <w:rFonts w:ascii="Arial" w:hAnsi="Arial" w:cs="Arial"/>
          <w:b/>
          <w:sz w:val="20"/>
          <w:szCs w:val="20"/>
          <w:lang w:val="fr-FR" w:eastAsia="fr-FR"/>
        </w:rPr>
      </w:pPr>
      <w:r w:rsidRPr="00B6647E">
        <w:rPr>
          <w:rFonts w:ascii="Arial" w:hAnsi="Arial" w:cs="Arial"/>
          <w:b/>
          <w:sz w:val="20"/>
          <w:szCs w:val="20"/>
          <w:lang w:val="fr-FR" w:eastAsia="fr-FR"/>
        </w:rPr>
        <w:lastRenderedPageBreak/>
        <w:t xml:space="preserve">Tableau </w:t>
      </w:r>
      <w:r w:rsidR="00AE22FF" w:rsidRPr="00B6647E">
        <w:rPr>
          <w:rFonts w:ascii="Arial" w:hAnsi="Arial" w:cs="Arial"/>
          <w:b/>
          <w:sz w:val="20"/>
          <w:szCs w:val="20"/>
          <w:lang w:val="fr-FR" w:eastAsia="fr-FR"/>
        </w:rPr>
        <w:t>1</w:t>
      </w:r>
      <w:r w:rsidR="00E34AD0">
        <w:rPr>
          <w:rFonts w:ascii="Arial" w:hAnsi="Arial" w:cs="Arial"/>
          <w:b/>
          <w:sz w:val="20"/>
          <w:szCs w:val="20"/>
          <w:lang w:val="fr-FR" w:eastAsia="fr-FR"/>
        </w:rPr>
        <w:t>8</w:t>
      </w:r>
      <w:r w:rsidR="00AE22FF" w:rsidRPr="00B6647E">
        <w:rPr>
          <w:rFonts w:ascii="Arial" w:hAnsi="Arial" w:cs="Arial"/>
          <w:b/>
          <w:sz w:val="20"/>
          <w:szCs w:val="20"/>
          <w:lang w:val="fr-FR" w:eastAsia="fr-FR"/>
        </w:rPr>
        <w:t>9</w:t>
      </w:r>
      <w:r w:rsidRPr="00B6647E">
        <w:rPr>
          <w:rFonts w:ascii="Arial" w:hAnsi="Arial" w:cs="Arial"/>
          <w:b/>
          <w:sz w:val="20"/>
          <w:szCs w:val="20"/>
          <w:lang w:val="fr-FR" w:eastAsia="fr-FR"/>
        </w:rPr>
        <w:t> : Production totale de manioc par province et par saison</w:t>
      </w:r>
    </w:p>
    <w:p w:rsidR="00A0093A" w:rsidRPr="00B6647E" w:rsidRDefault="00354D64" w:rsidP="00D94E5B">
      <w:pPr>
        <w:spacing w:line="240" w:lineRule="auto"/>
        <w:rPr>
          <w:lang w:val="fr-FR" w:eastAsia="fr-FR"/>
        </w:rPr>
      </w:pPr>
      <w:r w:rsidRPr="00B6647E">
        <w:rPr>
          <w:noProof/>
          <w:lang w:val="fr-FR" w:eastAsia="fr-FR"/>
        </w:rPr>
        <w:drawing>
          <wp:inline distT="0" distB="0" distL="0" distR="0">
            <wp:extent cx="4191000" cy="3867150"/>
            <wp:effectExtent l="19050" t="0" r="0" b="0"/>
            <wp:docPr id="505"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39" cstate="print"/>
                    <a:srcRect/>
                    <a:stretch>
                      <a:fillRect/>
                    </a:stretch>
                  </pic:blipFill>
                  <pic:spPr bwMode="auto">
                    <a:xfrm>
                      <a:off x="0" y="0"/>
                      <a:ext cx="4191000" cy="3867150"/>
                    </a:xfrm>
                    <a:prstGeom prst="rect">
                      <a:avLst/>
                    </a:prstGeom>
                    <a:noFill/>
                    <a:ln w="9525">
                      <a:noFill/>
                      <a:miter lim="800000"/>
                      <a:headEnd/>
                      <a:tailEnd/>
                    </a:ln>
                  </pic:spPr>
                </pic:pic>
              </a:graphicData>
            </a:graphic>
          </wp:inline>
        </w:drawing>
      </w:r>
    </w:p>
    <w:p w:rsidR="0013654E" w:rsidRPr="00B6647E" w:rsidRDefault="0013654E" w:rsidP="00D94E5B">
      <w:pPr>
        <w:spacing w:line="240" w:lineRule="auto"/>
        <w:jc w:val="both"/>
        <w:rPr>
          <w:rFonts w:ascii="Arial" w:hAnsi="Arial" w:cs="Arial"/>
          <w:sz w:val="20"/>
          <w:szCs w:val="20"/>
          <w:lang w:eastAsia="fr-FR"/>
        </w:rPr>
      </w:pPr>
      <w:r w:rsidRPr="00B6647E">
        <w:rPr>
          <w:rFonts w:ascii="Arial" w:hAnsi="Arial" w:cs="Arial"/>
          <w:sz w:val="20"/>
          <w:szCs w:val="20"/>
          <w:lang w:eastAsia="fr-FR"/>
        </w:rPr>
        <w:t>La production totale du manioc amer a été estimée à 1.046.932 tonnes correspondant à 51% de la production totale des tubercules et racines</w:t>
      </w:r>
      <w:r w:rsidR="00D41831" w:rsidRPr="00B6647E">
        <w:rPr>
          <w:rFonts w:ascii="Arial" w:hAnsi="Arial" w:cs="Arial"/>
          <w:sz w:val="20"/>
          <w:szCs w:val="20"/>
          <w:lang w:eastAsia="fr-FR"/>
        </w:rPr>
        <w:t xml:space="preserve"> et 84,1% de tout le manioc amer et doux)</w:t>
      </w:r>
      <w:r w:rsidRPr="00B6647E">
        <w:rPr>
          <w:rFonts w:ascii="Arial" w:hAnsi="Arial" w:cs="Arial"/>
          <w:sz w:val="20"/>
          <w:szCs w:val="20"/>
          <w:lang w:eastAsia="fr-FR"/>
        </w:rPr>
        <w:t>.</w:t>
      </w:r>
    </w:p>
    <w:p w:rsidR="00A0093A" w:rsidRPr="00B6647E" w:rsidRDefault="00A0093A" w:rsidP="00AE22FF">
      <w:pPr>
        <w:spacing w:line="240" w:lineRule="auto"/>
        <w:jc w:val="both"/>
        <w:rPr>
          <w:rFonts w:ascii="Arial" w:hAnsi="Arial" w:cs="Arial"/>
          <w:b/>
          <w:sz w:val="20"/>
          <w:szCs w:val="20"/>
          <w:lang w:val="fr-FR" w:eastAsia="fr-FR"/>
        </w:rPr>
      </w:pPr>
      <w:r w:rsidRPr="00B6647E">
        <w:rPr>
          <w:rFonts w:ascii="Arial" w:hAnsi="Arial" w:cs="Arial"/>
          <w:b/>
          <w:sz w:val="20"/>
          <w:szCs w:val="20"/>
          <w:lang w:val="fr-FR" w:eastAsia="fr-FR"/>
        </w:rPr>
        <w:t xml:space="preserve">Tableau </w:t>
      </w:r>
      <w:r w:rsidR="00AE22FF" w:rsidRPr="00B6647E">
        <w:rPr>
          <w:rFonts w:ascii="Arial" w:hAnsi="Arial" w:cs="Arial"/>
          <w:b/>
          <w:sz w:val="20"/>
          <w:szCs w:val="20"/>
          <w:lang w:val="fr-FR" w:eastAsia="fr-FR"/>
        </w:rPr>
        <w:t>1</w:t>
      </w:r>
      <w:r w:rsidR="00E34AD0">
        <w:rPr>
          <w:rFonts w:ascii="Arial" w:hAnsi="Arial" w:cs="Arial"/>
          <w:b/>
          <w:sz w:val="20"/>
          <w:szCs w:val="20"/>
          <w:lang w:val="fr-FR" w:eastAsia="fr-FR"/>
        </w:rPr>
        <w:t>9</w:t>
      </w:r>
      <w:r w:rsidR="00AE22FF" w:rsidRPr="00B6647E">
        <w:rPr>
          <w:rFonts w:ascii="Arial" w:hAnsi="Arial" w:cs="Arial"/>
          <w:b/>
          <w:sz w:val="20"/>
          <w:szCs w:val="20"/>
          <w:lang w:val="fr-FR" w:eastAsia="fr-FR"/>
        </w:rPr>
        <w:t>0</w:t>
      </w:r>
      <w:r w:rsidRPr="00B6647E">
        <w:rPr>
          <w:rFonts w:ascii="Arial" w:hAnsi="Arial" w:cs="Arial"/>
          <w:b/>
          <w:sz w:val="20"/>
          <w:szCs w:val="20"/>
          <w:lang w:val="fr-FR" w:eastAsia="fr-FR"/>
        </w:rPr>
        <w:t> : Production totale de manioc amer par province et par saison</w:t>
      </w:r>
    </w:p>
    <w:p w:rsidR="00A0093A" w:rsidRPr="00B6647E" w:rsidRDefault="00354D64" w:rsidP="00D94E5B">
      <w:pPr>
        <w:spacing w:line="240" w:lineRule="auto"/>
        <w:rPr>
          <w:lang w:val="fr-FR" w:eastAsia="fr-FR"/>
        </w:rPr>
      </w:pPr>
      <w:r w:rsidRPr="00B6647E">
        <w:rPr>
          <w:noProof/>
          <w:lang w:val="fr-FR" w:eastAsia="fr-FR"/>
        </w:rPr>
        <w:drawing>
          <wp:inline distT="0" distB="0" distL="0" distR="0">
            <wp:extent cx="4191000" cy="3867150"/>
            <wp:effectExtent l="19050" t="0" r="0" b="0"/>
            <wp:docPr id="506"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40" cstate="print"/>
                    <a:srcRect/>
                    <a:stretch>
                      <a:fillRect/>
                    </a:stretch>
                  </pic:blipFill>
                  <pic:spPr bwMode="auto">
                    <a:xfrm>
                      <a:off x="0" y="0"/>
                      <a:ext cx="4191000" cy="3867150"/>
                    </a:xfrm>
                    <a:prstGeom prst="rect">
                      <a:avLst/>
                    </a:prstGeom>
                    <a:noFill/>
                    <a:ln w="9525">
                      <a:noFill/>
                      <a:miter lim="800000"/>
                      <a:headEnd/>
                      <a:tailEnd/>
                    </a:ln>
                  </pic:spPr>
                </pic:pic>
              </a:graphicData>
            </a:graphic>
          </wp:inline>
        </w:drawing>
      </w:r>
    </w:p>
    <w:p w:rsidR="000A16E6" w:rsidRPr="00B6647E" w:rsidRDefault="000A16E6" w:rsidP="000A16E6">
      <w:pPr>
        <w:spacing w:line="240" w:lineRule="auto"/>
        <w:jc w:val="both"/>
        <w:rPr>
          <w:rFonts w:ascii="Arial" w:hAnsi="Arial" w:cs="Arial"/>
          <w:sz w:val="20"/>
          <w:szCs w:val="20"/>
          <w:lang w:eastAsia="fr-FR"/>
        </w:rPr>
      </w:pPr>
      <w:r w:rsidRPr="00B6647E">
        <w:rPr>
          <w:rFonts w:ascii="Arial" w:hAnsi="Arial" w:cs="Arial"/>
          <w:sz w:val="20"/>
          <w:szCs w:val="20"/>
          <w:lang w:eastAsia="fr-FR"/>
        </w:rPr>
        <w:lastRenderedPageBreak/>
        <w:t>La structure de la production du haricot dans les provinces est globalement la même que celle de tout le manioc (amer et doux) et toutes les tubercules et racines, confirmant ainsi l’importance du manioc amer dans cette production. Les productions les plus élevées du manioc amer ont été estimées dans les provinces de Gitega (162.721 tonnes, soit 15,5% de la production totale de manioc amer), Cibitoke (119.205 tonnes, soit 11,4%), Bujumbura rural (114.260 tonnes, soit 10,9%), Makamba (103.129 tonnes, soit 9,9%).</w:t>
      </w:r>
    </w:p>
    <w:p w:rsidR="00A44BFB" w:rsidRPr="00B6647E" w:rsidRDefault="00A44BFB" w:rsidP="00D94E5B">
      <w:pPr>
        <w:spacing w:line="240" w:lineRule="auto"/>
        <w:jc w:val="both"/>
        <w:rPr>
          <w:rFonts w:ascii="Arial" w:hAnsi="Arial" w:cs="Arial"/>
          <w:sz w:val="20"/>
          <w:szCs w:val="20"/>
          <w:lang w:eastAsia="fr-FR"/>
        </w:rPr>
      </w:pPr>
      <w:r w:rsidRPr="00B6647E">
        <w:rPr>
          <w:rFonts w:ascii="Arial" w:hAnsi="Arial" w:cs="Arial"/>
          <w:sz w:val="20"/>
          <w:szCs w:val="20"/>
          <w:lang w:eastAsia="fr-FR"/>
        </w:rPr>
        <w:t xml:space="preserve">Le manioc doux représente 15,6% du manioc total (amer et doux) et 9,6% de l’ensemble des tubercules et racines. </w:t>
      </w:r>
    </w:p>
    <w:p w:rsidR="00A44BFB" w:rsidRPr="00B6647E" w:rsidRDefault="00A44BFB" w:rsidP="00D94E5B">
      <w:pPr>
        <w:spacing w:line="240" w:lineRule="auto"/>
        <w:jc w:val="both"/>
        <w:rPr>
          <w:rFonts w:ascii="Arial" w:hAnsi="Arial" w:cs="Arial"/>
          <w:sz w:val="20"/>
          <w:szCs w:val="20"/>
          <w:lang w:eastAsia="fr-FR"/>
        </w:rPr>
      </w:pPr>
      <w:r w:rsidRPr="00B6647E">
        <w:rPr>
          <w:rFonts w:ascii="Arial" w:hAnsi="Arial" w:cs="Arial"/>
          <w:sz w:val="20"/>
          <w:szCs w:val="20"/>
          <w:lang w:eastAsia="fr-FR"/>
        </w:rPr>
        <w:t>Il a été estimé dans six provinces (Cankuzo, Cibitoke, Karuzi, Makamba, Muyinga et Ruyigi) pendant la saison A, dans toutes les provinces en saison B et pas dans Bururi au cours de la saison C.</w:t>
      </w:r>
    </w:p>
    <w:p w:rsidR="00A0093A" w:rsidRPr="00B6647E" w:rsidRDefault="00A44BFB" w:rsidP="00D94E5B">
      <w:pPr>
        <w:spacing w:line="240" w:lineRule="auto"/>
        <w:jc w:val="both"/>
        <w:rPr>
          <w:rFonts w:ascii="Arial" w:hAnsi="Arial" w:cs="Arial"/>
          <w:sz w:val="20"/>
          <w:szCs w:val="20"/>
          <w:lang w:eastAsia="fr-FR"/>
        </w:rPr>
      </w:pPr>
      <w:r w:rsidRPr="00B6647E">
        <w:rPr>
          <w:rFonts w:ascii="Arial" w:hAnsi="Arial" w:cs="Arial"/>
          <w:sz w:val="20"/>
          <w:szCs w:val="20"/>
          <w:lang w:eastAsia="fr-FR"/>
        </w:rPr>
        <w:t xml:space="preserve">Les productions </w:t>
      </w:r>
      <w:r w:rsidR="003A2E0F" w:rsidRPr="00B6647E">
        <w:rPr>
          <w:rFonts w:ascii="Arial" w:hAnsi="Arial" w:cs="Arial"/>
          <w:sz w:val="20"/>
          <w:szCs w:val="20"/>
          <w:lang w:eastAsia="fr-FR"/>
        </w:rPr>
        <w:t>l</w:t>
      </w:r>
      <w:r w:rsidRPr="00B6647E">
        <w:rPr>
          <w:rFonts w:ascii="Arial" w:hAnsi="Arial" w:cs="Arial"/>
          <w:sz w:val="20"/>
          <w:szCs w:val="20"/>
          <w:lang w:eastAsia="fr-FR"/>
        </w:rPr>
        <w:t xml:space="preserve">es plus élevées ont été estimées dans </w:t>
      </w:r>
      <w:r w:rsidR="003A2E0F" w:rsidRPr="00B6647E">
        <w:rPr>
          <w:rFonts w:ascii="Arial" w:hAnsi="Arial" w:cs="Arial"/>
          <w:sz w:val="20"/>
          <w:szCs w:val="20"/>
          <w:lang w:eastAsia="fr-FR"/>
        </w:rPr>
        <w:t>l</w:t>
      </w:r>
      <w:r w:rsidRPr="00B6647E">
        <w:rPr>
          <w:rFonts w:ascii="Arial" w:hAnsi="Arial" w:cs="Arial"/>
          <w:sz w:val="20"/>
          <w:szCs w:val="20"/>
          <w:lang w:eastAsia="fr-FR"/>
        </w:rPr>
        <w:t>es provinces de Kirundo</w:t>
      </w:r>
      <w:r w:rsidR="003A2E0F" w:rsidRPr="00B6647E">
        <w:rPr>
          <w:rFonts w:ascii="Arial" w:hAnsi="Arial" w:cs="Arial"/>
          <w:sz w:val="20"/>
          <w:szCs w:val="20"/>
          <w:lang w:eastAsia="fr-FR"/>
        </w:rPr>
        <w:t xml:space="preserve"> (26.969 tonnes, soit 13,6%), Cibitoke (20.999 tonnes, soit 10,6%), Ruyigi (20.963 tonnes, soit 10,6%) et Bujumbura rural (20.751 tonnes, soit 10,5%). A l’opposé Bubanza (1.581 tonnes), Kayanza (2.527 tonnes) et Rutana ‘2.627 tonnes) ont produit chacune moins 1,5% de la production totale du manioc doux.</w:t>
      </w:r>
    </w:p>
    <w:p w:rsidR="00A0093A" w:rsidRPr="00B6647E" w:rsidRDefault="00A0093A" w:rsidP="00AE22FF">
      <w:pPr>
        <w:spacing w:line="240" w:lineRule="auto"/>
        <w:jc w:val="both"/>
        <w:rPr>
          <w:rFonts w:ascii="Arial" w:hAnsi="Arial" w:cs="Arial"/>
          <w:b/>
          <w:sz w:val="20"/>
          <w:szCs w:val="20"/>
          <w:lang w:val="fr-FR" w:eastAsia="fr-FR"/>
        </w:rPr>
      </w:pPr>
      <w:r w:rsidRPr="00B6647E">
        <w:rPr>
          <w:rFonts w:ascii="Arial" w:hAnsi="Arial" w:cs="Arial"/>
          <w:b/>
          <w:sz w:val="20"/>
          <w:szCs w:val="20"/>
          <w:lang w:val="fr-FR" w:eastAsia="fr-FR"/>
        </w:rPr>
        <w:t xml:space="preserve">Tableau </w:t>
      </w:r>
      <w:r w:rsidR="00AE22FF" w:rsidRPr="00B6647E">
        <w:rPr>
          <w:rFonts w:ascii="Arial" w:hAnsi="Arial" w:cs="Arial"/>
          <w:b/>
          <w:sz w:val="20"/>
          <w:szCs w:val="20"/>
          <w:lang w:val="fr-FR" w:eastAsia="fr-FR"/>
        </w:rPr>
        <w:t>1</w:t>
      </w:r>
      <w:r w:rsidR="00E34AD0">
        <w:rPr>
          <w:rFonts w:ascii="Arial" w:hAnsi="Arial" w:cs="Arial"/>
          <w:b/>
          <w:sz w:val="20"/>
          <w:szCs w:val="20"/>
          <w:lang w:val="fr-FR" w:eastAsia="fr-FR"/>
        </w:rPr>
        <w:t>9</w:t>
      </w:r>
      <w:r w:rsidR="00AE22FF" w:rsidRPr="00B6647E">
        <w:rPr>
          <w:rFonts w:ascii="Arial" w:hAnsi="Arial" w:cs="Arial"/>
          <w:b/>
          <w:sz w:val="20"/>
          <w:szCs w:val="20"/>
          <w:lang w:val="fr-FR" w:eastAsia="fr-FR"/>
        </w:rPr>
        <w:t>1</w:t>
      </w:r>
      <w:r w:rsidRPr="00B6647E">
        <w:rPr>
          <w:rFonts w:ascii="Arial" w:hAnsi="Arial" w:cs="Arial"/>
          <w:b/>
          <w:sz w:val="20"/>
          <w:szCs w:val="20"/>
          <w:lang w:val="fr-FR" w:eastAsia="fr-FR"/>
        </w:rPr>
        <w:t> : Production totale de manioc doux par province et par saison</w:t>
      </w:r>
    </w:p>
    <w:p w:rsidR="00A0093A" w:rsidRPr="00B6647E" w:rsidRDefault="00354D64" w:rsidP="00D94E5B">
      <w:pPr>
        <w:spacing w:line="240" w:lineRule="auto"/>
        <w:rPr>
          <w:lang w:val="fr-FR" w:eastAsia="fr-FR"/>
        </w:rPr>
      </w:pPr>
      <w:r w:rsidRPr="00B6647E">
        <w:rPr>
          <w:noProof/>
          <w:lang w:val="fr-FR" w:eastAsia="fr-FR"/>
        </w:rPr>
        <w:drawing>
          <wp:inline distT="0" distB="0" distL="0" distR="0">
            <wp:extent cx="4191000" cy="3667125"/>
            <wp:effectExtent l="19050" t="0" r="0" b="0"/>
            <wp:docPr id="507"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41" cstate="print"/>
                    <a:srcRect/>
                    <a:stretch>
                      <a:fillRect/>
                    </a:stretch>
                  </pic:blipFill>
                  <pic:spPr bwMode="auto">
                    <a:xfrm>
                      <a:off x="0" y="0"/>
                      <a:ext cx="4191000" cy="3667125"/>
                    </a:xfrm>
                    <a:prstGeom prst="rect">
                      <a:avLst/>
                    </a:prstGeom>
                    <a:noFill/>
                    <a:ln w="9525">
                      <a:noFill/>
                      <a:miter lim="800000"/>
                      <a:headEnd/>
                      <a:tailEnd/>
                    </a:ln>
                  </pic:spPr>
                </pic:pic>
              </a:graphicData>
            </a:graphic>
          </wp:inline>
        </w:drawing>
      </w:r>
    </w:p>
    <w:p w:rsidR="00480AB3" w:rsidRPr="00B6647E" w:rsidRDefault="00A44BFB" w:rsidP="00D94E5B">
      <w:pPr>
        <w:spacing w:line="240" w:lineRule="auto"/>
        <w:jc w:val="both"/>
        <w:rPr>
          <w:rFonts w:ascii="Arial" w:hAnsi="Arial" w:cs="Arial"/>
          <w:sz w:val="20"/>
          <w:szCs w:val="20"/>
          <w:lang w:eastAsia="fr-FR"/>
        </w:rPr>
      </w:pPr>
      <w:r w:rsidRPr="00B6647E">
        <w:rPr>
          <w:rFonts w:ascii="Arial" w:hAnsi="Arial" w:cs="Arial"/>
          <w:sz w:val="20"/>
          <w:szCs w:val="20"/>
          <w:lang w:eastAsia="fr-FR"/>
        </w:rPr>
        <w:t>L</w:t>
      </w:r>
      <w:r w:rsidR="00480AB3" w:rsidRPr="00B6647E">
        <w:rPr>
          <w:rFonts w:ascii="Arial" w:hAnsi="Arial" w:cs="Arial"/>
          <w:sz w:val="20"/>
          <w:szCs w:val="20"/>
          <w:lang w:eastAsia="fr-FR"/>
        </w:rPr>
        <w:t xml:space="preserve">a patate douce </w:t>
      </w:r>
      <w:r w:rsidRPr="00B6647E">
        <w:rPr>
          <w:rFonts w:ascii="Arial" w:hAnsi="Arial" w:cs="Arial"/>
          <w:sz w:val="20"/>
          <w:szCs w:val="20"/>
          <w:lang w:eastAsia="fr-FR"/>
        </w:rPr>
        <w:t xml:space="preserve">a été </w:t>
      </w:r>
      <w:r w:rsidR="00480AB3" w:rsidRPr="00B6647E">
        <w:rPr>
          <w:rFonts w:ascii="Arial" w:hAnsi="Arial" w:cs="Arial"/>
          <w:sz w:val="20"/>
          <w:szCs w:val="20"/>
          <w:lang w:eastAsia="fr-FR"/>
        </w:rPr>
        <w:t xml:space="preserve">récolté dans toutes les provinces au cours des trois saisons sauf à Rutana pendant la saison A. Sa production totale estimée à 659.593 tonnes représente 32,2% de </w:t>
      </w:r>
      <w:r w:rsidR="00886253" w:rsidRPr="00B6647E">
        <w:rPr>
          <w:rFonts w:ascii="Arial" w:hAnsi="Arial" w:cs="Arial"/>
          <w:sz w:val="20"/>
          <w:szCs w:val="20"/>
          <w:lang w:eastAsia="fr-FR"/>
        </w:rPr>
        <w:t>total des tubercules et racines de la campagne agricole 2011-2012. Le volume produit en saison B (359.534 tonnes), correspond à 54,4% de la production totale de patate douce, celui de la saison A (158.494 tonnes) en vaut 24% et la production de la saison C est estimée à 141.565 soit 21,5%.</w:t>
      </w:r>
    </w:p>
    <w:p w:rsidR="00A0093A" w:rsidRPr="00B6647E" w:rsidRDefault="00EF3712" w:rsidP="00D94E5B">
      <w:pPr>
        <w:spacing w:line="240" w:lineRule="auto"/>
        <w:jc w:val="both"/>
        <w:rPr>
          <w:rFonts w:ascii="Arial" w:hAnsi="Arial" w:cs="Arial"/>
          <w:sz w:val="20"/>
          <w:szCs w:val="20"/>
          <w:lang w:eastAsia="fr-FR"/>
        </w:rPr>
      </w:pPr>
      <w:r w:rsidRPr="00B6647E">
        <w:rPr>
          <w:rFonts w:ascii="Arial" w:hAnsi="Arial" w:cs="Arial"/>
          <w:sz w:val="20"/>
          <w:szCs w:val="20"/>
          <w:lang w:eastAsia="fr-FR"/>
        </w:rPr>
        <w:t xml:space="preserve">Les provinces </w:t>
      </w:r>
      <w:r w:rsidR="00D9191F" w:rsidRPr="00B6647E">
        <w:rPr>
          <w:rFonts w:ascii="Arial" w:hAnsi="Arial" w:cs="Arial"/>
          <w:sz w:val="20"/>
          <w:szCs w:val="20"/>
          <w:lang w:eastAsia="fr-FR"/>
        </w:rPr>
        <w:t>ayant eu l</w:t>
      </w:r>
      <w:r w:rsidRPr="00B6647E">
        <w:rPr>
          <w:rFonts w:ascii="Arial" w:hAnsi="Arial" w:cs="Arial"/>
          <w:sz w:val="20"/>
          <w:szCs w:val="20"/>
          <w:lang w:eastAsia="fr-FR"/>
        </w:rPr>
        <w:t xml:space="preserve">es productions </w:t>
      </w:r>
      <w:r w:rsidR="00D9191F" w:rsidRPr="00B6647E">
        <w:rPr>
          <w:rFonts w:ascii="Arial" w:hAnsi="Arial" w:cs="Arial"/>
          <w:sz w:val="20"/>
          <w:szCs w:val="20"/>
          <w:lang w:eastAsia="fr-FR"/>
        </w:rPr>
        <w:t xml:space="preserve">totales </w:t>
      </w:r>
      <w:r w:rsidRPr="00B6647E">
        <w:rPr>
          <w:rFonts w:ascii="Arial" w:hAnsi="Arial" w:cs="Arial"/>
          <w:sz w:val="20"/>
          <w:szCs w:val="20"/>
          <w:lang w:eastAsia="fr-FR"/>
        </w:rPr>
        <w:t>de patate douce les plus élevées sont : Kirundo (100.769 tonnes</w:t>
      </w:r>
      <w:r w:rsidR="00D9191F" w:rsidRPr="00B6647E">
        <w:rPr>
          <w:rFonts w:ascii="Arial" w:hAnsi="Arial" w:cs="Arial"/>
          <w:sz w:val="20"/>
          <w:szCs w:val="20"/>
          <w:lang w:eastAsia="fr-FR"/>
        </w:rPr>
        <w:t>,</w:t>
      </w:r>
      <w:r w:rsidRPr="00B6647E">
        <w:rPr>
          <w:rFonts w:ascii="Arial" w:hAnsi="Arial" w:cs="Arial"/>
          <w:sz w:val="20"/>
          <w:szCs w:val="20"/>
          <w:lang w:eastAsia="fr-FR"/>
        </w:rPr>
        <w:t xml:space="preserve"> soit </w:t>
      </w:r>
      <w:r w:rsidR="00D9191F" w:rsidRPr="00B6647E">
        <w:rPr>
          <w:rFonts w:ascii="Arial" w:hAnsi="Arial" w:cs="Arial"/>
          <w:sz w:val="20"/>
          <w:szCs w:val="20"/>
          <w:lang w:eastAsia="fr-FR"/>
        </w:rPr>
        <w:t>15,3%)</w:t>
      </w:r>
      <w:r w:rsidRPr="00B6647E">
        <w:rPr>
          <w:rFonts w:ascii="Arial" w:hAnsi="Arial" w:cs="Arial"/>
          <w:sz w:val="20"/>
          <w:szCs w:val="20"/>
          <w:lang w:eastAsia="fr-FR"/>
        </w:rPr>
        <w:t>, Kayanza</w:t>
      </w:r>
      <w:r w:rsidR="00D9191F" w:rsidRPr="00B6647E">
        <w:rPr>
          <w:rFonts w:ascii="Arial" w:hAnsi="Arial" w:cs="Arial"/>
          <w:sz w:val="20"/>
          <w:szCs w:val="20"/>
          <w:lang w:eastAsia="fr-FR"/>
        </w:rPr>
        <w:t xml:space="preserve"> (83.313 tonnes, soit 12,6%),</w:t>
      </w:r>
      <w:r w:rsidRPr="00B6647E">
        <w:rPr>
          <w:rFonts w:ascii="Arial" w:hAnsi="Arial" w:cs="Arial"/>
          <w:sz w:val="20"/>
          <w:szCs w:val="20"/>
          <w:lang w:eastAsia="fr-FR"/>
        </w:rPr>
        <w:t xml:space="preserve"> Karuzi</w:t>
      </w:r>
      <w:r w:rsidR="00D9191F" w:rsidRPr="00B6647E">
        <w:rPr>
          <w:rFonts w:ascii="Arial" w:hAnsi="Arial" w:cs="Arial"/>
          <w:sz w:val="20"/>
          <w:szCs w:val="20"/>
          <w:lang w:eastAsia="fr-FR"/>
        </w:rPr>
        <w:t xml:space="preserve"> (68.187 tonnes</w:t>
      </w:r>
      <w:r w:rsidRPr="00B6647E">
        <w:rPr>
          <w:rFonts w:ascii="Arial" w:hAnsi="Arial" w:cs="Arial"/>
          <w:sz w:val="20"/>
          <w:szCs w:val="20"/>
          <w:lang w:eastAsia="fr-FR"/>
        </w:rPr>
        <w:t xml:space="preserve">, </w:t>
      </w:r>
      <w:r w:rsidR="00D9191F" w:rsidRPr="00B6647E">
        <w:rPr>
          <w:rFonts w:ascii="Arial" w:hAnsi="Arial" w:cs="Arial"/>
          <w:sz w:val="20"/>
          <w:szCs w:val="20"/>
          <w:lang w:eastAsia="fr-FR"/>
        </w:rPr>
        <w:t xml:space="preserve">soit 10,3%), </w:t>
      </w:r>
      <w:r w:rsidRPr="00B6647E">
        <w:rPr>
          <w:rFonts w:ascii="Arial" w:hAnsi="Arial" w:cs="Arial"/>
          <w:sz w:val="20"/>
          <w:szCs w:val="20"/>
          <w:lang w:eastAsia="fr-FR"/>
        </w:rPr>
        <w:t>Muyinga</w:t>
      </w:r>
      <w:r w:rsidR="00D9191F" w:rsidRPr="00B6647E">
        <w:rPr>
          <w:rFonts w:ascii="Arial" w:hAnsi="Arial" w:cs="Arial"/>
          <w:sz w:val="20"/>
          <w:szCs w:val="20"/>
          <w:lang w:eastAsia="fr-FR"/>
        </w:rPr>
        <w:t xml:space="preserve"> (63.702 tonnes, soit 9,7%). A l’opposé, quatre provinces ont produit chacune moins de 12.000 tonnes de patate douce au cours des trois saisons : Bubanza (8.542 tonnes), Cankuzo (11.667 tonnes), Cibitoke (11,549 tonnes) et Ruyigi (10.272 tonnes).</w:t>
      </w:r>
    </w:p>
    <w:p w:rsidR="000A16E6" w:rsidRPr="00B6647E" w:rsidRDefault="000A16E6" w:rsidP="00AE22FF">
      <w:pPr>
        <w:spacing w:line="240" w:lineRule="auto"/>
        <w:jc w:val="both"/>
        <w:rPr>
          <w:rFonts w:ascii="Arial" w:hAnsi="Arial" w:cs="Arial"/>
          <w:b/>
          <w:sz w:val="20"/>
          <w:szCs w:val="20"/>
          <w:lang w:val="fr-FR" w:eastAsia="fr-FR"/>
        </w:rPr>
      </w:pPr>
    </w:p>
    <w:p w:rsidR="00C95AD9" w:rsidRPr="00B6647E" w:rsidRDefault="00C95AD9" w:rsidP="00AE22FF">
      <w:pPr>
        <w:spacing w:line="240" w:lineRule="auto"/>
        <w:jc w:val="both"/>
        <w:rPr>
          <w:rFonts w:ascii="Arial" w:hAnsi="Arial" w:cs="Arial"/>
          <w:b/>
          <w:sz w:val="20"/>
          <w:szCs w:val="20"/>
          <w:lang w:val="fr-FR" w:eastAsia="fr-FR"/>
        </w:rPr>
      </w:pPr>
    </w:p>
    <w:p w:rsidR="00A0093A" w:rsidRPr="00B6647E" w:rsidRDefault="00A0093A" w:rsidP="00AE22FF">
      <w:pPr>
        <w:spacing w:line="240" w:lineRule="auto"/>
        <w:jc w:val="both"/>
        <w:rPr>
          <w:rFonts w:ascii="Arial" w:hAnsi="Arial" w:cs="Arial"/>
          <w:b/>
          <w:sz w:val="20"/>
          <w:szCs w:val="20"/>
          <w:lang w:val="fr-FR" w:eastAsia="fr-FR"/>
        </w:rPr>
      </w:pPr>
      <w:r w:rsidRPr="00B6647E">
        <w:rPr>
          <w:rFonts w:ascii="Arial" w:hAnsi="Arial" w:cs="Arial"/>
          <w:b/>
          <w:sz w:val="20"/>
          <w:szCs w:val="20"/>
          <w:lang w:val="fr-FR" w:eastAsia="fr-FR"/>
        </w:rPr>
        <w:lastRenderedPageBreak/>
        <w:t xml:space="preserve">Tableau </w:t>
      </w:r>
      <w:r w:rsidR="00AE22FF" w:rsidRPr="00B6647E">
        <w:rPr>
          <w:rFonts w:ascii="Arial" w:hAnsi="Arial" w:cs="Arial"/>
          <w:b/>
          <w:sz w:val="20"/>
          <w:szCs w:val="20"/>
          <w:lang w:val="fr-FR" w:eastAsia="fr-FR"/>
        </w:rPr>
        <w:t>1</w:t>
      </w:r>
      <w:r w:rsidR="00E34AD0">
        <w:rPr>
          <w:rFonts w:ascii="Arial" w:hAnsi="Arial" w:cs="Arial"/>
          <w:b/>
          <w:sz w:val="20"/>
          <w:szCs w:val="20"/>
          <w:lang w:val="fr-FR" w:eastAsia="fr-FR"/>
        </w:rPr>
        <w:t>9</w:t>
      </w:r>
      <w:r w:rsidR="00AE22FF" w:rsidRPr="00B6647E">
        <w:rPr>
          <w:rFonts w:ascii="Arial" w:hAnsi="Arial" w:cs="Arial"/>
          <w:b/>
          <w:sz w:val="20"/>
          <w:szCs w:val="20"/>
          <w:lang w:val="fr-FR" w:eastAsia="fr-FR"/>
        </w:rPr>
        <w:t>2</w:t>
      </w:r>
      <w:r w:rsidRPr="00B6647E">
        <w:rPr>
          <w:rFonts w:ascii="Arial" w:hAnsi="Arial" w:cs="Arial"/>
          <w:b/>
          <w:sz w:val="20"/>
          <w:szCs w:val="20"/>
          <w:lang w:val="fr-FR" w:eastAsia="fr-FR"/>
        </w:rPr>
        <w:t> : Production totale de patate douce par province et par saison</w:t>
      </w:r>
    </w:p>
    <w:p w:rsidR="00A0093A" w:rsidRPr="00B6647E" w:rsidRDefault="00354D64" w:rsidP="00D94E5B">
      <w:pPr>
        <w:spacing w:line="240" w:lineRule="auto"/>
        <w:rPr>
          <w:lang w:val="fr-FR" w:eastAsia="fr-FR"/>
        </w:rPr>
      </w:pPr>
      <w:r w:rsidRPr="00B6647E">
        <w:rPr>
          <w:noProof/>
          <w:lang w:val="fr-FR" w:eastAsia="fr-FR"/>
        </w:rPr>
        <w:drawing>
          <wp:inline distT="0" distB="0" distL="0" distR="0">
            <wp:extent cx="4191000" cy="3867150"/>
            <wp:effectExtent l="19050" t="0" r="0" b="0"/>
            <wp:docPr id="508"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42" cstate="print"/>
                    <a:srcRect/>
                    <a:stretch>
                      <a:fillRect/>
                    </a:stretch>
                  </pic:blipFill>
                  <pic:spPr bwMode="auto">
                    <a:xfrm>
                      <a:off x="0" y="0"/>
                      <a:ext cx="4191000" cy="3867150"/>
                    </a:xfrm>
                    <a:prstGeom prst="rect">
                      <a:avLst/>
                    </a:prstGeom>
                    <a:noFill/>
                    <a:ln w="9525">
                      <a:noFill/>
                      <a:miter lim="800000"/>
                      <a:headEnd/>
                      <a:tailEnd/>
                    </a:ln>
                  </pic:spPr>
                </pic:pic>
              </a:graphicData>
            </a:graphic>
          </wp:inline>
        </w:drawing>
      </w:r>
    </w:p>
    <w:p w:rsidR="000E168B" w:rsidRPr="00B6647E" w:rsidRDefault="003E0A81" w:rsidP="00D94E5B">
      <w:pPr>
        <w:spacing w:line="240" w:lineRule="auto"/>
        <w:rPr>
          <w:rFonts w:ascii="Arial" w:hAnsi="Arial" w:cs="Arial"/>
          <w:sz w:val="20"/>
          <w:szCs w:val="20"/>
          <w:lang w:eastAsia="fr-FR"/>
        </w:rPr>
      </w:pPr>
      <w:r w:rsidRPr="00B6647E">
        <w:rPr>
          <w:rFonts w:ascii="Arial" w:hAnsi="Arial" w:cs="Arial"/>
          <w:sz w:val="20"/>
          <w:szCs w:val="20"/>
          <w:lang w:eastAsia="fr-FR"/>
        </w:rPr>
        <w:t>La production totale de pomme de terre est estimée à 47.841 tonnes correspondant à 2,3% de la production totale de tubercules et racines des trois saison</w:t>
      </w:r>
      <w:r w:rsidR="000E168B" w:rsidRPr="00B6647E">
        <w:rPr>
          <w:rFonts w:ascii="Arial" w:hAnsi="Arial" w:cs="Arial"/>
          <w:sz w:val="20"/>
          <w:szCs w:val="20"/>
          <w:lang w:eastAsia="fr-FR"/>
        </w:rPr>
        <w:t>s</w:t>
      </w:r>
      <w:r w:rsidRPr="00B6647E">
        <w:rPr>
          <w:rFonts w:ascii="Arial" w:hAnsi="Arial" w:cs="Arial"/>
          <w:sz w:val="20"/>
          <w:szCs w:val="20"/>
          <w:lang w:eastAsia="fr-FR"/>
        </w:rPr>
        <w:t xml:space="preserve">. </w:t>
      </w:r>
    </w:p>
    <w:p w:rsidR="00A0093A" w:rsidRPr="00B6647E" w:rsidRDefault="00A0093A" w:rsidP="00AE22FF">
      <w:pPr>
        <w:spacing w:line="240" w:lineRule="auto"/>
        <w:jc w:val="both"/>
        <w:rPr>
          <w:rFonts w:ascii="Arial" w:hAnsi="Arial" w:cs="Arial"/>
          <w:b/>
          <w:sz w:val="20"/>
          <w:szCs w:val="20"/>
          <w:lang w:val="fr-FR" w:eastAsia="fr-FR"/>
        </w:rPr>
      </w:pPr>
      <w:r w:rsidRPr="00B6647E">
        <w:rPr>
          <w:rFonts w:ascii="Arial" w:hAnsi="Arial" w:cs="Arial"/>
          <w:b/>
          <w:sz w:val="20"/>
          <w:szCs w:val="20"/>
          <w:lang w:val="fr-FR" w:eastAsia="fr-FR"/>
        </w:rPr>
        <w:t xml:space="preserve">Tableau </w:t>
      </w:r>
      <w:r w:rsidR="00AE22FF" w:rsidRPr="00B6647E">
        <w:rPr>
          <w:rFonts w:ascii="Arial" w:hAnsi="Arial" w:cs="Arial"/>
          <w:b/>
          <w:sz w:val="20"/>
          <w:szCs w:val="20"/>
          <w:lang w:val="fr-FR" w:eastAsia="fr-FR"/>
        </w:rPr>
        <w:t>1</w:t>
      </w:r>
      <w:r w:rsidR="00E34AD0">
        <w:rPr>
          <w:rFonts w:ascii="Arial" w:hAnsi="Arial" w:cs="Arial"/>
          <w:b/>
          <w:sz w:val="20"/>
          <w:szCs w:val="20"/>
          <w:lang w:val="fr-FR" w:eastAsia="fr-FR"/>
        </w:rPr>
        <w:t>9</w:t>
      </w:r>
      <w:r w:rsidR="00AE22FF" w:rsidRPr="00B6647E">
        <w:rPr>
          <w:rFonts w:ascii="Arial" w:hAnsi="Arial" w:cs="Arial"/>
          <w:b/>
          <w:sz w:val="20"/>
          <w:szCs w:val="20"/>
          <w:lang w:val="fr-FR" w:eastAsia="fr-FR"/>
        </w:rPr>
        <w:t>3</w:t>
      </w:r>
      <w:r w:rsidRPr="00B6647E">
        <w:rPr>
          <w:rFonts w:ascii="Arial" w:hAnsi="Arial" w:cs="Arial"/>
          <w:b/>
          <w:sz w:val="20"/>
          <w:szCs w:val="20"/>
          <w:lang w:val="fr-FR" w:eastAsia="fr-FR"/>
        </w:rPr>
        <w:t> : Production totale de pomme de terre par province et par saison</w:t>
      </w:r>
    </w:p>
    <w:p w:rsidR="00A0093A" w:rsidRPr="00B6647E" w:rsidRDefault="00354D64" w:rsidP="00D94E5B">
      <w:pPr>
        <w:spacing w:line="240" w:lineRule="auto"/>
        <w:rPr>
          <w:lang w:val="fr-FR" w:eastAsia="fr-FR"/>
        </w:rPr>
      </w:pPr>
      <w:r w:rsidRPr="00B6647E">
        <w:rPr>
          <w:noProof/>
          <w:lang w:val="fr-FR" w:eastAsia="fr-FR"/>
        </w:rPr>
        <w:drawing>
          <wp:inline distT="0" distB="0" distL="0" distR="0">
            <wp:extent cx="4191000" cy="3867150"/>
            <wp:effectExtent l="19050" t="0" r="0" b="0"/>
            <wp:docPr id="509"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43" cstate="print"/>
                    <a:srcRect/>
                    <a:stretch>
                      <a:fillRect/>
                    </a:stretch>
                  </pic:blipFill>
                  <pic:spPr bwMode="auto">
                    <a:xfrm>
                      <a:off x="0" y="0"/>
                      <a:ext cx="4191000" cy="3867150"/>
                    </a:xfrm>
                    <a:prstGeom prst="rect">
                      <a:avLst/>
                    </a:prstGeom>
                    <a:noFill/>
                    <a:ln w="9525">
                      <a:noFill/>
                      <a:miter lim="800000"/>
                      <a:headEnd/>
                      <a:tailEnd/>
                    </a:ln>
                  </pic:spPr>
                </pic:pic>
              </a:graphicData>
            </a:graphic>
          </wp:inline>
        </w:drawing>
      </w:r>
    </w:p>
    <w:p w:rsidR="000A16E6" w:rsidRPr="00B6647E" w:rsidRDefault="000A16E6" w:rsidP="000A16E6">
      <w:pPr>
        <w:spacing w:line="240" w:lineRule="auto"/>
        <w:rPr>
          <w:rFonts w:ascii="Arial" w:hAnsi="Arial" w:cs="Arial"/>
          <w:sz w:val="20"/>
          <w:szCs w:val="20"/>
          <w:lang w:eastAsia="fr-FR"/>
        </w:rPr>
      </w:pPr>
      <w:r w:rsidRPr="00B6647E">
        <w:rPr>
          <w:rFonts w:ascii="Arial" w:hAnsi="Arial" w:cs="Arial"/>
          <w:sz w:val="20"/>
          <w:szCs w:val="20"/>
          <w:lang w:eastAsia="fr-FR"/>
        </w:rPr>
        <w:lastRenderedPageBreak/>
        <w:t>Plus de la moitié (54,8%) de la production totale de pomme de terre a été enregistrée dans Kayanza (9.458 tonnes, soit 19,8%), Muramvya (7.875 tonnes, soit 16,5%), Karuzi (4.466 tonnes, soit 9,3%) et Gitega (4.414 tonnes, soit 9,2%).</w:t>
      </w:r>
    </w:p>
    <w:p w:rsidR="0033784C" w:rsidRPr="00B6647E" w:rsidRDefault="0033784C" w:rsidP="00D94E5B">
      <w:pPr>
        <w:spacing w:line="240" w:lineRule="auto"/>
        <w:jc w:val="both"/>
        <w:rPr>
          <w:rFonts w:ascii="Arial" w:hAnsi="Arial" w:cs="Arial"/>
          <w:sz w:val="20"/>
          <w:szCs w:val="20"/>
        </w:rPr>
      </w:pPr>
      <w:r w:rsidRPr="00B6647E">
        <w:rPr>
          <w:rFonts w:ascii="Arial" w:hAnsi="Arial" w:cs="Arial"/>
          <w:sz w:val="20"/>
          <w:szCs w:val="20"/>
        </w:rPr>
        <w:t>La saison B a produit 65.224 tonnes de colocase, soit 70,2% de la production totale de colocase qui ne représente que 4,5% de la production totale de tubercules et racines. La saison C a produit 25.890 tonnes (27,8%) et la saison A n’a récolté que 1.858 tonnes (2%) de colocase.</w:t>
      </w:r>
    </w:p>
    <w:p w:rsidR="0033784C" w:rsidRPr="00B6647E" w:rsidRDefault="0033784C" w:rsidP="00D94E5B">
      <w:pPr>
        <w:spacing w:line="240" w:lineRule="auto"/>
        <w:jc w:val="both"/>
        <w:rPr>
          <w:rFonts w:ascii="Arial" w:hAnsi="Arial" w:cs="Arial"/>
          <w:sz w:val="20"/>
          <w:szCs w:val="20"/>
        </w:rPr>
      </w:pPr>
      <w:r w:rsidRPr="00B6647E">
        <w:rPr>
          <w:rFonts w:ascii="Arial" w:hAnsi="Arial" w:cs="Arial"/>
          <w:sz w:val="20"/>
          <w:szCs w:val="20"/>
        </w:rPr>
        <w:t xml:space="preserve">Les productions les plus élevées de colocase ont été estimées dans Cibitoke avec 12.150 tonnes (13,1%), Muyinga avec 11.613 tonnes (12,5%), </w:t>
      </w:r>
      <w:r w:rsidR="00B96ECE" w:rsidRPr="00B6647E">
        <w:rPr>
          <w:rFonts w:ascii="Arial" w:hAnsi="Arial" w:cs="Arial"/>
          <w:sz w:val="20"/>
          <w:szCs w:val="20"/>
        </w:rPr>
        <w:t xml:space="preserve">Kirundo </w:t>
      </w:r>
      <w:r w:rsidRPr="00B6647E">
        <w:rPr>
          <w:rFonts w:ascii="Arial" w:hAnsi="Arial" w:cs="Arial"/>
          <w:sz w:val="20"/>
          <w:szCs w:val="20"/>
        </w:rPr>
        <w:t xml:space="preserve"> avec 11.</w:t>
      </w:r>
      <w:r w:rsidR="00B96ECE" w:rsidRPr="00B6647E">
        <w:rPr>
          <w:rFonts w:ascii="Arial" w:hAnsi="Arial" w:cs="Arial"/>
          <w:sz w:val="20"/>
          <w:szCs w:val="20"/>
        </w:rPr>
        <w:t>176</w:t>
      </w:r>
      <w:r w:rsidRPr="00B6647E">
        <w:rPr>
          <w:rFonts w:ascii="Arial" w:hAnsi="Arial" w:cs="Arial"/>
          <w:sz w:val="20"/>
          <w:szCs w:val="20"/>
        </w:rPr>
        <w:t xml:space="preserve"> tonnes (12%)</w:t>
      </w:r>
      <w:r w:rsidR="00B96ECE" w:rsidRPr="00B6647E">
        <w:rPr>
          <w:rFonts w:ascii="Arial" w:hAnsi="Arial" w:cs="Arial"/>
          <w:sz w:val="20"/>
          <w:szCs w:val="20"/>
        </w:rPr>
        <w:t xml:space="preserve"> et Bururi</w:t>
      </w:r>
      <w:r w:rsidRPr="00B6647E">
        <w:rPr>
          <w:rFonts w:ascii="Arial" w:hAnsi="Arial" w:cs="Arial"/>
          <w:sz w:val="20"/>
          <w:szCs w:val="20"/>
        </w:rPr>
        <w:t xml:space="preserve"> avec 1</w:t>
      </w:r>
      <w:r w:rsidR="00B96ECE" w:rsidRPr="00B6647E">
        <w:rPr>
          <w:rFonts w:ascii="Arial" w:hAnsi="Arial" w:cs="Arial"/>
          <w:sz w:val="20"/>
          <w:szCs w:val="20"/>
        </w:rPr>
        <w:t>0.288</w:t>
      </w:r>
      <w:r w:rsidRPr="00B6647E">
        <w:rPr>
          <w:rFonts w:ascii="Arial" w:hAnsi="Arial" w:cs="Arial"/>
          <w:sz w:val="20"/>
          <w:szCs w:val="20"/>
        </w:rPr>
        <w:t xml:space="preserve"> tonnes (1</w:t>
      </w:r>
      <w:r w:rsidR="00B96ECE" w:rsidRPr="00B6647E">
        <w:rPr>
          <w:rFonts w:ascii="Arial" w:hAnsi="Arial" w:cs="Arial"/>
          <w:sz w:val="20"/>
          <w:szCs w:val="20"/>
        </w:rPr>
        <w:t>1</w:t>
      </w:r>
      <w:r w:rsidRPr="00B6647E">
        <w:rPr>
          <w:rFonts w:ascii="Arial" w:hAnsi="Arial" w:cs="Arial"/>
          <w:sz w:val="20"/>
          <w:szCs w:val="20"/>
        </w:rPr>
        <w:t>,</w:t>
      </w:r>
      <w:r w:rsidR="00B96ECE" w:rsidRPr="00B6647E">
        <w:rPr>
          <w:rFonts w:ascii="Arial" w:hAnsi="Arial" w:cs="Arial"/>
          <w:sz w:val="20"/>
          <w:szCs w:val="20"/>
        </w:rPr>
        <w:t>1</w:t>
      </w:r>
      <w:r w:rsidRPr="00B6647E">
        <w:rPr>
          <w:rFonts w:ascii="Arial" w:hAnsi="Arial" w:cs="Arial"/>
          <w:sz w:val="20"/>
          <w:szCs w:val="20"/>
        </w:rPr>
        <w:t xml:space="preserve">%). La production de colocase estimée </w:t>
      </w:r>
      <w:r w:rsidR="00B96ECE" w:rsidRPr="00B6647E">
        <w:rPr>
          <w:rFonts w:ascii="Arial" w:hAnsi="Arial" w:cs="Arial"/>
          <w:sz w:val="20"/>
          <w:szCs w:val="20"/>
        </w:rPr>
        <w:t xml:space="preserve"> </w:t>
      </w:r>
      <w:r w:rsidRPr="00B6647E">
        <w:rPr>
          <w:rFonts w:ascii="Arial" w:hAnsi="Arial" w:cs="Arial"/>
          <w:sz w:val="20"/>
          <w:szCs w:val="20"/>
        </w:rPr>
        <w:t xml:space="preserve">dans </w:t>
      </w:r>
      <w:r w:rsidR="00B96ECE" w:rsidRPr="00B6647E">
        <w:rPr>
          <w:rFonts w:ascii="Arial" w:hAnsi="Arial" w:cs="Arial"/>
          <w:sz w:val="20"/>
          <w:szCs w:val="20"/>
        </w:rPr>
        <w:t>Ngozi</w:t>
      </w:r>
      <w:r w:rsidRPr="00B6647E">
        <w:rPr>
          <w:rFonts w:ascii="Arial" w:hAnsi="Arial" w:cs="Arial"/>
          <w:sz w:val="20"/>
          <w:szCs w:val="20"/>
        </w:rPr>
        <w:t xml:space="preserve"> </w:t>
      </w:r>
      <w:r w:rsidR="00B96ECE" w:rsidRPr="00B6647E">
        <w:rPr>
          <w:rFonts w:ascii="Arial" w:hAnsi="Arial" w:cs="Arial"/>
          <w:sz w:val="20"/>
          <w:szCs w:val="20"/>
        </w:rPr>
        <w:t>(309 tonnes) principalement récoltée au cours de la saison B est faible</w:t>
      </w:r>
      <w:r w:rsidRPr="00B6647E">
        <w:rPr>
          <w:rFonts w:ascii="Arial" w:hAnsi="Arial" w:cs="Arial"/>
          <w:sz w:val="20"/>
          <w:szCs w:val="20"/>
        </w:rPr>
        <w:t>.</w:t>
      </w:r>
    </w:p>
    <w:p w:rsidR="00A0093A" w:rsidRPr="00B6647E" w:rsidRDefault="00A0093A" w:rsidP="00AE22FF">
      <w:pPr>
        <w:spacing w:line="240" w:lineRule="auto"/>
        <w:jc w:val="both"/>
        <w:rPr>
          <w:rFonts w:ascii="Arial" w:hAnsi="Arial" w:cs="Arial"/>
          <w:b/>
          <w:sz w:val="20"/>
          <w:szCs w:val="20"/>
          <w:lang w:val="fr-FR" w:eastAsia="fr-FR"/>
        </w:rPr>
      </w:pPr>
      <w:r w:rsidRPr="00B6647E">
        <w:rPr>
          <w:rFonts w:ascii="Arial" w:hAnsi="Arial" w:cs="Arial"/>
          <w:b/>
          <w:sz w:val="20"/>
          <w:szCs w:val="20"/>
          <w:lang w:val="fr-FR" w:eastAsia="fr-FR"/>
        </w:rPr>
        <w:t xml:space="preserve">Tableau </w:t>
      </w:r>
      <w:r w:rsidR="00AE22FF" w:rsidRPr="00B6647E">
        <w:rPr>
          <w:rFonts w:ascii="Arial" w:hAnsi="Arial" w:cs="Arial"/>
          <w:b/>
          <w:sz w:val="20"/>
          <w:szCs w:val="20"/>
          <w:lang w:val="fr-FR" w:eastAsia="fr-FR"/>
        </w:rPr>
        <w:t>1</w:t>
      </w:r>
      <w:r w:rsidR="00E34AD0">
        <w:rPr>
          <w:rFonts w:ascii="Arial" w:hAnsi="Arial" w:cs="Arial"/>
          <w:b/>
          <w:sz w:val="20"/>
          <w:szCs w:val="20"/>
          <w:lang w:val="fr-FR" w:eastAsia="fr-FR"/>
        </w:rPr>
        <w:t>9</w:t>
      </w:r>
      <w:r w:rsidR="00AE22FF" w:rsidRPr="00B6647E">
        <w:rPr>
          <w:rFonts w:ascii="Arial" w:hAnsi="Arial" w:cs="Arial"/>
          <w:b/>
          <w:sz w:val="20"/>
          <w:szCs w:val="20"/>
          <w:lang w:val="fr-FR" w:eastAsia="fr-FR"/>
        </w:rPr>
        <w:t>4</w:t>
      </w:r>
      <w:r w:rsidRPr="00B6647E">
        <w:rPr>
          <w:rFonts w:ascii="Arial" w:hAnsi="Arial" w:cs="Arial"/>
          <w:b/>
          <w:sz w:val="20"/>
          <w:szCs w:val="20"/>
          <w:lang w:val="fr-FR" w:eastAsia="fr-FR"/>
        </w:rPr>
        <w:t> : Production totale de colocase par province et par saison</w:t>
      </w:r>
    </w:p>
    <w:p w:rsidR="00A0093A" w:rsidRPr="00B6647E" w:rsidRDefault="00354D64" w:rsidP="00D94E5B">
      <w:pPr>
        <w:spacing w:line="240" w:lineRule="auto"/>
        <w:rPr>
          <w:lang w:val="fr-FR" w:eastAsia="fr-FR"/>
        </w:rPr>
      </w:pPr>
      <w:r w:rsidRPr="00B6647E">
        <w:rPr>
          <w:noProof/>
          <w:lang w:val="fr-FR" w:eastAsia="fr-FR"/>
        </w:rPr>
        <w:drawing>
          <wp:inline distT="0" distB="0" distL="0" distR="0">
            <wp:extent cx="4191000" cy="3867150"/>
            <wp:effectExtent l="19050" t="0" r="0" b="0"/>
            <wp:docPr id="510"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44" cstate="print"/>
                    <a:srcRect/>
                    <a:stretch>
                      <a:fillRect/>
                    </a:stretch>
                  </pic:blipFill>
                  <pic:spPr bwMode="auto">
                    <a:xfrm>
                      <a:off x="0" y="0"/>
                      <a:ext cx="4191000" cy="3867150"/>
                    </a:xfrm>
                    <a:prstGeom prst="rect">
                      <a:avLst/>
                    </a:prstGeom>
                    <a:noFill/>
                    <a:ln w="9525">
                      <a:noFill/>
                      <a:miter lim="800000"/>
                      <a:headEnd/>
                      <a:tailEnd/>
                    </a:ln>
                  </pic:spPr>
                </pic:pic>
              </a:graphicData>
            </a:graphic>
          </wp:inline>
        </w:drawing>
      </w:r>
    </w:p>
    <w:p w:rsidR="00DF150C" w:rsidRPr="00B6647E" w:rsidRDefault="0033784C" w:rsidP="00D94E5B">
      <w:pPr>
        <w:spacing w:line="240" w:lineRule="auto"/>
        <w:jc w:val="both"/>
        <w:rPr>
          <w:rFonts w:ascii="Arial" w:hAnsi="Arial" w:cs="Arial"/>
          <w:sz w:val="20"/>
          <w:szCs w:val="20"/>
        </w:rPr>
      </w:pPr>
      <w:r w:rsidRPr="00B6647E">
        <w:rPr>
          <w:rFonts w:ascii="Arial" w:hAnsi="Arial" w:cs="Arial"/>
          <w:sz w:val="20"/>
          <w:szCs w:val="20"/>
        </w:rPr>
        <w:t>Sur une production totale de 6</w:t>
      </w:r>
      <w:r w:rsidR="00870D25">
        <w:rPr>
          <w:rFonts w:ascii="Arial" w:hAnsi="Arial" w:cs="Arial"/>
          <w:sz w:val="20"/>
          <w:szCs w:val="20"/>
        </w:rPr>
        <w:t>.</w:t>
      </w:r>
      <w:r w:rsidRPr="00B6647E">
        <w:rPr>
          <w:rFonts w:ascii="Arial" w:hAnsi="Arial" w:cs="Arial"/>
          <w:sz w:val="20"/>
          <w:szCs w:val="20"/>
        </w:rPr>
        <w:t>309 tonnes d’igname pendant toute la campagne agricole 2011-2012 (0,3% de la production totale de tubercules et racines), l’enquête a estimé à  5.546 tonnes la production a</w:t>
      </w:r>
      <w:r w:rsidR="00DF150C" w:rsidRPr="00B6647E">
        <w:rPr>
          <w:rFonts w:ascii="Arial" w:hAnsi="Arial" w:cs="Arial"/>
          <w:sz w:val="20"/>
          <w:szCs w:val="20"/>
        </w:rPr>
        <w:t>u cours de la saison B (87,9%).</w:t>
      </w:r>
    </w:p>
    <w:p w:rsidR="0033784C" w:rsidRPr="00B6647E" w:rsidRDefault="00B96ECE" w:rsidP="00D94E5B">
      <w:pPr>
        <w:spacing w:line="240" w:lineRule="auto"/>
        <w:jc w:val="both"/>
        <w:rPr>
          <w:rFonts w:ascii="Arial" w:hAnsi="Arial" w:cs="Arial"/>
          <w:sz w:val="20"/>
          <w:szCs w:val="20"/>
        </w:rPr>
      </w:pPr>
      <w:r w:rsidRPr="00B6647E">
        <w:rPr>
          <w:rFonts w:ascii="Arial" w:hAnsi="Arial" w:cs="Arial"/>
          <w:sz w:val="20"/>
          <w:szCs w:val="20"/>
        </w:rPr>
        <w:t xml:space="preserve">Quatre provinces </w:t>
      </w:r>
      <w:r w:rsidR="0033784C" w:rsidRPr="00B6647E">
        <w:rPr>
          <w:rFonts w:ascii="Arial" w:hAnsi="Arial" w:cs="Arial"/>
          <w:sz w:val="20"/>
          <w:szCs w:val="20"/>
        </w:rPr>
        <w:t xml:space="preserve">ont produit </w:t>
      </w:r>
      <w:r w:rsidRPr="00B6647E">
        <w:rPr>
          <w:rFonts w:ascii="Arial" w:hAnsi="Arial" w:cs="Arial"/>
          <w:sz w:val="20"/>
          <w:szCs w:val="20"/>
        </w:rPr>
        <w:t>85,2</w:t>
      </w:r>
      <w:r w:rsidR="0033784C" w:rsidRPr="00B6647E">
        <w:rPr>
          <w:rFonts w:ascii="Arial" w:hAnsi="Arial" w:cs="Arial"/>
          <w:sz w:val="20"/>
          <w:szCs w:val="20"/>
        </w:rPr>
        <w:t xml:space="preserve">% de la production totale d’igname : </w:t>
      </w:r>
      <w:r w:rsidRPr="00B6647E">
        <w:rPr>
          <w:rFonts w:ascii="Arial" w:hAnsi="Arial" w:cs="Arial"/>
          <w:sz w:val="20"/>
          <w:szCs w:val="20"/>
        </w:rPr>
        <w:t>Bujumbura rural</w:t>
      </w:r>
      <w:r w:rsidR="0033784C" w:rsidRPr="00B6647E">
        <w:rPr>
          <w:rFonts w:ascii="Arial" w:hAnsi="Arial" w:cs="Arial"/>
          <w:sz w:val="20"/>
          <w:szCs w:val="20"/>
        </w:rPr>
        <w:t xml:space="preserve"> (</w:t>
      </w:r>
      <w:r w:rsidRPr="00B6647E">
        <w:rPr>
          <w:rFonts w:ascii="Arial" w:hAnsi="Arial" w:cs="Arial"/>
          <w:sz w:val="20"/>
          <w:szCs w:val="20"/>
        </w:rPr>
        <w:t>2.380</w:t>
      </w:r>
      <w:r w:rsidR="0033784C" w:rsidRPr="00B6647E">
        <w:rPr>
          <w:rFonts w:ascii="Arial" w:hAnsi="Arial" w:cs="Arial"/>
          <w:sz w:val="20"/>
          <w:szCs w:val="20"/>
        </w:rPr>
        <w:t xml:space="preserve"> tonnes), </w:t>
      </w:r>
      <w:r w:rsidRPr="00B6647E">
        <w:rPr>
          <w:rFonts w:ascii="Arial" w:hAnsi="Arial" w:cs="Arial"/>
          <w:sz w:val="20"/>
          <w:szCs w:val="20"/>
        </w:rPr>
        <w:t>Karuzi</w:t>
      </w:r>
      <w:r w:rsidR="0033784C" w:rsidRPr="00B6647E">
        <w:rPr>
          <w:rFonts w:ascii="Arial" w:hAnsi="Arial" w:cs="Arial"/>
          <w:sz w:val="20"/>
          <w:szCs w:val="20"/>
        </w:rPr>
        <w:t xml:space="preserve"> (1.</w:t>
      </w:r>
      <w:r w:rsidRPr="00B6647E">
        <w:rPr>
          <w:rFonts w:ascii="Arial" w:hAnsi="Arial" w:cs="Arial"/>
          <w:sz w:val="20"/>
          <w:szCs w:val="20"/>
        </w:rPr>
        <w:t>570</w:t>
      </w:r>
      <w:r w:rsidR="0033784C" w:rsidRPr="00B6647E">
        <w:rPr>
          <w:rFonts w:ascii="Arial" w:hAnsi="Arial" w:cs="Arial"/>
          <w:sz w:val="20"/>
          <w:szCs w:val="20"/>
        </w:rPr>
        <w:t xml:space="preserve"> tonnes)</w:t>
      </w:r>
      <w:r w:rsidRPr="00B6647E">
        <w:rPr>
          <w:rFonts w:ascii="Arial" w:hAnsi="Arial" w:cs="Arial"/>
          <w:sz w:val="20"/>
          <w:szCs w:val="20"/>
        </w:rPr>
        <w:t>, Cibitoke (782 tonnes)</w:t>
      </w:r>
      <w:r w:rsidR="0033784C" w:rsidRPr="00B6647E">
        <w:rPr>
          <w:rFonts w:ascii="Arial" w:hAnsi="Arial" w:cs="Arial"/>
          <w:sz w:val="20"/>
          <w:szCs w:val="20"/>
        </w:rPr>
        <w:t xml:space="preserve"> et </w:t>
      </w:r>
      <w:r w:rsidRPr="00B6647E">
        <w:rPr>
          <w:rFonts w:ascii="Arial" w:hAnsi="Arial" w:cs="Arial"/>
          <w:sz w:val="20"/>
          <w:szCs w:val="20"/>
        </w:rPr>
        <w:t>Ruyigi</w:t>
      </w:r>
      <w:r w:rsidR="0033784C" w:rsidRPr="00B6647E">
        <w:rPr>
          <w:rFonts w:ascii="Arial" w:hAnsi="Arial" w:cs="Arial"/>
          <w:sz w:val="20"/>
          <w:szCs w:val="20"/>
        </w:rPr>
        <w:t xml:space="preserve"> (</w:t>
      </w:r>
      <w:r w:rsidRPr="00B6647E">
        <w:rPr>
          <w:rFonts w:ascii="Arial" w:hAnsi="Arial" w:cs="Arial"/>
          <w:sz w:val="20"/>
          <w:szCs w:val="20"/>
        </w:rPr>
        <w:t>644</w:t>
      </w:r>
      <w:r w:rsidR="0033784C" w:rsidRPr="00B6647E">
        <w:rPr>
          <w:rFonts w:ascii="Arial" w:hAnsi="Arial" w:cs="Arial"/>
          <w:sz w:val="20"/>
          <w:szCs w:val="20"/>
        </w:rPr>
        <w:t xml:space="preserve"> tonnes).</w:t>
      </w:r>
    </w:p>
    <w:p w:rsidR="000A16E6" w:rsidRPr="00B6647E" w:rsidRDefault="000A16E6">
      <w:pPr>
        <w:rPr>
          <w:rFonts w:ascii="Arial" w:hAnsi="Arial" w:cs="Arial"/>
          <w:b/>
          <w:sz w:val="20"/>
          <w:szCs w:val="20"/>
          <w:lang w:val="fr-FR" w:eastAsia="fr-FR"/>
        </w:rPr>
      </w:pPr>
      <w:r w:rsidRPr="00B6647E">
        <w:rPr>
          <w:rFonts w:ascii="Arial" w:hAnsi="Arial" w:cs="Arial"/>
          <w:b/>
          <w:sz w:val="20"/>
          <w:szCs w:val="20"/>
          <w:lang w:val="fr-FR" w:eastAsia="fr-FR"/>
        </w:rPr>
        <w:br w:type="page"/>
      </w:r>
    </w:p>
    <w:p w:rsidR="00A0093A" w:rsidRPr="00B6647E" w:rsidRDefault="00AE22FF" w:rsidP="00AE22FF">
      <w:pPr>
        <w:spacing w:line="240" w:lineRule="auto"/>
        <w:jc w:val="both"/>
        <w:rPr>
          <w:rFonts w:ascii="Arial" w:hAnsi="Arial" w:cs="Arial"/>
          <w:b/>
          <w:sz w:val="20"/>
          <w:szCs w:val="20"/>
          <w:lang w:val="fr-FR" w:eastAsia="fr-FR"/>
        </w:rPr>
      </w:pPr>
      <w:r w:rsidRPr="00B6647E">
        <w:rPr>
          <w:rFonts w:ascii="Arial" w:hAnsi="Arial" w:cs="Arial"/>
          <w:b/>
          <w:sz w:val="20"/>
          <w:szCs w:val="20"/>
          <w:lang w:val="fr-FR" w:eastAsia="fr-FR"/>
        </w:rPr>
        <w:lastRenderedPageBreak/>
        <w:t>Tableau 1</w:t>
      </w:r>
      <w:r w:rsidR="00E34AD0">
        <w:rPr>
          <w:rFonts w:ascii="Arial" w:hAnsi="Arial" w:cs="Arial"/>
          <w:b/>
          <w:sz w:val="20"/>
          <w:szCs w:val="20"/>
          <w:lang w:val="fr-FR" w:eastAsia="fr-FR"/>
        </w:rPr>
        <w:t>9</w:t>
      </w:r>
      <w:r w:rsidRPr="00B6647E">
        <w:rPr>
          <w:rFonts w:ascii="Arial" w:hAnsi="Arial" w:cs="Arial"/>
          <w:b/>
          <w:sz w:val="20"/>
          <w:szCs w:val="20"/>
          <w:lang w:val="fr-FR" w:eastAsia="fr-FR"/>
        </w:rPr>
        <w:t>5</w:t>
      </w:r>
      <w:r w:rsidR="00A0093A" w:rsidRPr="00B6647E">
        <w:rPr>
          <w:rFonts w:ascii="Arial" w:hAnsi="Arial" w:cs="Arial"/>
          <w:b/>
          <w:sz w:val="20"/>
          <w:szCs w:val="20"/>
          <w:lang w:val="fr-FR" w:eastAsia="fr-FR"/>
        </w:rPr>
        <w:t> : Production totale d’igname par province et par saison</w:t>
      </w:r>
    </w:p>
    <w:p w:rsidR="00322786" w:rsidRPr="00B6647E" w:rsidRDefault="00354D64" w:rsidP="00D94E5B">
      <w:pPr>
        <w:spacing w:line="240" w:lineRule="auto"/>
        <w:rPr>
          <w:lang w:val="fr-FR" w:eastAsia="fr-FR"/>
        </w:rPr>
      </w:pPr>
      <w:r w:rsidRPr="00B6647E">
        <w:rPr>
          <w:noProof/>
          <w:lang w:val="fr-FR" w:eastAsia="fr-FR"/>
        </w:rPr>
        <w:drawing>
          <wp:inline distT="0" distB="0" distL="0" distR="0">
            <wp:extent cx="4191000" cy="3867150"/>
            <wp:effectExtent l="19050" t="0" r="0" b="0"/>
            <wp:docPr id="511"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45" cstate="print"/>
                    <a:srcRect/>
                    <a:stretch>
                      <a:fillRect/>
                    </a:stretch>
                  </pic:blipFill>
                  <pic:spPr bwMode="auto">
                    <a:xfrm>
                      <a:off x="0" y="0"/>
                      <a:ext cx="4191000" cy="3867150"/>
                    </a:xfrm>
                    <a:prstGeom prst="rect">
                      <a:avLst/>
                    </a:prstGeom>
                    <a:noFill/>
                    <a:ln w="9525">
                      <a:noFill/>
                      <a:miter lim="800000"/>
                      <a:headEnd/>
                      <a:tailEnd/>
                    </a:ln>
                  </pic:spPr>
                </pic:pic>
              </a:graphicData>
            </a:graphic>
          </wp:inline>
        </w:drawing>
      </w:r>
    </w:p>
    <w:p w:rsidR="0076422A" w:rsidRPr="00B6647E" w:rsidRDefault="00613D0F" w:rsidP="00613D0F">
      <w:pPr>
        <w:spacing w:line="240" w:lineRule="auto"/>
        <w:jc w:val="both"/>
        <w:rPr>
          <w:rFonts w:ascii="Arial" w:hAnsi="Arial" w:cs="Arial"/>
          <w:b/>
          <w:sz w:val="20"/>
          <w:szCs w:val="20"/>
        </w:rPr>
      </w:pPr>
      <w:r w:rsidRPr="00B6647E">
        <w:rPr>
          <w:rFonts w:ascii="Arial" w:hAnsi="Arial" w:cs="Arial"/>
          <w:b/>
          <w:sz w:val="20"/>
          <w:szCs w:val="20"/>
        </w:rPr>
        <w:t>Carte 14</w:t>
      </w:r>
      <w:r w:rsidR="007E63C5" w:rsidRPr="00B6647E">
        <w:rPr>
          <w:rFonts w:ascii="Arial" w:hAnsi="Arial" w:cs="Arial"/>
          <w:b/>
          <w:sz w:val="20"/>
          <w:szCs w:val="20"/>
        </w:rPr>
        <w:t> : Production totale de tubercules et racines par province</w:t>
      </w:r>
    </w:p>
    <w:p w:rsidR="007E63C5" w:rsidRPr="00B6647E" w:rsidRDefault="007E63C5" w:rsidP="00D94E5B">
      <w:pPr>
        <w:spacing w:line="240" w:lineRule="auto"/>
        <w:rPr>
          <w:rFonts w:cs="Arial"/>
          <w:u w:val="dotDash"/>
        </w:rPr>
      </w:pPr>
    </w:p>
    <w:p w:rsidR="007E63C5" w:rsidRPr="00B6647E" w:rsidRDefault="003F0A39" w:rsidP="00D94E5B">
      <w:pPr>
        <w:spacing w:line="240" w:lineRule="auto"/>
        <w:rPr>
          <w:rFonts w:ascii="Arial" w:hAnsi="Arial" w:cs="Arial"/>
          <w:sz w:val="20"/>
          <w:szCs w:val="20"/>
        </w:rPr>
      </w:pPr>
      <w:r w:rsidRPr="00B6647E">
        <w:rPr>
          <w:rFonts w:ascii="Arial" w:hAnsi="Arial" w:cs="Arial"/>
          <w:noProof/>
          <w:sz w:val="20"/>
          <w:szCs w:val="20"/>
          <w:lang w:val="fr-FR" w:eastAsia="fr-FR"/>
        </w:rPr>
        <w:drawing>
          <wp:inline distT="0" distB="0" distL="0" distR="0">
            <wp:extent cx="5658736" cy="3982073"/>
            <wp:effectExtent l="19050" t="0" r="0" b="0"/>
            <wp:docPr id="365"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6" cstate="print"/>
                    <a:srcRect l="5152" t="5399" r="5107" b="5399"/>
                    <a:stretch>
                      <a:fillRect/>
                    </a:stretch>
                  </pic:blipFill>
                  <pic:spPr bwMode="auto">
                    <a:xfrm>
                      <a:off x="0" y="0"/>
                      <a:ext cx="5665670" cy="3986953"/>
                    </a:xfrm>
                    <a:prstGeom prst="rect">
                      <a:avLst/>
                    </a:prstGeom>
                    <a:noFill/>
                    <a:ln w="9525">
                      <a:noFill/>
                      <a:miter lim="800000"/>
                      <a:headEnd/>
                      <a:tailEnd/>
                    </a:ln>
                  </pic:spPr>
                </pic:pic>
              </a:graphicData>
            </a:graphic>
          </wp:inline>
        </w:drawing>
      </w:r>
    </w:p>
    <w:p w:rsidR="001A3AEF" w:rsidRPr="00B6647E" w:rsidRDefault="000552AE" w:rsidP="00B71798">
      <w:pPr>
        <w:pStyle w:val="Titre2"/>
        <w:keepNext w:val="0"/>
        <w:numPr>
          <w:ilvl w:val="1"/>
          <w:numId w:val="1"/>
        </w:numPr>
        <w:spacing w:before="240" w:after="200"/>
        <w:ind w:left="0" w:firstLine="0"/>
        <w:rPr>
          <w:rFonts w:cs="Arial"/>
          <w:u w:val="dotDash"/>
        </w:rPr>
      </w:pPr>
      <w:bookmarkStart w:id="244" w:name="_Toc354313891"/>
      <w:r w:rsidRPr="00B6647E">
        <w:rPr>
          <w:rFonts w:cs="Arial"/>
          <w:u w:val="dotDash"/>
        </w:rPr>
        <w:lastRenderedPageBreak/>
        <w:t>Oléagineux</w:t>
      </w:r>
      <w:bookmarkEnd w:id="244"/>
      <w:r w:rsidRPr="00B6647E">
        <w:rPr>
          <w:rFonts w:cs="Arial"/>
          <w:u w:val="dotDash"/>
        </w:rPr>
        <w:t xml:space="preserve"> </w:t>
      </w:r>
    </w:p>
    <w:p w:rsidR="000552AE" w:rsidRPr="00B6647E" w:rsidRDefault="000552AE" w:rsidP="00B71798">
      <w:pPr>
        <w:pStyle w:val="Titre3"/>
        <w:keepNext w:val="0"/>
        <w:numPr>
          <w:ilvl w:val="2"/>
          <w:numId w:val="1"/>
        </w:numPr>
        <w:spacing w:before="200" w:after="120"/>
        <w:ind w:left="0" w:firstLine="0"/>
        <w:rPr>
          <w:rFonts w:cs="Arial"/>
          <w:szCs w:val="20"/>
        </w:rPr>
      </w:pPr>
      <w:bookmarkStart w:id="245" w:name="_Toc354313892"/>
      <w:r w:rsidRPr="00B6647E">
        <w:rPr>
          <w:rFonts w:cs="Arial"/>
          <w:szCs w:val="20"/>
        </w:rPr>
        <w:t>Superficies</w:t>
      </w:r>
      <w:bookmarkEnd w:id="245"/>
    </w:p>
    <w:p w:rsidR="00925C32" w:rsidRPr="00B6647E" w:rsidRDefault="00925C32" w:rsidP="00506E14">
      <w:pPr>
        <w:spacing w:line="240" w:lineRule="auto"/>
        <w:jc w:val="both"/>
        <w:rPr>
          <w:rFonts w:ascii="Arial" w:hAnsi="Arial" w:cs="Arial"/>
          <w:sz w:val="20"/>
          <w:szCs w:val="20"/>
        </w:rPr>
      </w:pPr>
      <w:r w:rsidRPr="00B6647E">
        <w:rPr>
          <w:rFonts w:ascii="Arial" w:hAnsi="Arial" w:cs="Arial"/>
          <w:sz w:val="20"/>
          <w:szCs w:val="20"/>
        </w:rPr>
        <w:t xml:space="preserve">La superficie d’oléagineux (arachide, soja et tournesol) en culture pure et principale de la campagne agricole 2011-2012 a été estimée à 28.582 ha. Elles sont composées de 11.340 ha en saison A, de 11.889 ha au cours de la saison B et 5.353 ha pendant la saison C. </w:t>
      </w:r>
    </w:p>
    <w:p w:rsidR="00D739CC" w:rsidRPr="00B6647E" w:rsidRDefault="00D739CC" w:rsidP="0053275E">
      <w:pPr>
        <w:pStyle w:val="Paragraphedeliste"/>
        <w:spacing w:after="120" w:line="240" w:lineRule="auto"/>
        <w:ind w:left="0"/>
        <w:contextualSpacing w:val="0"/>
        <w:rPr>
          <w:rFonts w:ascii="Arial" w:hAnsi="Arial" w:cs="Arial"/>
          <w:b/>
          <w:sz w:val="20"/>
          <w:szCs w:val="20"/>
        </w:rPr>
      </w:pPr>
      <w:r w:rsidRPr="00B6647E">
        <w:rPr>
          <w:rFonts w:ascii="Arial" w:hAnsi="Arial" w:cs="Arial"/>
          <w:b/>
          <w:sz w:val="20"/>
          <w:szCs w:val="20"/>
        </w:rPr>
        <w:t xml:space="preserve">Graphique </w:t>
      </w:r>
      <w:r w:rsidR="006F5A28" w:rsidRPr="00B6647E">
        <w:rPr>
          <w:rFonts w:ascii="Arial" w:hAnsi="Arial" w:cs="Arial"/>
          <w:b/>
          <w:sz w:val="20"/>
          <w:szCs w:val="20"/>
        </w:rPr>
        <w:t>2</w:t>
      </w:r>
      <w:r w:rsidR="007F30DD">
        <w:rPr>
          <w:rFonts w:ascii="Arial" w:hAnsi="Arial" w:cs="Arial"/>
          <w:b/>
          <w:sz w:val="20"/>
          <w:szCs w:val="20"/>
        </w:rPr>
        <w:t>2</w:t>
      </w:r>
      <w:r w:rsidRPr="00B6647E">
        <w:rPr>
          <w:rFonts w:ascii="Arial" w:hAnsi="Arial" w:cs="Arial"/>
          <w:b/>
          <w:sz w:val="20"/>
          <w:szCs w:val="20"/>
        </w:rPr>
        <w:t xml:space="preserve"> : Superficie </w:t>
      </w:r>
      <w:r w:rsidR="00D53050" w:rsidRPr="00B6647E">
        <w:rPr>
          <w:rFonts w:ascii="Arial" w:hAnsi="Arial" w:cs="Arial"/>
          <w:b/>
          <w:sz w:val="20"/>
          <w:szCs w:val="20"/>
        </w:rPr>
        <w:t xml:space="preserve">totale </w:t>
      </w:r>
      <w:r w:rsidRPr="00B6647E">
        <w:rPr>
          <w:rFonts w:ascii="Arial" w:hAnsi="Arial" w:cs="Arial"/>
          <w:b/>
          <w:sz w:val="20"/>
          <w:szCs w:val="20"/>
        </w:rPr>
        <w:t>d</w:t>
      </w:r>
      <w:r w:rsidR="00D53050" w:rsidRPr="00B6647E">
        <w:rPr>
          <w:rFonts w:ascii="Arial" w:hAnsi="Arial" w:cs="Arial"/>
          <w:b/>
          <w:sz w:val="20"/>
          <w:szCs w:val="20"/>
        </w:rPr>
        <w:t>’</w:t>
      </w:r>
      <w:r w:rsidRPr="00B6647E">
        <w:rPr>
          <w:rFonts w:ascii="Arial" w:hAnsi="Arial" w:cs="Arial"/>
          <w:b/>
          <w:sz w:val="20"/>
          <w:szCs w:val="20"/>
        </w:rPr>
        <w:t xml:space="preserve">oléagineux </w:t>
      </w:r>
      <w:r w:rsidR="00D53050" w:rsidRPr="00B6647E">
        <w:rPr>
          <w:rFonts w:ascii="Arial" w:hAnsi="Arial" w:cs="Arial"/>
          <w:b/>
          <w:sz w:val="20"/>
          <w:szCs w:val="20"/>
        </w:rPr>
        <w:t>en</w:t>
      </w:r>
      <w:r w:rsidRPr="00B6647E">
        <w:rPr>
          <w:rFonts w:ascii="Arial" w:hAnsi="Arial" w:cs="Arial"/>
          <w:b/>
          <w:sz w:val="20"/>
          <w:szCs w:val="20"/>
        </w:rPr>
        <w:t xml:space="preserve"> culture pure et principale p</w:t>
      </w:r>
      <w:r w:rsidR="00D53050" w:rsidRPr="00B6647E">
        <w:rPr>
          <w:rFonts w:ascii="Arial" w:hAnsi="Arial" w:cs="Arial"/>
          <w:b/>
          <w:sz w:val="20"/>
          <w:szCs w:val="20"/>
        </w:rPr>
        <w:t>ar région (ha)</w:t>
      </w:r>
    </w:p>
    <w:p w:rsidR="00925C32" w:rsidRPr="00B6647E" w:rsidRDefault="00D739CC" w:rsidP="0053275E">
      <w:pPr>
        <w:pStyle w:val="Paragraphedeliste"/>
        <w:spacing w:after="120" w:line="240" w:lineRule="auto"/>
        <w:ind w:left="0"/>
        <w:contextualSpacing w:val="0"/>
        <w:rPr>
          <w:rFonts w:ascii="Arial" w:hAnsi="Arial" w:cs="Arial"/>
          <w:sz w:val="20"/>
          <w:szCs w:val="20"/>
        </w:rPr>
      </w:pPr>
      <w:r w:rsidRPr="00B6647E">
        <w:rPr>
          <w:noProof/>
          <w:szCs w:val="20"/>
          <w:lang w:val="fr-FR" w:eastAsia="fr-FR"/>
        </w:rPr>
        <w:drawing>
          <wp:inline distT="0" distB="0" distL="0" distR="0">
            <wp:extent cx="4591050" cy="2762250"/>
            <wp:effectExtent l="19050" t="0" r="0" b="0"/>
            <wp:docPr id="1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7" cstate="print"/>
                    <a:srcRect/>
                    <a:stretch>
                      <a:fillRect/>
                    </a:stretch>
                  </pic:blipFill>
                  <pic:spPr bwMode="auto">
                    <a:xfrm>
                      <a:off x="0" y="0"/>
                      <a:ext cx="4591050" cy="2762250"/>
                    </a:xfrm>
                    <a:prstGeom prst="rect">
                      <a:avLst/>
                    </a:prstGeom>
                    <a:noFill/>
                    <a:ln w="9525">
                      <a:noFill/>
                      <a:miter lim="800000"/>
                      <a:headEnd/>
                      <a:tailEnd/>
                    </a:ln>
                  </pic:spPr>
                </pic:pic>
              </a:graphicData>
            </a:graphic>
          </wp:inline>
        </w:drawing>
      </w:r>
    </w:p>
    <w:p w:rsidR="0053275E" w:rsidRPr="00B6647E" w:rsidRDefault="0053275E" w:rsidP="0053275E">
      <w:pPr>
        <w:pStyle w:val="Paragraphedeliste"/>
        <w:spacing w:after="120" w:line="240" w:lineRule="auto"/>
        <w:ind w:left="0"/>
        <w:contextualSpacing w:val="0"/>
        <w:rPr>
          <w:rFonts w:ascii="Arial" w:hAnsi="Arial" w:cs="Arial"/>
          <w:sz w:val="20"/>
          <w:szCs w:val="20"/>
        </w:rPr>
      </w:pPr>
    </w:p>
    <w:p w:rsidR="00300D81" w:rsidRPr="00B6647E" w:rsidRDefault="00300D81" w:rsidP="00B71798">
      <w:pPr>
        <w:pStyle w:val="Paragraphedeliste"/>
        <w:spacing w:before="200" w:after="120" w:line="240" w:lineRule="auto"/>
        <w:ind w:left="0"/>
        <w:contextualSpacing w:val="0"/>
        <w:rPr>
          <w:rFonts w:ascii="Arial" w:hAnsi="Arial" w:cs="Arial"/>
          <w:b/>
          <w:sz w:val="20"/>
          <w:szCs w:val="20"/>
        </w:rPr>
      </w:pPr>
      <w:r w:rsidRPr="00B6647E">
        <w:rPr>
          <w:rFonts w:ascii="Arial" w:hAnsi="Arial" w:cs="Arial"/>
          <w:b/>
          <w:sz w:val="20"/>
          <w:szCs w:val="20"/>
        </w:rPr>
        <w:t>a) Superficie totale d’oléagineux en culture pure et principale par région et par saison</w:t>
      </w:r>
    </w:p>
    <w:p w:rsidR="00300D81" w:rsidRPr="00B6647E" w:rsidRDefault="00300D81" w:rsidP="00506E14">
      <w:pPr>
        <w:spacing w:line="240" w:lineRule="auto"/>
        <w:jc w:val="both"/>
        <w:rPr>
          <w:rFonts w:ascii="Arial" w:hAnsi="Arial" w:cs="Arial"/>
          <w:sz w:val="20"/>
          <w:szCs w:val="20"/>
        </w:rPr>
      </w:pPr>
      <w:r w:rsidRPr="00B6647E">
        <w:rPr>
          <w:rFonts w:ascii="Arial" w:hAnsi="Arial" w:cs="Arial"/>
          <w:sz w:val="20"/>
          <w:szCs w:val="20"/>
        </w:rPr>
        <w:t>La superficie totale d’oléagineux en culture pure et principale est constituée de 21.673 ha (75,8%) d’arachide, 4.060 ha (14,2%) de tournesol et de 2.849 ha (10%) de soja.</w:t>
      </w:r>
    </w:p>
    <w:p w:rsidR="00300D81" w:rsidRPr="00B6647E" w:rsidRDefault="00300D81" w:rsidP="00506E14">
      <w:pPr>
        <w:spacing w:line="240" w:lineRule="auto"/>
        <w:jc w:val="both"/>
        <w:rPr>
          <w:rFonts w:ascii="Arial" w:hAnsi="Arial" w:cs="Arial"/>
          <w:sz w:val="20"/>
          <w:szCs w:val="20"/>
        </w:rPr>
      </w:pPr>
      <w:r w:rsidRPr="00B6647E">
        <w:rPr>
          <w:rFonts w:ascii="Arial" w:hAnsi="Arial" w:cs="Arial"/>
          <w:sz w:val="20"/>
          <w:szCs w:val="20"/>
        </w:rPr>
        <w:t>Les plus grandes superficies d’oléagineux en culture pure et principale ont été estimées dans les régions naturelles de Kirimiro (5.300 ha), Bugesera (5.214 ha), Buyogoma (4.695 ha), Moso (4.719 ha), Buyenzi (2.711 ha. Mugamba n’a pas enregistré d’oléagineux en culture pure et principale.</w:t>
      </w:r>
    </w:p>
    <w:p w:rsidR="00105C65" w:rsidRPr="00B6647E" w:rsidRDefault="00105C65" w:rsidP="00506E14">
      <w:pPr>
        <w:pStyle w:val="Lgende"/>
        <w:keepNext/>
        <w:jc w:val="both"/>
        <w:rPr>
          <w:rFonts w:ascii="Arial" w:hAnsi="Arial" w:cs="Arial"/>
        </w:rPr>
      </w:pPr>
      <w:r w:rsidRPr="00B6647E">
        <w:rPr>
          <w:rFonts w:ascii="Arial" w:hAnsi="Arial" w:cs="Arial"/>
        </w:rPr>
        <w:t xml:space="preserve">Tableau </w:t>
      </w:r>
      <w:r w:rsidR="00AE22FF" w:rsidRPr="00B6647E">
        <w:rPr>
          <w:rFonts w:ascii="Arial" w:hAnsi="Arial" w:cs="Arial"/>
        </w:rPr>
        <w:t>1</w:t>
      </w:r>
      <w:r w:rsidR="00E34AD0">
        <w:rPr>
          <w:rFonts w:ascii="Arial" w:hAnsi="Arial" w:cs="Arial"/>
        </w:rPr>
        <w:t>9</w:t>
      </w:r>
      <w:r w:rsidR="00AE22FF" w:rsidRPr="00B6647E">
        <w:rPr>
          <w:rFonts w:ascii="Arial" w:hAnsi="Arial" w:cs="Arial"/>
        </w:rPr>
        <w:t>6 :</w:t>
      </w:r>
      <w:r w:rsidRPr="00B6647E">
        <w:rPr>
          <w:rFonts w:ascii="Arial" w:hAnsi="Arial" w:cs="Arial"/>
        </w:rPr>
        <w:t xml:space="preserve"> Superficie totale cultivée des oléagineux par </w:t>
      </w:r>
      <w:r w:rsidR="000A6A82" w:rsidRPr="00B6647E">
        <w:rPr>
          <w:rFonts w:ascii="Arial" w:hAnsi="Arial" w:cs="Arial"/>
        </w:rPr>
        <w:t>région</w:t>
      </w:r>
      <w:r w:rsidRPr="00B6647E">
        <w:rPr>
          <w:rFonts w:ascii="Arial" w:hAnsi="Arial" w:cs="Arial"/>
        </w:rPr>
        <w:t xml:space="preserve"> pendant les trois saisons</w:t>
      </w:r>
    </w:p>
    <w:p w:rsidR="000A6A82" w:rsidRPr="00B6647E" w:rsidRDefault="00A6627C" w:rsidP="00506E14">
      <w:pPr>
        <w:spacing w:line="240" w:lineRule="auto"/>
        <w:jc w:val="both"/>
        <w:rPr>
          <w:rFonts w:ascii="Arial" w:hAnsi="Arial" w:cs="Arial"/>
          <w:sz w:val="20"/>
          <w:szCs w:val="20"/>
          <w:lang w:eastAsia="fr-FR"/>
        </w:rPr>
      </w:pPr>
      <w:r w:rsidRPr="00B6647E">
        <w:rPr>
          <w:noProof/>
          <w:szCs w:val="20"/>
          <w:lang w:val="fr-FR" w:eastAsia="fr-FR"/>
        </w:rPr>
        <w:drawing>
          <wp:inline distT="0" distB="0" distL="0" distR="0">
            <wp:extent cx="4067175" cy="2914650"/>
            <wp:effectExtent l="19050" t="0" r="9525" b="0"/>
            <wp:docPr id="512"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48" cstate="print"/>
                    <a:srcRect/>
                    <a:stretch>
                      <a:fillRect/>
                    </a:stretch>
                  </pic:blipFill>
                  <pic:spPr bwMode="auto">
                    <a:xfrm>
                      <a:off x="0" y="0"/>
                      <a:ext cx="4067175" cy="2914650"/>
                    </a:xfrm>
                    <a:prstGeom prst="rect">
                      <a:avLst/>
                    </a:prstGeom>
                    <a:noFill/>
                    <a:ln w="9525">
                      <a:noFill/>
                      <a:miter lim="800000"/>
                      <a:headEnd/>
                      <a:tailEnd/>
                    </a:ln>
                  </pic:spPr>
                </pic:pic>
              </a:graphicData>
            </a:graphic>
          </wp:inline>
        </w:drawing>
      </w:r>
    </w:p>
    <w:p w:rsidR="000A6A82" w:rsidRPr="00B6647E" w:rsidRDefault="00A70760" w:rsidP="00506E14">
      <w:pPr>
        <w:spacing w:line="240" w:lineRule="auto"/>
        <w:jc w:val="both"/>
        <w:rPr>
          <w:rFonts w:ascii="Arial" w:hAnsi="Arial" w:cs="Arial"/>
          <w:sz w:val="20"/>
          <w:szCs w:val="20"/>
          <w:lang w:eastAsia="fr-FR"/>
        </w:rPr>
      </w:pPr>
      <w:r w:rsidRPr="00B6647E">
        <w:rPr>
          <w:rFonts w:ascii="Arial" w:hAnsi="Arial" w:cs="Arial"/>
          <w:sz w:val="20"/>
          <w:szCs w:val="20"/>
          <w:lang w:eastAsia="fr-FR"/>
        </w:rPr>
        <w:lastRenderedPageBreak/>
        <w:t>La superficie d’arachide estimée à 21.673 ha occupe à elle seule plus des trois quarts (75,8%)  de la superficie totale d’oléagineux en culture pure et principale. Cette culture pratiquée essentiellement au cours de la saison A (9.633 ha) et la saison B (10.632 ha) qui cumulent 93,5% de la superficie totale d’arachide en culture pure et principale. Les plus grandes superficies ont été enregistrées dans les régions de Kirimiro (4.654 ha), Moso (4.584 ha) et Buyogoma (4.395 ha)</w:t>
      </w:r>
    </w:p>
    <w:p w:rsidR="00105C65" w:rsidRPr="00B6647E" w:rsidRDefault="00105C65" w:rsidP="00506E14">
      <w:pPr>
        <w:pStyle w:val="Lgende"/>
        <w:keepNext/>
        <w:jc w:val="both"/>
        <w:rPr>
          <w:rFonts w:ascii="Arial" w:hAnsi="Arial" w:cs="Arial"/>
        </w:rPr>
      </w:pPr>
      <w:r w:rsidRPr="00B6647E">
        <w:rPr>
          <w:rFonts w:ascii="Arial" w:hAnsi="Arial" w:cs="Arial"/>
        </w:rPr>
        <w:t xml:space="preserve">Tableau </w:t>
      </w:r>
      <w:r w:rsidR="006B398C">
        <w:rPr>
          <w:rFonts w:ascii="Arial" w:hAnsi="Arial" w:cs="Arial"/>
        </w:rPr>
        <w:t>19</w:t>
      </w:r>
      <w:r w:rsidR="00FD326F" w:rsidRPr="00B6647E">
        <w:rPr>
          <w:rFonts w:ascii="Arial" w:hAnsi="Arial" w:cs="Arial"/>
        </w:rPr>
        <w:t>7 :</w:t>
      </w:r>
      <w:r w:rsidRPr="00B6647E">
        <w:rPr>
          <w:rFonts w:ascii="Arial" w:hAnsi="Arial" w:cs="Arial"/>
        </w:rPr>
        <w:t xml:space="preserve"> Superficie totale cultivée de</w:t>
      </w:r>
      <w:r w:rsidR="000A6A82" w:rsidRPr="00B6647E">
        <w:rPr>
          <w:rFonts w:ascii="Arial" w:hAnsi="Arial" w:cs="Arial"/>
        </w:rPr>
        <w:t xml:space="preserve"> l’arachide</w:t>
      </w:r>
      <w:r w:rsidRPr="00B6647E">
        <w:rPr>
          <w:rFonts w:ascii="Arial" w:hAnsi="Arial" w:cs="Arial"/>
        </w:rPr>
        <w:t xml:space="preserve"> par </w:t>
      </w:r>
      <w:r w:rsidR="000A6A82" w:rsidRPr="00B6647E">
        <w:rPr>
          <w:rFonts w:ascii="Arial" w:hAnsi="Arial" w:cs="Arial"/>
        </w:rPr>
        <w:t>région</w:t>
      </w:r>
      <w:r w:rsidRPr="00B6647E">
        <w:rPr>
          <w:rFonts w:ascii="Arial" w:hAnsi="Arial" w:cs="Arial"/>
        </w:rPr>
        <w:t xml:space="preserve"> pendant les trois saisons</w:t>
      </w:r>
    </w:p>
    <w:p w:rsidR="000A6A82" w:rsidRPr="00B6647E" w:rsidRDefault="00A6627C" w:rsidP="00506E14">
      <w:pPr>
        <w:spacing w:line="240" w:lineRule="auto"/>
        <w:jc w:val="both"/>
        <w:rPr>
          <w:rFonts w:ascii="Arial" w:hAnsi="Arial" w:cs="Arial"/>
          <w:sz w:val="20"/>
          <w:szCs w:val="20"/>
          <w:lang w:eastAsia="fr-FR"/>
        </w:rPr>
      </w:pPr>
      <w:r w:rsidRPr="00B6647E">
        <w:rPr>
          <w:noProof/>
          <w:szCs w:val="20"/>
          <w:lang w:val="fr-FR" w:eastAsia="fr-FR"/>
        </w:rPr>
        <w:drawing>
          <wp:inline distT="0" distB="0" distL="0" distR="0">
            <wp:extent cx="4067175" cy="2914650"/>
            <wp:effectExtent l="19050" t="0" r="9525" b="0"/>
            <wp:docPr id="513"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49" cstate="print"/>
                    <a:srcRect/>
                    <a:stretch>
                      <a:fillRect/>
                    </a:stretch>
                  </pic:blipFill>
                  <pic:spPr bwMode="auto">
                    <a:xfrm>
                      <a:off x="0" y="0"/>
                      <a:ext cx="4067175" cy="2914650"/>
                    </a:xfrm>
                    <a:prstGeom prst="rect">
                      <a:avLst/>
                    </a:prstGeom>
                    <a:noFill/>
                    <a:ln w="9525">
                      <a:noFill/>
                      <a:miter lim="800000"/>
                      <a:headEnd/>
                      <a:tailEnd/>
                    </a:ln>
                  </pic:spPr>
                </pic:pic>
              </a:graphicData>
            </a:graphic>
          </wp:inline>
        </w:drawing>
      </w:r>
    </w:p>
    <w:p w:rsidR="000A6A82" w:rsidRPr="00B6647E" w:rsidRDefault="00A70760" w:rsidP="00506E14">
      <w:pPr>
        <w:spacing w:line="240" w:lineRule="auto"/>
        <w:jc w:val="both"/>
        <w:rPr>
          <w:rFonts w:ascii="Arial" w:hAnsi="Arial" w:cs="Arial"/>
          <w:sz w:val="20"/>
          <w:szCs w:val="20"/>
          <w:lang w:eastAsia="fr-FR"/>
        </w:rPr>
      </w:pPr>
      <w:r w:rsidRPr="00B6647E">
        <w:rPr>
          <w:rFonts w:ascii="Arial" w:hAnsi="Arial" w:cs="Arial"/>
          <w:sz w:val="20"/>
          <w:szCs w:val="20"/>
          <w:lang w:eastAsia="fr-FR"/>
        </w:rPr>
        <w:t xml:space="preserve">Le soja en culture pure et principale a occupé au </w:t>
      </w:r>
      <w:r w:rsidR="00506E14" w:rsidRPr="00B6647E">
        <w:rPr>
          <w:rFonts w:ascii="Arial" w:hAnsi="Arial" w:cs="Arial"/>
          <w:sz w:val="20"/>
          <w:szCs w:val="20"/>
          <w:lang w:eastAsia="fr-FR"/>
        </w:rPr>
        <w:t>cours des trois saisons cumulées une superficie de 2.849 ha correspondant à 10% de la superficie totale d’oléagineux en culture pure et principale de toute la campagne agricole 2011-2012. Les trois régions naturelles avec les superficies de soja les plus grandes sont : Buyenzi (871 ha), Kirimiro (574 ha) et Bugesera (395 ha).</w:t>
      </w:r>
    </w:p>
    <w:p w:rsidR="00105C65" w:rsidRPr="00B6647E" w:rsidRDefault="00105C65" w:rsidP="00212F37">
      <w:pPr>
        <w:pStyle w:val="Lgende"/>
        <w:keepNext/>
        <w:jc w:val="both"/>
        <w:rPr>
          <w:rFonts w:ascii="Arial" w:hAnsi="Arial" w:cs="Arial"/>
        </w:rPr>
      </w:pPr>
      <w:r w:rsidRPr="00B6647E">
        <w:rPr>
          <w:rFonts w:ascii="Arial" w:hAnsi="Arial" w:cs="Arial"/>
        </w:rPr>
        <w:t xml:space="preserve">Tableau </w:t>
      </w:r>
      <w:r w:rsidR="006B398C">
        <w:rPr>
          <w:rFonts w:ascii="Arial" w:hAnsi="Arial" w:cs="Arial"/>
        </w:rPr>
        <w:t>19</w:t>
      </w:r>
      <w:r w:rsidR="00FD326F" w:rsidRPr="00B6647E">
        <w:rPr>
          <w:rFonts w:ascii="Arial" w:hAnsi="Arial" w:cs="Arial"/>
        </w:rPr>
        <w:t>8 :</w:t>
      </w:r>
      <w:r w:rsidRPr="00B6647E">
        <w:rPr>
          <w:rFonts w:ascii="Arial" w:hAnsi="Arial" w:cs="Arial"/>
        </w:rPr>
        <w:t xml:space="preserve"> Superficie totale cultivée </w:t>
      </w:r>
      <w:r w:rsidR="000A6A82" w:rsidRPr="00B6647E">
        <w:rPr>
          <w:rFonts w:ascii="Arial" w:hAnsi="Arial" w:cs="Arial"/>
        </w:rPr>
        <w:t>du soja</w:t>
      </w:r>
      <w:r w:rsidRPr="00B6647E">
        <w:rPr>
          <w:rFonts w:ascii="Arial" w:hAnsi="Arial" w:cs="Arial"/>
        </w:rPr>
        <w:t xml:space="preserve"> par </w:t>
      </w:r>
      <w:r w:rsidR="000A6A82" w:rsidRPr="00B6647E">
        <w:rPr>
          <w:rFonts w:ascii="Arial" w:hAnsi="Arial" w:cs="Arial"/>
        </w:rPr>
        <w:t>région</w:t>
      </w:r>
      <w:r w:rsidRPr="00B6647E">
        <w:rPr>
          <w:rFonts w:ascii="Arial" w:hAnsi="Arial" w:cs="Arial"/>
        </w:rPr>
        <w:t xml:space="preserve"> pendant les trois saisons</w:t>
      </w:r>
    </w:p>
    <w:p w:rsidR="000A6A82" w:rsidRPr="00B6647E" w:rsidRDefault="00A6627C" w:rsidP="00212F37">
      <w:pPr>
        <w:spacing w:line="240" w:lineRule="auto"/>
        <w:rPr>
          <w:lang w:eastAsia="fr-FR"/>
        </w:rPr>
      </w:pPr>
      <w:r w:rsidRPr="00B6647E">
        <w:rPr>
          <w:noProof/>
          <w:lang w:val="fr-FR" w:eastAsia="fr-FR"/>
        </w:rPr>
        <w:drawing>
          <wp:inline distT="0" distB="0" distL="0" distR="0">
            <wp:extent cx="4067175" cy="2914650"/>
            <wp:effectExtent l="19050" t="0" r="9525" b="0"/>
            <wp:docPr id="514"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50" cstate="print"/>
                    <a:srcRect/>
                    <a:stretch>
                      <a:fillRect/>
                    </a:stretch>
                  </pic:blipFill>
                  <pic:spPr bwMode="auto">
                    <a:xfrm>
                      <a:off x="0" y="0"/>
                      <a:ext cx="4067175" cy="2914650"/>
                    </a:xfrm>
                    <a:prstGeom prst="rect">
                      <a:avLst/>
                    </a:prstGeom>
                    <a:noFill/>
                    <a:ln w="9525">
                      <a:noFill/>
                      <a:miter lim="800000"/>
                      <a:headEnd/>
                      <a:tailEnd/>
                    </a:ln>
                  </pic:spPr>
                </pic:pic>
              </a:graphicData>
            </a:graphic>
          </wp:inline>
        </w:drawing>
      </w:r>
    </w:p>
    <w:p w:rsidR="000A6A82" w:rsidRPr="00B6647E" w:rsidRDefault="00506E14" w:rsidP="00212F37">
      <w:pPr>
        <w:spacing w:line="240" w:lineRule="auto"/>
        <w:jc w:val="both"/>
        <w:rPr>
          <w:rFonts w:ascii="Arial" w:hAnsi="Arial" w:cs="Arial"/>
          <w:sz w:val="20"/>
          <w:szCs w:val="20"/>
          <w:lang w:eastAsia="fr-FR"/>
        </w:rPr>
      </w:pPr>
      <w:r w:rsidRPr="00B6647E">
        <w:rPr>
          <w:rFonts w:ascii="Arial" w:hAnsi="Arial" w:cs="Arial"/>
          <w:sz w:val="20"/>
          <w:szCs w:val="20"/>
          <w:lang w:eastAsia="fr-FR"/>
        </w:rPr>
        <w:t>Le tournesol en culture pure et principale a occupé 4.060 ha, soit 14,2% de la superficie totale d’oléagineux estimée pour l’essentiel en saison C (3.661 ha) et dans la région naturelle de Bugesera (3.962 ha).</w:t>
      </w:r>
    </w:p>
    <w:p w:rsidR="00105C65" w:rsidRPr="00B6647E" w:rsidRDefault="00105C65" w:rsidP="00212F37">
      <w:pPr>
        <w:pStyle w:val="Lgende"/>
        <w:keepNext/>
        <w:jc w:val="both"/>
        <w:rPr>
          <w:rFonts w:ascii="Arial" w:hAnsi="Arial" w:cs="Arial"/>
        </w:rPr>
      </w:pPr>
      <w:r w:rsidRPr="00B6647E">
        <w:rPr>
          <w:rFonts w:ascii="Arial" w:hAnsi="Arial" w:cs="Arial"/>
        </w:rPr>
        <w:lastRenderedPageBreak/>
        <w:t xml:space="preserve">Tableau </w:t>
      </w:r>
      <w:r w:rsidR="006B398C">
        <w:rPr>
          <w:rFonts w:ascii="Arial" w:hAnsi="Arial" w:cs="Arial"/>
        </w:rPr>
        <w:t>19</w:t>
      </w:r>
      <w:r w:rsidR="00FD326F" w:rsidRPr="00B6647E">
        <w:rPr>
          <w:rFonts w:ascii="Arial" w:hAnsi="Arial" w:cs="Arial"/>
        </w:rPr>
        <w:t>9 :</w:t>
      </w:r>
      <w:r w:rsidRPr="00B6647E">
        <w:rPr>
          <w:rFonts w:ascii="Arial" w:hAnsi="Arial" w:cs="Arial"/>
        </w:rPr>
        <w:t xml:space="preserve"> Superficie totale cultivée </w:t>
      </w:r>
      <w:r w:rsidR="000A6A82" w:rsidRPr="00B6647E">
        <w:rPr>
          <w:rFonts w:ascii="Arial" w:hAnsi="Arial" w:cs="Arial"/>
        </w:rPr>
        <w:t>du tournesol</w:t>
      </w:r>
      <w:r w:rsidRPr="00B6647E">
        <w:rPr>
          <w:rFonts w:ascii="Arial" w:hAnsi="Arial" w:cs="Arial"/>
        </w:rPr>
        <w:t xml:space="preserve"> par </w:t>
      </w:r>
      <w:r w:rsidR="000A6A82" w:rsidRPr="00B6647E">
        <w:rPr>
          <w:rFonts w:ascii="Arial" w:hAnsi="Arial" w:cs="Arial"/>
        </w:rPr>
        <w:t>région</w:t>
      </w:r>
      <w:r w:rsidRPr="00B6647E">
        <w:rPr>
          <w:rFonts w:ascii="Arial" w:hAnsi="Arial" w:cs="Arial"/>
        </w:rPr>
        <w:t xml:space="preserve"> pendant les trois saisons</w:t>
      </w:r>
    </w:p>
    <w:p w:rsidR="00CC0424" w:rsidRPr="00B6647E" w:rsidRDefault="00A6627C" w:rsidP="00212F37">
      <w:pPr>
        <w:spacing w:line="240" w:lineRule="auto"/>
        <w:rPr>
          <w:rFonts w:cs="Arial"/>
          <w:szCs w:val="20"/>
        </w:rPr>
      </w:pPr>
      <w:r w:rsidRPr="00B6647E">
        <w:rPr>
          <w:noProof/>
          <w:szCs w:val="20"/>
          <w:lang w:val="fr-FR" w:eastAsia="fr-FR"/>
        </w:rPr>
        <w:drawing>
          <wp:inline distT="0" distB="0" distL="0" distR="0">
            <wp:extent cx="4067175" cy="2914650"/>
            <wp:effectExtent l="19050" t="0" r="9525" b="0"/>
            <wp:docPr id="515"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51" cstate="print"/>
                    <a:srcRect/>
                    <a:stretch>
                      <a:fillRect/>
                    </a:stretch>
                  </pic:blipFill>
                  <pic:spPr bwMode="auto">
                    <a:xfrm>
                      <a:off x="0" y="0"/>
                      <a:ext cx="4067175" cy="2914650"/>
                    </a:xfrm>
                    <a:prstGeom prst="rect">
                      <a:avLst/>
                    </a:prstGeom>
                    <a:noFill/>
                    <a:ln w="9525">
                      <a:noFill/>
                      <a:miter lim="800000"/>
                      <a:headEnd/>
                      <a:tailEnd/>
                    </a:ln>
                  </pic:spPr>
                </pic:pic>
              </a:graphicData>
            </a:graphic>
          </wp:inline>
        </w:drawing>
      </w:r>
    </w:p>
    <w:p w:rsidR="00506E14" w:rsidRPr="00B6647E" w:rsidRDefault="00506E14" w:rsidP="00B71798">
      <w:pPr>
        <w:pStyle w:val="Paragraphedeliste"/>
        <w:spacing w:before="200" w:after="120" w:line="240" w:lineRule="auto"/>
        <w:ind w:left="0"/>
        <w:contextualSpacing w:val="0"/>
        <w:rPr>
          <w:rFonts w:ascii="Arial" w:hAnsi="Arial" w:cs="Arial"/>
          <w:b/>
          <w:sz w:val="20"/>
          <w:szCs w:val="20"/>
        </w:rPr>
      </w:pPr>
      <w:r w:rsidRPr="00B6647E">
        <w:rPr>
          <w:rFonts w:ascii="Arial" w:hAnsi="Arial" w:cs="Arial"/>
          <w:b/>
          <w:sz w:val="20"/>
          <w:szCs w:val="20"/>
        </w:rPr>
        <w:t>b) Superficie totale d’oléagineux en culture pure et principale par province et par saison</w:t>
      </w:r>
    </w:p>
    <w:p w:rsidR="00FE5CCC" w:rsidRPr="00B6647E" w:rsidRDefault="00FE5CCC" w:rsidP="00212F37">
      <w:pPr>
        <w:spacing w:line="240" w:lineRule="auto"/>
        <w:jc w:val="both"/>
        <w:rPr>
          <w:rFonts w:ascii="Arial" w:hAnsi="Arial" w:cs="Arial"/>
          <w:sz w:val="20"/>
          <w:szCs w:val="20"/>
        </w:rPr>
      </w:pPr>
      <w:r w:rsidRPr="00B6647E">
        <w:rPr>
          <w:rFonts w:ascii="Arial" w:hAnsi="Arial" w:cs="Arial"/>
          <w:sz w:val="20"/>
          <w:szCs w:val="20"/>
        </w:rPr>
        <w:t xml:space="preserve">Les provinces ayant cultivé les plus grandes superficies d’oléagineux en culture pure et principale sont : Kirundo (5.669 ha, imputable </w:t>
      </w:r>
      <w:r w:rsidR="00B71798" w:rsidRPr="00B6647E">
        <w:rPr>
          <w:rFonts w:ascii="Arial" w:hAnsi="Arial" w:cs="Arial"/>
          <w:sz w:val="20"/>
          <w:szCs w:val="20"/>
        </w:rPr>
        <w:t>principalement</w:t>
      </w:r>
      <w:r w:rsidRPr="00B6647E">
        <w:rPr>
          <w:rFonts w:ascii="Arial" w:hAnsi="Arial" w:cs="Arial"/>
          <w:sz w:val="20"/>
          <w:szCs w:val="20"/>
        </w:rPr>
        <w:t xml:space="preserve"> à la saison C), Ruyigi (4.933 ha), Cankuzo (3.441 ha), Gitega (3.362 ha), Karuzi (2.207 ha).</w:t>
      </w:r>
    </w:p>
    <w:p w:rsidR="00A62BC2" w:rsidRPr="00B6647E" w:rsidRDefault="00A62BC2" w:rsidP="00212F37">
      <w:pPr>
        <w:pStyle w:val="Lgende"/>
        <w:keepNext/>
        <w:jc w:val="both"/>
        <w:rPr>
          <w:rFonts w:ascii="Arial" w:hAnsi="Arial" w:cs="Arial"/>
        </w:rPr>
      </w:pPr>
      <w:r w:rsidRPr="00B6647E">
        <w:rPr>
          <w:rFonts w:ascii="Arial" w:hAnsi="Arial" w:cs="Arial"/>
        </w:rPr>
        <w:t xml:space="preserve">Tableau </w:t>
      </w:r>
      <w:r w:rsidR="006B398C">
        <w:rPr>
          <w:rFonts w:ascii="Arial" w:hAnsi="Arial" w:cs="Arial"/>
        </w:rPr>
        <w:t>20</w:t>
      </w:r>
      <w:r w:rsidR="00FD326F" w:rsidRPr="00B6647E">
        <w:rPr>
          <w:rFonts w:ascii="Arial" w:hAnsi="Arial" w:cs="Arial"/>
        </w:rPr>
        <w:t>0 :</w:t>
      </w:r>
      <w:r w:rsidRPr="00B6647E">
        <w:rPr>
          <w:rFonts w:ascii="Arial" w:hAnsi="Arial" w:cs="Arial"/>
        </w:rPr>
        <w:t xml:space="preserve"> Superficie totale cultivée des oléagineux par province pendant les trois saisons</w:t>
      </w:r>
    </w:p>
    <w:p w:rsidR="00A62BC2" w:rsidRPr="00B6647E" w:rsidRDefault="008D68D1" w:rsidP="00212F37">
      <w:pPr>
        <w:spacing w:line="240" w:lineRule="auto"/>
        <w:rPr>
          <w:rFonts w:cs="Arial"/>
          <w:szCs w:val="20"/>
        </w:rPr>
      </w:pPr>
      <w:r w:rsidRPr="00B6647E">
        <w:rPr>
          <w:noProof/>
          <w:szCs w:val="20"/>
          <w:lang w:val="fr-FR" w:eastAsia="fr-FR"/>
        </w:rPr>
        <w:drawing>
          <wp:inline distT="0" distB="0" distL="0" distR="0">
            <wp:extent cx="4105275" cy="3867150"/>
            <wp:effectExtent l="19050" t="0" r="9525" b="0"/>
            <wp:docPr id="516"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52" cstate="print"/>
                    <a:srcRect/>
                    <a:stretch>
                      <a:fillRect/>
                    </a:stretch>
                  </pic:blipFill>
                  <pic:spPr bwMode="auto">
                    <a:xfrm>
                      <a:off x="0" y="0"/>
                      <a:ext cx="4105275" cy="3867150"/>
                    </a:xfrm>
                    <a:prstGeom prst="rect">
                      <a:avLst/>
                    </a:prstGeom>
                    <a:noFill/>
                    <a:ln w="9525">
                      <a:noFill/>
                      <a:miter lim="800000"/>
                      <a:headEnd/>
                      <a:tailEnd/>
                    </a:ln>
                  </pic:spPr>
                </pic:pic>
              </a:graphicData>
            </a:graphic>
          </wp:inline>
        </w:drawing>
      </w:r>
    </w:p>
    <w:p w:rsidR="0053275E" w:rsidRPr="00B6647E" w:rsidRDefault="0053275E" w:rsidP="0053275E">
      <w:pPr>
        <w:spacing w:line="240" w:lineRule="auto"/>
        <w:jc w:val="both"/>
        <w:rPr>
          <w:rFonts w:ascii="Arial" w:hAnsi="Arial" w:cs="Arial"/>
          <w:sz w:val="20"/>
          <w:szCs w:val="20"/>
        </w:rPr>
      </w:pPr>
      <w:r w:rsidRPr="00B6647E">
        <w:rPr>
          <w:rFonts w:ascii="Arial" w:hAnsi="Arial" w:cs="Arial"/>
          <w:sz w:val="20"/>
          <w:szCs w:val="20"/>
        </w:rPr>
        <w:t>Les superficies d’oléagineux sont en grande partie composées  d’arachide. On observe en effet que les plus grandes superficies d’oléagineux sont observées dans les provinces (Kirundo, Ruyigi, Cankuzo, Gitega, Karuzi, Makamba, Muyinga)</w:t>
      </w:r>
      <w:r w:rsidR="00870D25">
        <w:rPr>
          <w:rFonts w:ascii="Arial" w:hAnsi="Arial" w:cs="Arial"/>
          <w:sz w:val="20"/>
          <w:szCs w:val="20"/>
        </w:rPr>
        <w:t xml:space="preserve"> </w:t>
      </w:r>
      <w:r w:rsidRPr="00B6647E">
        <w:rPr>
          <w:rFonts w:ascii="Arial" w:hAnsi="Arial" w:cs="Arial"/>
          <w:sz w:val="20"/>
          <w:szCs w:val="20"/>
        </w:rPr>
        <w:t>avec les superficies d’arachide les plus élevées.</w:t>
      </w:r>
    </w:p>
    <w:p w:rsidR="0053275E" w:rsidRPr="00B6647E" w:rsidRDefault="0053275E" w:rsidP="00212F37">
      <w:pPr>
        <w:spacing w:line="240" w:lineRule="auto"/>
        <w:rPr>
          <w:rFonts w:cs="Arial"/>
          <w:szCs w:val="20"/>
        </w:rPr>
      </w:pPr>
    </w:p>
    <w:p w:rsidR="004D17DA" w:rsidRPr="00B6647E" w:rsidRDefault="004D17DA" w:rsidP="00212F37">
      <w:pPr>
        <w:pStyle w:val="Lgende"/>
        <w:keepNext/>
        <w:jc w:val="both"/>
        <w:rPr>
          <w:rFonts w:ascii="Arial" w:hAnsi="Arial" w:cs="Arial"/>
        </w:rPr>
      </w:pPr>
      <w:r w:rsidRPr="00B6647E">
        <w:rPr>
          <w:rFonts w:ascii="Arial" w:hAnsi="Arial" w:cs="Arial"/>
        </w:rPr>
        <w:lastRenderedPageBreak/>
        <w:t xml:space="preserve">Tableau </w:t>
      </w:r>
      <w:r w:rsidR="006B398C">
        <w:rPr>
          <w:rFonts w:ascii="Arial" w:hAnsi="Arial" w:cs="Arial"/>
        </w:rPr>
        <w:t>201</w:t>
      </w:r>
      <w:r w:rsidR="00FD326F" w:rsidRPr="00B6647E">
        <w:rPr>
          <w:rFonts w:ascii="Arial" w:hAnsi="Arial" w:cs="Arial"/>
        </w:rPr>
        <w:t> :</w:t>
      </w:r>
      <w:r w:rsidRPr="00B6647E">
        <w:rPr>
          <w:rFonts w:ascii="Arial" w:hAnsi="Arial" w:cs="Arial"/>
        </w:rPr>
        <w:t xml:space="preserve"> Superficie totale cultivée d’arachide par province pendant les trois saisons</w:t>
      </w:r>
    </w:p>
    <w:p w:rsidR="004D17DA" w:rsidRPr="00B6647E" w:rsidRDefault="008D68D1" w:rsidP="00212F37">
      <w:pPr>
        <w:spacing w:line="240" w:lineRule="auto"/>
        <w:rPr>
          <w:rFonts w:cs="Arial"/>
          <w:szCs w:val="20"/>
        </w:rPr>
      </w:pPr>
      <w:r w:rsidRPr="00B6647E">
        <w:rPr>
          <w:noProof/>
          <w:szCs w:val="20"/>
          <w:lang w:val="fr-FR" w:eastAsia="fr-FR"/>
        </w:rPr>
        <w:drawing>
          <wp:inline distT="0" distB="0" distL="0" distR="0">
            <wp:extent cx="4105275" cy="3886200"/>
            <wp:effectExtent l="19050" t="0" r="9525" b="0"/>
            <wp:docPr id="517"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53" cstate="print"/>
                    <a:srcRect/>
                    <a:stretch>
                      <a:fillRect/>
                    </a:stretch>
                  </pic:blipFill>
                  <pic:spPr bwMode="auto">
                    <a:xfrm>
                      <a:off x="0" y="0"/>
                      <a:ext cx="4105275" cy="3886200"/>
                    </a:xfrm>
                    <a:prstGeom prst="rect">
                      <a:avLst/>
                    </a:prstGeom>
                    <a:noFill/>
                    <a:ln w="9525">
                      <a:noFill/>
                      <a:miter lim="800000"/>
                      <a:headEnd/>
                      <a:tailEnd/>
                    </a:ln>
                  </pic:spPr>
                </pic:pic>
              </a:graphicData>
            </a:graphic>
          </wp:inline>
        </w:drawing>
      </w:r>
    </w:p>
    <w:p w:rsidR="0053275E" w:rsidRPr="00B6647E" w:rsidRDefault="0053275E" w:rsidP="0053275E">
      <w:pPr>
        <w:spacing w:line="240" w:lineRule="auto"/>
        <w:jc w:val="both"/>
        <w:rPr>
          <w:rFonts w:ascii="Arial" w:hAnsi="Arial" w:cs="Arial"/>
          <w:sz w:val="20"/>
          <w:szCs w:val="20"/>
        </w:rPr>
      </w:pPr>
      <w:r w:rsidRPr="00B6647E">
        <w:rPr>
          <w:rFonts w:ascii="Arial" w:hAnsi="Arial" w:cs="Arial"/>
          <w:sz w:val="20"/>
          <w:szCs w:val="20"/>
        </w:rPr>
        <w:t>Le soja en en culture pure et principale qui représente 10% de la superficie totale d’oléagineux a été pratiqué principalement dans les provinces de Karuzi (681 ha), Ngozi (385 ha), Kirundo (380 ha), Gitega (276 ha), Muyinga (266 ha), Ruyigi (234 ha).</w:t>
      </w:r>
    </w:p>
    <w:p w:rsidR="004D17DA" w:rsidRPr="00B6647E" w:rsidRDefault="004D17DA" w:rsidP="00212F37">
      <w:pPr>
        <w:pStyle w:val="Lgende"/>
        <w:keepNext/>
        <w:jc w:val="both"/>
        <w:rPr>
          <w:rFonts w:ascii="Arial" w:hAnsi="Arial" w:cs="Arial"/>
        </w:rPr>
      </w:pPr>
      <w:r w:rsidRPr="00B6647E">
        <w:rPr>
          <w:rFonts w:ascii="Arial" w:hAnsi="Arial" w:cs="Arial"/>
        </w:rPr>
        <w:t xml:space="preserve">Tableau </w:t>
      </w:r>
      <w:r w:rsidR="006B398C">
        <w:rPr>
          <w:rFonts w:ascii="Arial" w:hAnsi="Arial" w:cs="Arial"/>
        </w:rPr>
        <w:t>202</w:t>
      </w:r>
      <w:r w:rsidR="00FD326F" w:rsidRPr="00B6647E">
        <w:rPr>
          <w:rFonts w:ascii="Arial" w:hAnsi="Arial" w:cs="Arial"/>
        </w:rPr>
        <w:t> :</w:t>
      </w:r>
      <w:r w:rsidRPr="00B6647E">
        <w:rPr>
          <w:rFonts w:ascii="Arial" w:hAnsi="Arial" w:cs="Arial"/>
        </w:rPr>
        <w:t xml:space="preserve"> Superficie totale cultivée de soja par province pendant les trois saisons</w:t>
      </w:r>
    </w:p>
    <w:p w:rsidR="004D17DA" w:rsidRPr="00B6647E" w:rsidRDefault="008D68D1" w:rsidP="00212F37">
      <w:pPr>
        <w:spacing w:line="240" w:lineRule="auto"/>
        <w:rPr>
          <w:rFonts w:cs="Arial"/>
          <w:szCs w:val="20"/>
        </w:rPr>
      </w:pPr>
      <w:r w:rsidRPr="00B6647E">
        <w:rPr>
          <w:noProof/>
          <w:szCs w:val="20"/>
          <w:lang w:val="fr-FR" w:eastAsia="fr-FR"/>
        </w:rPr>
        <w:drawing>
          <wp:inline distT="0" distB="0" distL="0" distR="0">
            <wp:extent cx="4105275" cy="3867150"/>
            <wp:effectExtent l="19050" t="0" r="9525" b="0"/>
            <wp:docPr id="518"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54" cstate="print"/>
                    <a:srcRect/>
                    <a:stretch>
                      <a:fillRect/>
                    </a:stretch>
                  </pic:blipFill>
                  <pic:spPr bwMode="auto">
                    <a:xfrm>
                      <a:off x="0" y="0"/>
                      <a:ext cx="4105275" cy="3867150"/>
                    </a:xfrm>
                    <a:prstGeom prst="rect">
                      <a:avLst/>
                    </a:prstGeom>
                    <a:noFill/>
                    <a:ln w="9525">
                      <a:noFill/>
                      <a:miter lim="800000"/>
                      <a:headEnd/>
                      <a:tailEnd/>
                    </a:ln>
                  </pic:spPr>
                </pic:pic>
              </a:graphicData>
            </a:graphic>
          </wp:inline>
        </w:drawing>
      </w:r>
    </w:p>
    <w:p w:rsidR="00EA22CB" w:rsidRPr="00B6647E" w:rsidRDefault="00EA22CB" w:rsidP="00212F37">
      <w:pPr>
        <w:spacing w:line="240" w:lineRule="auto"/>
        <w:jc w:val="both"/>
        <w:rPr>
          <w:rFonts w:ascii="Arial" w:hAnsi="Arial" w:cs="Arial"/>
          <w:sz w:val="20"/>
          <w:szCs w:val="20"/>
          <w:lang w:eastAsia="fr-FR"/>
        </w:rPr>
      </w:pPr>
      <w:r w:rsidRPr="00B6647E">
        <w:rPr>
          <w:rFonts w:ascii="Arial" w:hAnsi="Arial" w:cs="Arial"/>
          <w:sz w:val="20"/>
          <w:szCs w:val="20"/>
          <w:lang w:eastAsia="fr-FR"/>
        </w:rPr>
        <w:lastRenderedPageBreak/>
        <w:t>Le tournesol en culture pure et principale a occupé 4.060 ha, soit 14,2% de la superficie totale d’oléagineux estimée pour l’essentiel en saison C (3.661 ha) et dans la province de Kirundo (3.962 ha).</w:t>
      </w:r>
    </w:p>
    <w:p w:rsidR="004D17DA" w:rsidRPr="00B6647E" w:rsidRDefault="004D17DA" w:rsidP="00212F37">
      <w:pPr>
        <w:pStyle w:val="Lgende"/>
        <w:keepNext/>
        <w:jc w:val="both"/>
        <w:rPr>
          <w:rFonts w:ascii="Arial" w:hAnsi="Arial" w:cs="Arial"/>
        </w:rPr>
      </w:pPr>
      <w:r w:rsidRPr="00B6647E">
        <w:rPr>
          <w:rFonts w:ascii="Arial" w:hAnsi="Arial" w:cs="Arial"/>
        </w:rPr>
        <w:t xml:space="preserve">Tableau </w:t>
      </w:r>
      <w:r w:rsidR="006B398C">
        <w:rPr>
          <w:rFonts w:ascii="Arial" w:hAnsi="Arial" w:cs="Arial"/>
        </w:rPr>
        <w:t>203</w:t>
      </w:r>
      <w:r w:rsidR="00FD326F" w:rsidRPr="00B6647E">
        <w:rPr>
          <w:rFonts w:ascii="Arial" w:hAnsi="Arial" w:cs="Arial"/>
        </w:rPr>
        <w:t> :</w:t>
      </w:r>
      <w:r w:rsidRPr="00B6647E">
        <w:rPr>
          <w:rFonts w:ascii="Arial" w:hAnsi="Arial" w:cs="Arial"/>
        </w:rPr>
        <w:t xml:space="preserve"> Superficie totale cultivée de tournesol par province pendant les trois saisons</w:t>
      </w:r>
    </w:p>
    <w:p w:rsidR="004D17DA" w:rsidRPr="00B6647E" w:rsidRDefault="008D68D1" w:rsidP="00212F37">
      <w:pPr>
        <w:spacing w:line="240" w:lineRule="auto"/>
        <w:rPr>
          <w:rFonts w:cs="Arial"/>
          <w:szCs w:val="20"/>
        </w:rPr>
      </w:pPr>
      <w:r w:rsidRPr="00B6647E">
        <w:rPr>
          <w:noProof/>
          <w:szCs w:val="20"/>
          <w:lang w:val="fr-FR" w:eastAsia="fr-FR"/>
        </w:rPr>
        <w:drawing>
          <wp:inline distT="0" distB="0" distL="0" distR="0">
            <wp:extent cx="4105275" cy="3867150"/>
            <wp:effectExtent l="19050" t="0" r="9525" b="0"/>
            <wp:docPr id="519"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55" cstate="print"/>
                    <a:srcRect/>
                    <a:stretch>
                      <a:fillRect/>
                    </a:stretch>
                  </pic:blipFill>
                  <pic:spPr bwMode="auto">
                    <a:xfrm>
                      <a:off x="0" y="0"/>
                      <a:ext cx="4105275" cy="3867150"/>
                    </a:xfrm>
                    <a:prstGeom prst="rect">
                      <a:avLst/>
                    </a:prstGeom>
                    <a:noFill/>
                    <a:ln w="9525">
                      <a:noFill/>
                      <a:miter lim="800000"/>
                      <a:headEnd/>
                      <a:tailEnd/>
                    </a:ln>
                  </pic:spPr>
                </pic:pic>
              </a:graphicData>
            </a:graphic>
          </wp:inline>
        </w:drawing>
      </w:r>
    </w:p>
    <w:p w:rsidR="00A45ACD" w:rsidRPr="00B6647E" w:rsidRDefault="00613D0F" w:rsidP="00212F37">
      <w:pPr>
        <w:spacing w:line="240" w:lineRule="auto"/>
        <w:rPr>
          <w:rFonts w:ascii="Arial" w:hAnsi="Arial" w:cs="Arial"/>
          <w:b/>
          <w:sz w:val="20"/>
          <w:szCs w:val="20"/>
        </w:rPr>
      </w:pPr>
      <w:r w:rsidRPr="00B6647E">
        <w:rPr>
          <w:rFonts w:ascii="Arial" w:hAnsi="Arial" w:cs="Arial"/>
          <w:b/>
          <w:sz w:val="20"/>
          <w:szCs w:val="20"/>
        </w:rPr>
        <w:t>Carte 15</w:t>
      </w:r>
      <w:r w:rsidR="004A3F47" w:rsidRPr="00B6647E">
        <w:rPr>
          <w:rFonts w:ascii="Arial" w:hAnsi="Arial" w:cs="Arial"/>
          <w:b/>
          <w:sz w:val="20"/>
          <w:szCs w:val="20"/>
        </w:rPr>
        <w:t> : Superficie totale d’oléagineux en culture pure et principale par province</w:t>
      </w:r>
    </w:p>
    <w:p w:rsidR="004A3F47" w:rsidRPr="00B6647E" w:rsidRDefault="003F0A39" w:rsidP="00212F37">
      <w:pPr>
        <w:spacing w:line="240" w:lineRule="auto"/>
        <w:rPr>
          <w:rFonts w:cs="Arial"/>
          <w:szCs w:val="20"/>
        </w:rPr>
      </w:pPr>
      <w:r w:rsidRPr="00B6647E">
        <w:rPr>
          <w:rFonts w:cs="Arial"/>
          <w:noProof/>
          <w:szCs w:val="20"/>
          <w:lang w:val="fr-FR" w:eastAsia="fr-FR"/>
        </w:rPr>
        <w:drawing>
          <wp:inline distT="0" distB="0" distL="0" distR="0">
            <wp:extent cx="5520513" cy="3881771"/>
            <wp:effectExtent l="19050" t="0" r="3987" b="0"/>
            <wp:docPr id="366"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6" cstate="print"/>
                    <a:srcRect l="5152" t="5399" r="5274" b="5634"/>
                    <a:stretch>
                      <a:fillRect/>
                    </a:stretch>
                  </pic:blipFill>
                  <pic:spPr bwMode="auto">
                    <a:xfrm>
                      <a:off x="0" y="0"/>
                      <a:ext cx="5516077" cy="3878651"/>
                    </a:xfrm>
                    <a:prstGeom prst="rect">
                      <a:avLst/>
                    </a:prstGeom>
                    <a:noFill/>
                    <a:ln w="9525">
                      <a:noFill/>
                      <a:miter lim="800000"/>
                      <a:headEnd/>
                      <a:tailEnd/>
                    </a:ln>
                  </pic:spPr>
                </pic:pic>
              </a:graphicData>
            </a:graphic>
          </wp:inline>
        </w:drawing>
      </w:r>
    </w:p>
    <w:p w:rsidR="000552AE" w:rsidRPr="00B6647E" w:rsidRDefault="000552AE" w:rsidP="00B71798">
      <w:pPr>
        <w:pStyle w:val="Titre3"/>
        <w:keepNext w:val="0"/>
        <w:numPr>
          <w:ilvl w:val="2"/>
          <w:numId w:val="1"/>
        </w:numPr>
        <w:spacing w:before="200" w:after="120"/>
        <w:ind w:left="0" w:firstLine="0"/>
        <w:rPr>
          <w:rFonts w:cs="Arial"/>
          <w:szCs w:val="20"/>
        </w:rPr>
      </w:pPr>
      <w:bookmarkStart w:id="246" w:name="_Toc354313893"/>
      <w:r w:rsidRPr="00B6647E">
        <w:rPr>
          <w:rFonts w:cs="Arial"/>
          <w:szCs w:val="20"/>
        </w:rPr>
        <w:lastRenderedPageBreak/>
        <w:t>Rendements</w:t>
      </w:r>
      <w:bookmarkEnd w:id="246"/>
    </w:p>
    <w:p w:rsidR="00E62FD5" w:rsidRPr="00B6647E" w:rsidRDefault="00E62FD5" w:rsidP="00B71798">
      <w:pPr>
        <w:spacing w:before="200" w:after="120" w:line="240" w:lineRule="auto"/>
        <w:rPr>
          <w:rFonts w:ascii="Arial" w:hAnsi="Arial" w:cs="Arial"/>
          <w:b/>
          <w:sz w:val="20"/>
          <w:szCs w:val="20"/>
          <w:lang w:val="fr-FR" w:eastAsia="fr-FR"/>
        </w:rPr>
      </w:pPr>
      <w:r w:rsidRPr="00B6647E">
        <w:rPr>
          <w:rFonts w:ascii="Arial" w:hAnsi="Arial" w:cs="Arial"/>
          <w:b/>
          <w:sz w:val="20"/>
          <w:szCs w:val="20"/>
          <w:lang w:val="fr-FR" w:eastAsia="fr-FR"/>
        </w:rPr>
        <w:t>a) Rendements en cultures pure d’oléagineux et racines par région et par saison</w:t>
      </w:r>
    </w:p>
    <w:p w:rsidR="00E62FD5" w:rsidRPr="00B6647E" w:rsidRDefault="000031AF" w:rsidP="00EB46EF">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t>Au niveau national, l</w:t>
      </w:r>
      <w:r w:rsidR="00E62FD5" w:rsidRPr="00B6647E">
        <w:rPr>
          <w:rFonts w:ascii="Arial" w:hAnsi="Arial" w:cs="Arial"/>
          <w:sz w:val="20"/>
          <w:szCs w:val="20"/>
          <w:lang w:val="fr-FR" w:eastAsia="fr-FR"/>
        </w:rPr>
        <w:t xml:space="preserve">es rendements moyens en pur d’arachide </w:t>
      </w:r>
      <w:r w:rsidRPr="00B6647E">
        <w:rPr>
          <w:rFonts w:ascii="Arial" w:hAnsi="Arial" w:cs="Arial"/>
          <w:sz w:val="20"/>
          <w:szCs w:val="20"/>
          <w:lang w:val="fr-FR" w:eastAsia="fr-FR"/>
        </w:rPr>
        <w:t>ont été estimés à 508 kg/ha en saison A, 505 kg/ha pendant la saison B et au cours de la saison C à 526 kg/ha dans la seule région naturelle de Buyogoma. On note que les régions de Bututsi et Mugamba n’ont pas produit de l’arachide en culture pure pendant les trois saisons.</w:t>
      </w:r>
    </w:p>
    <w:p w:rsidR="00C9780D" w:rsidRPr="00B6647E" w:rsidRDefault="00C9780D" w:rsidP="00EB46EF">
      <w:pPr>
        <w:pStyle w:val="Lgende"/>
        <w:keepNext/>
        <w:jc w:val="both"/>
        <w:rPr>
          <w:rFonts w:ascii="Arial" w:hAnsi="Arial" w:cs="Arial"/>
        </w:rPr>
      </w:pPr>
      <w:r w:rsidRPr="00B6647E">
        <w:rPr>
          <w:rFonts w:ascii="Arial" w:hAnsi="Arial" w:cs="Arial"/>
        </w:rPr>
        <w:t xml:space="preserve">Tableau </w:t>
      </w:r>
      <w:r w:rsidR="006B398C">
        <w:rPr>
          <w:rFonts w:ascii="Arial" w:hAnsi="Arial" w:cs="Arial"/>
        </w:rPr>
        <w:t>204</w:t>
      </w:r>
      <w:r w:rsidR="00FD326F" w:rsidRPr="00B6647E">
        <w:rPr>
          <w:rFonts w:ascii="Arial" w:hAnsi="Arial" w:cs="Arial"/>
        </w:rPr>
        <w:t> :</w:t>
      </w:r>
      <w:r w:rsidRPr="00B6647E">
        <w:rPr>
          <w:rFonts w:ascii="Arial" w:hAnsi="Arial" w:cs="Arial"/>
        </w:rPr>
        <w:t xml:space="preserve"> Rendement de l’arachide en culture pure par région pendant les trois saisons</w:t>
      </w:r>
    </w:p>
    <w:p w:rsidR="00C9780D" w:rsidRPr="00B6647E" w:rsidRDefault="00481A2E" w:rsidP="00EB46EF">
      <w:pPr>
        <w:spacing w:line="240" w:lineRule="auto"/>
        <w:rPr>
          <w:lang w:eastAsia="fr-FR"/>
        </w:rPr>
      </w:pPr>
      <w:r w:rsidRPr="00B6647E">
        <w:rPr>
          <w:noProof/>
          <w:lang w:val="fr-FR" w:eastAsia="fr-FR"/>
        </w:rPr>
        <w:drawing>
          <wp:inline distT="0" distB="0" distL="0" distR="0">
            <wp:extent cx="3305175" cy="2914650"/>
            <wp:effectExtent l="19050" t="0" r="9525" b="0"/>
            <wp:docPr id="520"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57" cstate="print"/>
                    <a:srcRect/>
                    <a:stretch>
                      <a:fillRect/>
                    </a:stretch>
                  </pic:blipFill>
                  <pic:spPr bwMode="auto">
                    <a:xfrm>
                      <a:off x="0" y="0"/>
                      <a:ext cx="3305175" cy="2914650"/>
                    </a:xfrm>
                    <a:prstGeom prst="rect">
                      <a:avLst/>
                    </a:prstGeom>
                    <a:noFill/>
                    <a:ln w="9525">
                      <a:noFill/>
                      <a:miter lim="800000"/>
                      <a:headEnd/>
                      <a:tailEnd/>
                    </a:ln>
                  </pic:spPr>
                </pic:pic>
              </a:graphicData>
            </a:graphic>
          </wp:inline>
        </w:drawing>
      </w:r>
    </w:p>
    <w:p w:rsidR="00C9780D" w:rsidRPr="00B6647E" w:rsidRDefault="000031AF" w:rsidP="00EB46EF">
      <w:pPr>
        <w:spacing w:line="240" w:lineRule="auto"/>
        <w:jc w:val="both"/>
        <w:rPr>
          <w:rFonts w:ascii="Arial" w:hAnsi="Arial" w:cs="Arial"/>
          <w:sz w:val="20"/>
          <w:szCs w:val="20"/>
          <w:lang w:eastAsia="fr-FR"/>
        </w:rPr>
      </w:pPr>
      <w:r w:rsidRPr="00B6647E">
        <w:rPr>
          <w:rFonts w:ascii="Arial" w:hAnsi="Arial" w:cs="Arial"/>
          <w:sz w:val="20"/>
          <w:szCs w:val="20"/>
          <w:lang w:eastAsia="fr-FR"/>
        </w:rPr>
        <w:t xml:space="preserve">Les moyennes nationales des rendements de soja en pur ont été estimées à 7SS kg/ha pendant la saison A, 645 kg/ha en saison B et </w:t>
      </w:r>
      <w:r w:rsidRPr="00B6647E">
        <w:rPr>
          <w:rFonts w:ascii="Arial" w:hAnsi="Arial" w:cs="Arial"/>
          <w:sz w:val="20"/>
          <w:szCs w:val="20"/>
          <w:lang w:val="fr-FR" w:eastAsia="fr-FR"/>
        </w:rPr>
        <w:t>au cours de la saison C à 1.000 kg/ha dans la seule région naturelle de Buyogoma. Buragane, Bututsi et Mugamba n’ont pas enregistré de soja en culture pure dans toutes les trois saisons.</w:t>
      </w:r>
    </w:p>
    <w:p w:rsidR="00C9780D" w:rsidRPr="00B6647E" w:rsidRDefault="00FD326F" w:rsidP="00EB46EF">
      <w:pPr>
        <w:pStyle w:val="Lgende"/>
        <w:keepNext/>
        <w:jc w:val="both"/>
        <w:rPr>
          <w:rFonts w:ascii="Arial" w:hAnsi="Arial" w:cs="Arial"/>
        </w:rPr>
      </w:pPr>
      <w:r w:rsidRPr="00B6647E">
        <w:rPr>
          <w:rFonts w:ascii="Arial" w:hAnsi="Arial" w:cs="Arial"/>
        </w:rPr>
        <w:t xml:space="preserve">Tableau </w:t>
      </w:r>
      <w:r w:rsidR="006B398C">
        <w:rPr>
          <w:rFonts w:ascii="Arial" w:hAnsi="Arial" w:cs="Arial"/>
        </w:rPr>
        <w:t>205</w:t>
      </w:r>
      <w:r w:rsidRPr="00B6647E">
        <w:rPr>
          <w:rFonts w:ascii="Arial" w:hAnsi="Arial" w:cs="Arial"/>
        </w:rPr>
        <w:t> :</w:t>
      </w:r>
      <w:r w:rsidR="00C9780D" w:rsidRPr="00B6647E">
        <w:rPr>
          <w:rFonts w:ascii="Arial" w:hAnsi="Arial" w:cs="Arial"/>
        </w:rPr>
        <w:t xml:space="preserve"> Rendement du soja en culture pure par région pendant les trois saisons</w:t>
      </w:r>
    </w:p>
    <w:p w:rsidR="00C9780D" w:rsidRPr="00B6647E" w:rsidRDefault="00481A2E" w:rsidP="00EB46EF">
      <w:pPr>
        <w:spacing w:line="240" w:lineRule="auto"/>
        <w:jc w:val="both"/>
        <w:rPr>
          <w:rFonts w:ascii="Arial" w:hAnsi="Arial" w:cs="Arial"/>
          <w:sz w:val="20"/>
          <w:szCs w:val="20"/>
          <w:lang w:eastAsia="fr-FR"/>
        </w:rPr>
      </w:pPr>
      <w:r w:rsidRPr="00B6647E">
        <w:rPr>
          <w:noProof/>
          <w:szCs w:val="20"/>
          <w:lang w:val="fr-FR" w:eastAsia="fr-FR"/>
        </w:rPr>
        <w:drawing>
          <wp:inline distT="0" distB="0" distL="0" distR="0">
            <wp:extent cx="3305175" cy="2914650"/>
            <wp:effectExtent l="19050" t="0" r="9525" b="0"/>
            <wp:docPr id="521"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58" cstate="print"/>
                    <a:srcRect/>
                    <a:stretch>
                      <a:fillRect/>
                    </a:stretch>
                  </pic:blipFill>
                  <pic:spPr bwMode="auto">
                    <a:xfrm>
                      <a:off x="0" y="0"/>
                      <a:ext cx="3305175" cy="2914650"/>
                    </a:xfrm>
                    <a:prstGeom prst="rect">
                      <a:avLst/>
                    </a:prstGeom>
                    <a:noFill/>
                    <a:ln w="9525">
                      <a:noFill/>
                      <a:miter lim="800000"/>
                      <a:headEnd/>
                      <a:tailEnd/>
                    </a:ln>
                  </pic:spPr>
                </pic:pic>
              </a:graphicData>
            </a:graphic>
          </wp:inline>
        </w:drawing>
      </w:r>
    </w:p>
    <w:p w:rsidR="00C9780D" w:rsidRPr="00B6647E" w:rsidRDefault="000031AF" w:rsidP="00EB46EF">
      <w:pPr>
        <w:spacing w:line="240" w:lineRule="auto"/>
        <w:jc w:val="both"/>
        <w:rPr>
          <w:rFonts w:ascii="Arial" w:hAnsi="Arial" w:cs="Arial"/>
          <w:sz w:val="20"/>
          <w:szCs w:val="20"/>
          <w:lang w:eastAsia="fr-FR"/>
        </w:rPr>
      </w:pPr>
      <w:r w:rsidRPr="00B6647E">
        <w:rPr>
          <w:rFonts w:ascii="Arial" w:hAnsi="Arial" w:cs="Arial"/>
          <w:sz w:val="20"/>
          <w:szCs w:val="20"/>
          <w:lang w:eastAsia="fr-FR"/>
        </w:rPr>
        <w:t xml:space="preserve">Le </w:t>
      </w:r>
      <w:r w:rsidR="00EB46EF" w:rsidRPr="00B6647E">
        <w:rPr>
          <w:rFonts w:ascii="Arial" w:hAnsi="Arial" w:cs="Arial"/>
          <w:sz w:val="20"/>
          <w:szCs w:val="20"/>
          <w:lang w:eastAsia="fr-FR"/>
        </w:rPr>
        <w:t>tournesol</w:t>
      </w:r>
      <w:r w:rsidRPr="00B6647E">
        <w:rPr>
          <w:rFonts w:ascii="Arial" w:hAnsi="Arial" w:cs="Arial"/>
          <w:sz w:val="20"/>
          <w:szCs w:val="20"/>
          <w:lang w:eastAsia="fr-FR"/>
        </w:rPr>
        <w:t xml:space="preserve"> en culture pure a enregistré un rendement moyen de 704 kg</w:t>
      </w:r>
      <w:r w:rsidR="00EB46EF" w:rsidRPr="00B6647E">
        <w:rPr>
          <w:rFonts w:ascii="Arial" w:hAnsi="Arial" w:cs="Arial"/>
          <w:sz w:val="20"/>
          <w:szCs w:val="20"/>
          <w:lang w:eastAsia="fr-FR"/>
        </w:rPr>
        <w:t>/ha au cours de la saison A dans les seules régions de Bugesera et Bweru. En</w:t>
      </w:r>
      <w:r w:rsidRPr="00B6647E">
        <w:rPr>
          <w:rFonts w:ascii="Arial" w:hAnsi="Arial" w:cs="Arial"/>
          <w:sz w:val="20"/>
          <w:szCs w:val="20"/>
          <w:lang w:eastAsia="fr-FR"/>
        </w:rPr>
        <w:t xml:space="preserve"> </w:t>
      </w:r>
      <w:r w:rsidR="00EB46EF" w:rsidRPr="00B6647E">
        <w:rPr>
          <w:rFonts w:ascii="Arial" w:hAnsi="Arial" w:cs="Arial"/>
          <w:sz w:val="20"/>
          <w:szCs w:val="20"/>
          <w:lang w:eastAsia="fr-FR"/>
        </w:rPr>
        <w:t>saison B, un rendement très faible (40 kg/ha) a été enregistré dans la seule région de Moso et en saison C dans Bugesera (227 kg/ha).</w:t>
      </w:r>
    </w:p>
    <w:p w:rsidR="00C9780D" w:rsidRPr="00B6647E" w:rsidRDefault="00C9780D" w:rsidP="00EB46EF">
      <w:pPr>
        <w:pStyle w:val="Lgende"/>
        <w:keepNext/>
        <w:jc w:val="both"/>
        <w:rPr>
          <w:rFonts w:ascii="Arial" w:hAnsi="Arial" w:cs="Arial"/>
        </w:rPr>
      </w:pPr>
      <w:r w:rsidRPr="00B6647E">
        <w:rPr>
          <w:rFonts w:ascii="Arial" w:hAnsi="Arial" w:cs="Arial"/>
        </w:rPr>
        <w:lastRenderedPageBreak/>
        <w:t xml:space="preserve">Tableau </w:t>
      </w:r>
      <w:r w:rsidR="006B398C">
        <w:rPr>
          <w:rFonts w:ascii="Arial" w:hAnsi="Arial" w:cs="Arial"/>
        </w:rPr>
        <w:t>206</w:t>
      </w:r>
      <w:r w:rsidR="00FD326F" w:rsidRPr="00B6647E">
        <w:rPr>
          <w:rFonts w:ascii="Arial" w:hAnsi="Arial" w:cs="Arial"/>
        </w:rPr>
        <w:t> :</w:t>
      </w:r>
      <w:r w:rsidRPr="00B6647E">
        <w:rPr>
          <w:rFonts w:ascii="Arial" w:hAnsi="Arial" w:cs="Arial"/>
        </w:rPr>
        <w:t xml:space="preserve"> Rendement du tournesol en culture pure par région pendant les trois saisons</w:t>
      </w:r>
    </w:p>
    <w:p w:rsidR="001D24EF" w:rsidRPr="00B6647E" w:rsidRDefault="00481A2E" w:rsidP="00261329">
      <w:pPr>
        <w:spacing w:line="240" w:lineRule="auto"/>
        <w:rPr>
          <w:lang w:eastAsia="fr-FR"/>
        </w:rPr>
      </w:pPr>
      <w:r w:rsidRPr="00B6647E">
        <w:rPr>
          <w:noProof/>
          <w:lang w:val="fr-FR" w:eastAsia="fr-FR"/>
        </w:rPr>
        <w:drawing>
          <wp:inline distT="0" distB="0" distL="0" distR="0">
            <wp:extent cx="3305175" cy="2914650"/>
            <wp:effectExtent l="19050" t="0" r="9525" b="0"/>
            <wp:docPr id="522"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59" cstate="print"/>
                    <a:srcRect/>
                    <a:stretch>
                      <a:fillRect/>
                    </a:stretch>
                  </pic:blipFill>
                  <pic:spPr bwMode="auto">
                    <a:xfrm>
                      <a:off x="0" y="0"/>
                      <a:ext cx="3305175" cy="2914650"/>
                    </a:xfrm>
                    <a:prstGeom prst="rect">
                      <a:avLst/>
                    </a:prstGeom>
                    <a:noFill/>
                    <a:ln w="9525">
                      <a:noFill/>
                      <a:miter lim="800000"/>
                      <a:headEnd/>
                      <a:tailEnd/>
                    </a:ln>
                  </pic:spPr>
                </pic:pic>
              </a:graphicData>
            </a:graphic>
          </wp:inline>
        </w:drawing>
      </w:r>
    </w:p>
    <w:p w:rsidR="00E62FD5" w:rsidRPr="00B6647E" w:rsidRDefault="00E62FD5" w:rsidP="00B71798">
      <w:pPr>
        <w:spacing w:before="200" w:after="120" w:line="240" w:lineRule="auto"/>
        <w:rPr>
          <w:rFonts w:ascii="Arial" w:hAnsi="Arial" w:cs="Arial"/>
          <w:b/>
          <w:sz w:val="20"/>
          <w:szCs w:val="20"/>
          <w:lang w:val="fr-FR" w:eastAsia="fr-FR"/>
        </w:rPr>
      </w:pPr>
      <w:r w:rsidRPr="00B6647E">
        <w:rPr>
          <w:rFonts w:ascii="Arial" w:hAnsi="Arial" w:cs="Arial"/>
          <w:b/>
          <w:sz w:val="20"/>
          <w:szCs w:val="20"/>
          <w:lang w:val="fr-FR" w:eastAsia="fr-FR"/>
        </w:rPr>
        <w:t>b) Rendements en cultures pure d</w:t>
      </w:r>
      <w:r w:rsidR="007D63B7" w:rsidRPr="00B6647E">
        <w:rPr>
          <w:rFonts w:ascii="Arial" w:hAnsi="Arial" w:cs="Arial"/>
          <w:b/>
          <w:sz w:val="20"/>
          <w:szCs w:val="20"/>
          <w:lang w:val="fr-FR" w:eastAsia="fr-FR"/>
        </w:rPr>
        <w:t>’</w:t>
      </w:r>
      <w:r w:rsidR="00B71798" w:rsidRPr="00B6647E">
        <w:rPr>
          <w:rFonts w:ascii="Arial" w:hAnsi="Arial" w:cs="Arial"/>
          <w:b/>
          <w:sz w:val="20"/>
          <w:szCs w:val="20"/>
          <w:lang w:val="fr-FR" w:eastAsia="fr-FR"/>
        </w:rPr>
        <w:t>oléagineux</w:t>
      </w:r>
      <w:r w:rsidRPr="00B6647E">
        <w:rPr>
          <w:rFonts w:ascii="Arial" w:hAnsi="Arial" w:cs="Arial"/>
          <w:b/>
          <w:sz w:val="20"/>
          <w:szCs w:val="20"/>
          <w:lang w:val="fr-FR" w:eastAsia="fr-FR"/>
        </w:rPr>
        <w:t xml:space="preserve"> par province et par saison</w:t>
      </w:r>
    </w:p>
    <w:p w:rsidR="001D24EF" w:rsidRPr="00B6647E" w:rsidRDefault="007D63B7" w:rsidP="00261329">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t xml:space="preserve">Au cours de la saison A, on note qu’il y a sept provinces qui n’ont pas pratiqué de l’arachide en culture pure et les rendements dans les autres provinces varient de  200 kg/ha à 600 kg/ha. </w:t>
      </w:r>
      <w:r w:rsidR="00145A77" w:rsidRPr="00B6647E">
        <w:rPr>
          <w:rFonts w:ascii="Arial" w:hAnsi="Arial" w:cs="Arial"/>
          <w:sz w:val="20"/>
          <w:szCs w:val="20"/>
          <w:lang w:val="fr-FR" w:eastAsia="fr-FR"/>
        </w:rPr>
        <w:t>Pendant e</w:t>
      </w:r>
      <w:r w:rsidRPr="00B6647E">
        <w:rPr>
          <w:rFonts w:ascii="Arial" w:hAnsi="Arial" w:cs="Arial"/>
          <w:sz w:val="20"/>
          <w:szCs w:val="20"/>
          <w:lang w:val="fr-FR" w:eastAsia="fr-FR"/>
        </w:rPr>
        <w:t xml:space="preserve">n saison </w:t>
      </w:r>
      <w:r w:rsidR="00145A77" w:rsidRPr="00B6647E">
        <w:rPr>
          <w:rFonts w:ascii="Arial" w:hAnsi="Arial" w:cs="Arial"/>
          <w:sz w:val="20"/>
          <w:szCs w:val="20"/>
          <w:lang w:val="fr-FR" w:eastAsia="fr-FR"/>
        </w:rPr>
        <w:t xml:space="preserve">B, </w:t>
      </w:r>
      <w:r w:rsidRPr="00B6647E">
        <w:rPr>
          <w:rFonts w:ascii="Arial" w:hAnsi="Arial" w:cs="Arial"/>
          <w:sz w:val="20"/>
          <w:szCs w:val="20"/>
          <w:lang w:val="fr-FR" w:eastAsia="fr-FR"/>
        </w:rPr>
        <w:t>c’est Bururi seule qui n’a pas enregistré d’arachide en pur tandis que pendant la saison C on observe que seule la province de Cankuzo a cultivé cette culture.</w:t>
      </w:r>
    </w:p>
    <w:p w:rsidR="00C9780D" w:rsidRPr="00B6647E" w:rsidRDefault="00C9780D" w:rsidP="00261329">
      <w:pPr>
        <w:pStyle w:val="Lgende"/>
        <w:keepNext/>
        <w:jc w:val="both"/>
        <w:rPr>
          <w:rFonts w:ascii="Arial" w:hAnsi="Arial" w:cs="Arial"/>
        </w:rPr>
      </w:pPr>
      <w:r w:rsidRPr="00B6647E">
        <w:rPr>
          <w:rFonts w:ascii="Arial" w:hAnsi="Arial" w:cs="Arial"/>
        </w:rPr>
        <w:t xml:space="preserve">Tableau </w:t>
      </w:r>
      <w:r w:rsidR="006B398C">
        <w:rPr>
          <w:rFonts w:ascii="Arial" w:hAnsi="Arial" w:cs="Arial"/>
        </w:rPr>
        <w:t>207</w:t>
      </w:r>
      <w:r w:rsidR="00FD326F" w:rsidRPr="00B6647E">
        <w:rPr>
          <w:rFonts w:ascii="Arial" w:hAnsi="Arial" w:cs="Arial"/>
        </w:rPr>
        <w:t> :</w:t>
      </w:r>
      <w:r w:rsidRPr="00B6647E">
        <w:rPr>
          <w:rFonts w:ascii="Arial" w:hAnsi="Arial" w:cs="Arial"/>
        </w:rPr>
        <w:t xml:space="preserve"> Rendement de l’arachide en culture pure par province pendant les trois saisons</w:t>
      </w:r>
    </w:p>
    <w:p w:rsidR="00C9780D" w:rsidRPr="00B6647E" w:rsidRDefault="00481A2E" w:rsidP="00261329">
      <w:pPr>
        <w:spacing w:line="240" w:lineRule="auto"/>
        <w:jc w:val="both"/>
        <w:rPr>
          <w:rFonts w:ascii="Arial" w:hAnsi="Arial" w:cs="Arial"/>
          <w:sz w:val="20"/>
          <w:szCs w:val="20"/>
          <w:lang w:eastAsia="fr-FR"/>
        </w:rPr>
      </w:pPr>
      <w:r w:rsidRPr="00B6647E">
        <w:rPr>
          <w:noProof/>
          <w:szCs w:val="20"/>
          <w:lang w:val="fr-FR" w:eastAsia="fr-FR"/>
        </w:rPr>
        <w:drawing>
          <wp:inline distT="0" distB="0" distL="0" distR="0">
            <wp:extent cx="3305175" cy="3867150"/>
            <wp:effectExtent l="19050" t="0" r="9525" b="0"/>
            <wp:docPr id="523"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60" cstate="print"/>
                    <a:srcRect/>
                    <a:stretch>
                      <a:fillRect/>
                    </a:stretch>
                  </pic:blipFill>
                  <pic:spPr bwMode="auto">
                    <a:xfrm>
                      <a:off x="0" y="0"/>
                      <a:ext cx="3305175" cy="3867150"/>
                    </a:xfrm>
                    <a:prstGeom prst="rect">
                      <a:avLst/>
                    </a:prstGeom>
                    <a:noFill/>
                    <a:ln w="9525">
                      <a:noFill/>
                      <a:miter lim="800000"/>
                      <a:headEnd/>
                      <a:tailEnd/>
                    </a:ln>
                  </pic:spPr>
                </pic:pic>
              </a:graphicData>
            </a:graphic>
          </wp:inline>
        </w:drawing>
      </w:r>
    </w:p>
    <w:p w:rsidR="00C9780D" w:rsidRPr="00B6647E" w:rsidRDefault="007D63B7" w:rsidP="00261329">
      <w:pPr>
        <w:spacing w:line="240" w:lineRule="auto"/>
        <w:jc w:val="both"/>
        <w:rPr>
          <w:rFonts w:ascii="Arial" w:hAnsi="Arial" w:cs="Arial"/>
          <w:sz w:val="20"/>
          <w:szCs w:val="20"/>
          <w:lang w:eastAsia="fr-FR"/>
        </w:rPr>
      </w:pPr>
      <w:r w:rsidRPr="00B6647E">
        <w:rPr>
          <w:rFonts w:ascii="Arial" w:hAnsi="Arial" w:cs="Arial"/>
          <w:sz w:val="20"/>
          <w:szCs w:val="20"/>
          <w:lang w:eastAsia="fr-FR"/>
        </w:rPr>
        <w:t xml:space="preserve">Parmi les </w:t>
      </w:r>
      <w:r w:rsidR="00145A77" w:rsidRPr="00B6647E">
        <w:rPr>
          <w:rFonts w:ascii="Arial" w:hAnsi="Arial" w:cs="Arial"/>
          <w:sz w:val="20"/>
          <w:szCs w:val="20"/>
          <w:lang w:eastAsia="fr-FR"/>
        </w:rPr>
        <w:t xml:space="preserve">provinces qui ont cultivé du soja en pur, on note que pendant la saison A, le rendement moyen  varie de 250 kg/ha dans Kirundo à 1.000 kg/ha dans Cibitoke et Ngozi, au cours de la saison B, il varie de 427 kg/ha (Bubanza) à 1.000 kg/ha (Kirundo) et en saison C, seule la province de Cankuzo a enregistré du soja en culture pure avec un rendement moyen estimé à 1.000 kg/ha. </w:t>
      </w:r>
    </w:p>
    <w:p w:rsidR="00C9780D" w:rsidRPr="00B6647E" w:rsidRDefault="00C9780D" w:rsidP="00F45CFF">
      <w:pPr>
        <w:pStyle w:val="Lgende"/>
        <w:keepNext/>
        <w:jc w:val="both"/>
        <w:rPr>
          <w:rFonts w:ascii="Arial" w:hAnsi="Arial" w:cs="Arial"/>
        </w:rPr>
      </w:pPr>
      <w:r w:rsidRPr="00B6647E">
        <w:rPr>
          <w:rFonts w:ascii="Arial" w:hAnsi="Arial" w:cs="Arial"/>
        </w:rPr>
        <w:lastRenderedPageBreak/>
        <w:t xml:space="preserve">Tableau </w:t>
      </w:r>
      <w:r w:rsidR="006B398C">
        <w:rPr>
          <w:rFonts w:ascii="Arial" w:hAnsi="Arial" w:cs="Arial"/>
        </w:rPr>
        <w:t>208</w:t>
      </w:r>
      <w:r w:rsidR="00FD326F" w:rsidRPr="00B6647E">
        <w:rPr>
          <w:rFonts w:ascii="Arial" w:hAnsi="Arial" w:cs="Arial"/>
        </w:rPr>
        <w:t> :</w:t>
      </w:r>
      <w:r w:rsidRPr="00B6647E">
        <w:rPr>
          <w:rFonts w:ascii="Arial" w:hAnsi="Arial" w:cs="Arial"/>
        </w:rPr>
        <w:t xml:space="preserve"> Rendement du soja en culture pure par province pendant les trois saisons</w:t>
      </w:r>
    </w:p>
    <w:p w:rsidR="00C9780D" w:rsidRPr="00B6647E" w:rsidRDefault="00481A2E" w:rsidP="00F45CFF">
      <w:pPr>
        <w:spacing w:after="0" w:line="240" w:lineRule="auto"/>
        <w:jc w:val="both"/>
        <w:rPr>
          <w:rFonts w:ascii="Arial" w:hAnsi="Arial" w:cs="Arial"/>
          <w:sz w:val="20"/>
          <w:szCs w:val="20"/>
          <w:lang w:eastAsia="fr-FR"/>
        </w:rPr>
      </w:pPr>
      <w:r w:rsidRPr="00B6647E">
        <w:rPr>
          <w:noProof/>
          <w:szCs w:val="20"/>
          <w:lang w:val="fr-FR" w:eastAsia="fr-FR"/>
        </w:rPr>
        <w:drawing>
          <wp:inline distT="0" distB="0" distL="0" distR="0">
            <wp:extent cx="3305175" cy="3867150"/>
            <wp:effectExtent l="19050" t="0" r="9525" b="0"/>
            <wp:docPr id="524"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61" cstate="print"/>
                    <a:srcRect/>
                    <a:stretch>
                      <a:fillRect/>
                    </a:stretch>
                  </pic:blipFill>
                  <pic:spPr bwMode="auto">
                    <a:xfrm>
                      <a:off x="0" y="0"/>
                      <a:ext cx="3305175" cy="3867150"/>
                    </a:xfrm>
                    <a:prstGeom prst="rect">
                      <a:avLst/>
                    </a:prstGeom>
                    <a:noFill/>
                    <a:ln w="9525">
                      <a:noFill/>
                      <a:miter lim="800000"/>
                      <a:headEnd/>
                      <a:tailEnd/>
                    </a:ln>
                  </pic:spPr>
                </pic:pic>
              </a:graphicData>
            </a:graphic>
          </wp:inline>
        </w:drawing>
      </w:r>
    </w:p>
    <w:p w:rsidR="00C9780D" w:rsidRPr="00B6647E" w:rsidRDefault="00145A77" w:rsidP="00F45CFF">
      <w:pPr>
        <w:spacing w:after="0" w:line="240" w:lineRule="auto"/>
        <w:jc w:val="both"/>
        <w:rPr>
          <w:rFonts w:ascii="Arial" w:hAnsi="Arial" w:cs="Arial"/>
          <w:sz w:val="20"/>
          <w:szCs w:val="20"/>
          <w:lang w:eastAsia="fr-FR"/>
        </w:rPr>
      </w:pPr>
      <w:r w:rsidRPr="00B6647E">
        <w:rPr>
          <w:rFonts w:ascii="Arial" w:hAnsi="Arial" w:cs="Arial"/>
          <w:sz w:val="20"/>
          <w:szCs w:val="20"/>
          <w:lang w:eastAsia="fr-FR"/>
        </w:rPr>
        <w:t xml:space="preserve">La pratique du tournesol en culture est marginale dans les trois saisons. En effet, </w:t>
      </w:r>
      <w:r w:rsidR="00261329" w:rsidRPr="00B6647E">
        <w:rPr>
          <w:rFonts w:ascii="Arial" w:hAnsi="Arial" w:cs="Arial"/>
          <w:sz w:val="20"/>
          <w:szCs w:val="20"/>
          <w:lang w:eastAsia="fr-FR"/>
        </w:rPr>
        <w:t xml:space="preserve">en saison A, </w:t>
      </w:r>
      <w:r w:rsidRPr="00B6647E">
        <w:rPr>
          <w:rFonts w:ascii="Arial" w:hAnsi="Arial" w:cs="Arial"/>
          <w:sz w:val="20"/>
          <w:szCs w:val="20"/>
          <w:lang w:eastAsia="fr-FR"/>
        </w:rPr>
        <w:t>il y a</w:t>
      </w:r>
      <w:r w:rsidR="00261329" w:rsidRPr="00B6647E">
        <w:rPr>
          <w:rFonts w:ascii="Arial" w:hAnsi="Arial" w:cs="Arial"/>
          <w:sz w:val="20"/>
          <w:szCs w:val="20"/>
          <w:lang w:eastAsia="fr-FR"/>
        </w:rPr>
        <w:t xml:space="preserve"> que les </w:t>
      </w:r>
      <w:r w:rsidRPr="00B6647E">
        <w:rPr>
          <w:rFonts w:ascii="Arial" w:hAnsi="Arial" w:cs="Arial"/>
          <w:sz w:val="20"/>
          <w:szCs w:val="20"/>
          <w:lang w:eastAsia="fr-FR"/>
        </w:rPr>
        <w:t xml:space="preserve">provinces </w:t>
      </w:r>
      <w:r w:rsidR="00261329" w:rsidRPr="00B6647E">
        <w:rPr>
          <w:rFonts w:ascii="Arial" w:hAnsi="Arial" w:cs="Arial"/>
          <w:sz w:val="20"/>
          <w:szCs w:val="20"/>
          <w:lang w:eastAsia="fr-FR"/>
        </w:rPr>
        <w:t>de</w:t>
      </w:r>
      <w:r w:rsidRPr="00B6647E">
        <w:rPr>
          <w:rFonts w:ascii="Arial" w:hAnsi="Arial" w:cs="Arial"/>
          <w:sz w:val="20"/>
          <w:szCs w:val="20"/>
          <w:lang w:eastAsia="fr-FR"/>
        </w:rPr>
        <w:t xml:space="preserve"> Kirundo (589 kg/ha) et Muyinga (1.151 kg/</w:t>
      </w:r>
      <w:r w:rsidR="00E438B3" w:rsidRPr="00B6647E">
        <w:rPr>
          <w:rFonts w:ascii="Arial" w:hAnsi="Arial" w:cs="Arial"/>
          <w:sz w:val="20"/>
          <w:szCs w:val="20"/>
          <w:lang w:eastAsia="fr-FR"/>
        </w:rPr>
        <w:t xml:space="preserve">ha), </w:t>
      </w:r>
      <w:r w:rsidR="00261329" w:rsidRPr="00B6647E">
        <w:rPr>
          <w:rFonts w:ascii="Arial" w:hAnsi="Arial" w:cs="Arial"/>
          <w:sz w:val="20"/>
          <w:szCs w:val="20"/>
          <w:lang w:eastAsia="fr-FR"/>
        </w:rPr>
        <w:t>pendant la saison B, la</w:t>
      </w:r>
      <w:r w:rsidR="00E438B3" w:rsidRPr="00B6647E">
        <w:rPr>
          <w:rFonts w:ascii="Arial" w:hAnsi="Arial" w:cs="Arial"/>
          <w:sz w:val="20"/>
          <w:szCs w:val="20"/>
          <w:lang w:eastAsia="fr-FR"/>
        </w:rPr>
        <w:t xml:space="preserve"> province </w:t>
      </w:r>
      <w:r w:rsidR="00261329" w:rsidRPr="00B6647E">
        <w:rPr>
          <w:rFonts w:ascii="Arial" w:hAnsi="Arial" w:cs="Arial"/>
          <w:sz w:val="20"/>
          <w:szCs w:val="20"/>
          <w:lang w:eastAsia="fr-FR"/>
        </w:rPr>
        <w:t xml:space="preserve">de </w:t>
      </w:r>
      <w:r w:rsidR="00E438B3" w:rsidRPr="00B6647E">
        <w:rPr>
          <w:rFonts w:ascii="Arial" w:hAnsi="Arial" w:cs="Arial"/>
          <w:sz w:val="20"/>
          <w:szCs w:val="20"/>
          <w:lang w:eastAsia="fr-FR"/>
        </w:rPr>
        <w:t xml:space="preserve">Cankuzo (40kg/ha) et </w:t>
      </w:r>
      <w:r w:rsidR="00261329" w:rsidRPr="00B6647E">
        <w:rPr>
          <w:rFonts w:ascii="Arial" w:hAnsi="Arial" w:cs="Arial"/>
          <w:sz w:val="20"/>
          <w:szCs w:val="20"/>
          <w:lang w:eastAsia="fr-FR"/>
        </w:rPr>
        <w:t xml:space="preserve">la </w:t>
      </w:r>
      <w:r w:rsidR="00E438B3" w:rsidRPr="00B6647E">
        <w:rPr>
          <w:rFonts w:ascii="Arial" w:hAnsi="Arial" w:cs="Arial"/>
          <w:sz w:val="20"/>
          <w:szCs w:val="20"/>
          <w:lang w:eastAsia="fr-FR"/>
        </w:rPr>
        <w:t xml:space="preserve">seule </w:t>
      </w:r>
      <w:r w:rsidR="00261329" w:rsidRPr="00B6647E">
        <w:rPr>
          <w:rFonts w:ascii="Arial" w:hAnsi="Arial" w:cs="Arial"/>
          <w:sz w:val="20"/>
          <w:szCs w:val="20"/>
          <w:lang w:eastAsia="fr-FR"/>
        </w:rPr>
        <w:t xml:space="preserve">province de Kirundo (227 kg/ha) </w:t>
      </w:r>
      <w:r w:rsidR="00E438B3" w:rsidRPr="00B6647E">
        <w:rPr>
          <w:rFonts w:ascii="Arial" w:hAnsi="Arial" w:cs="Arial"/>
          <w:sz w:val="20"/>
          <w:szCs w:val="20"/>
          <w:lang w:eastAsia="fr-FR"/>
        </w:rPr>
        <w:t>au cours de la</w:t>
      </w:r>
      <w:r w:rsidR="00261329" w:rsidRPr="00B6647E">
        <w:rPr>
          <w:rFonts w:ascii="Arial" w:hAnsi="Arial" w:cs="Arial"/>
          <w:sz w:val="20"/>
          <w:szCs w:val="20"/>
          <w:lang w:eastAsia="fr-FR"/>
        </w:rPr>
        <w:t xml:space="preserve"> saison C</w:t>
      </w:r>
      <w:r w:rsidR="00E438B3" w:rsidRPr="00B6647E">
        <w:rPr>
          <w:rFonts w:ascii="Arial" w:hAnsi="Arial" w:cs="Arial"/>
          <w:sz w:val="20"/>
          <w:szCs w:val="20"/>
          <w:lang w:eastAsia="fr-FR"/>
        </w:rPr>
        <w:t>.</w:t>
      </w:r>
    </w:p>
    <w:p w:rsidR="00261329" w:rsidRPr="00B6647E" w:rsidRDefault="00261329" w:rsidP="00F45CFF">
      <w:pPr>
        <w:spacing w:after="0" w:line="240" w:lineRule="auto"/>
        <w:jc w:val="both"/>
        <w:rPr>
          <w:rFonts w:ascii="Arial" w:hAnsi="Arial" w:cs="Arial"/>
          <w:sz w:val="20"/>
          <w:szCs w:val="20"/>
          <w:lang w:eastAsia="fr-FR"/>
        </w:rPr>
      </w:pPr>
    </w:p>
    <w:p w:rsidR="00C9780D" w:rsidRPr="00B6647E" w:rsidRDefault="00FD326F" w:rsidP="00F45CFF">
      <w:pPr>
        <w:pStyle w:val="Lgende"/>
        <w:keepNext/>
        <w:jc w:val="both"/>
        <w:rPr>
          <w:rFonts w:ascii="Arial" w:hAnsi="Arial" w:cs="Arial"/>
        </w:rPr>
      </w:pPr>
      <w:r w:rsidRPr="00B6647E">
        <w:rPr>
          <w:rFonts w:ascii="Arial" w:hAnsi="Arial" w:cs="Arial"/>
        </w:rPr>
        <w:t xml:space="preserve">Tableau </w:t>
      </w:r>
      <w:r w:rsidR="006B398C">
        <w:rPr>
          <w:rFonts w:ascii="Arial" w:hAnsi="Arial" w:cs="Arial"/>
        </w:rPr>
        <w:t>209</w:t>
      </w:r>
      <w:r w:rsidRPr="00B6647E">
        <w:rPr>
          <w:rFonts w:ascii="Arial" w:hAnsi="Arial" w:cs="Arial"/>
        </w:rPr>
        <w:t> :</w:t>
      </w:r>
      <w:r w:rsidR="00C9780D" w:rsidRPr="00B6647E">
        <w:rPr>
          <w:rFonts w:ascii="Arial" w:hAnsi="Arial" w:cs="Arial"/>
        </w:rPr>
        <w:t xml:space="preserve"> Rendement du tournesol en culture pure par province pendant les trois saisons</w:t>
      </w:r>
    </w:p>
    <w:p w:rsidR="00C9780D" w:rsidRPr="00B6647E" w:rsidRDefault="00481A2E" w:rsidP="00F45CFF">
      <w:pPr>
        <w:spacing w:after="0" w:line="240" w:lineRule="auto"/>
        <w:rPr>
          <w:lang w:eastAsia="fr-FR"/>
        </w:rPr>
      </w:pPr>
      <w:r w:rsidRPr="00B6647E">
        <w:rPr>
          <w:noProof/>
          <w:lang w:val="fr-FR" w:eastAsia="fr-FR"/>
        </w:rPr>
        <w:drawing>
          <wp:inline distT="0" distB="0" distL="0" distR="0">
            <wp:extent cx="3305175" cy="3867150"/>
            <wp:effectExtent l="19050" t="0" r="9525" b="0"/>
            <wp:docPr id="525"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62" cstate="print"/>
                    <a:srcRect/>
                    <a:stretch>
                      <a:fillRect/>
                    </a:stretch>
                  </pic:blipFill>
                  <pic:spPr bwMode="auto">
                    <a:xfrm>
                      <a:off x="0" y="0"/>
                      <a:ext cx="3305175" cy="3867150"/>
                    </a:xfrm>
                    <a:prstGeom prst="rect">
                      <a:avLst/>
                    </a:prstGeom>
                    <a:noFill/>
                    <a:ln w="9525">
                      <a:noFill/>
                      <a:miter lim="800000"/>
                      <a:headEnd/>
                      <a:tailEnd/>
                    </a:ln>
                  </pic:spPr>
                </pic:pic>
              </a:graphicData>
            </a:graphic>
          </wp:inline>
        </w:drawing>
      </w:r>
      <w:r w:rsidR="00E438B3" w:rsidRPr="00B6647E">
        <w:rPr>
          <w:lang w:eastAsia="fr-FR"/>
        </w:rPr>
        <w:t xml:space="preserve"> </w:t>
      </w:r>
    </w:p>
    <w:p w:rsidR="000552AE" w:rsidRPr="00B6647E" w:rsidRDefault="000552AE" w:rsidP="00B71798">
      <w:pPr>
        <w:pStyle w:val="Titre3"/>
        <w:keepNext w:val="0"/>
        <w:numPr>
          <w:ilvl w:val="2"/>
          <w:numId w:val="1"/>
        </w:numPr>
        <w:spacing w:before="200" w:after="120"/>
        <w:ind w:left="0" w:firstLine="0"/>
        <w:rPr>
          <w:rFonts w:cs="Arial"/>
          <w:szCs w:val="20"/>
        </w:rPr>
      </w:pPr>
      <w:bookmarkStart w:id="247" w:name="_Toc354313894"/>
      <w:r w:rsidRPr="00B6647E">
        <w:rPr>
          <w:rFonts w:cs="Arial"/>
          <w:szCs w:val="20"/>
        </w:rPr>
        <w:lastRenderedPageBreak/>
        <w:t>Productions</w:t>
      </w:r>
      <w:bookmarkEnd w:id="247"/>
    </w:p>
    <w:p w:rsidR="000C246D" w:rsidRPr="00B6647E" w:rsidRDefault="00F50938" w:rsidP="004D46BE">
      <w:pPr>
        <w:pStyle w:val="Paragraphedeliste"/>
        <w:spacing w:after="120" w:line="240" w:lineRule="auto"/>
        <w:ind w:left="0"/>
        <w:contextualSpacing w:val="0"/>
        <w:jc w:val="both"/>
        <w:rPr>
          <w:rFonts w:ascii="Arial" w:hAnsi="Arial" w:cs="Arial"/>
          <w:sz w:val="20"/>
          <w:szCs w:val="20"/>
        </w:rPr>
      </w:pPr>
      <w:r w:rsidRPr="00B6647E">
        <w:rPr>
          <w:rFonts w:ascii="Arial" w:hAnsi="Arial" w:cs="Arial"/>
          <w:sz w:val="20"/>
          <w:szCs w:val="20"/>
        </w:rPr>
        <w:t xml:space="preserve">La production totale d’oléagineux au cours de toute la campagne agricole est estimée à </w:t>
      </w:r>
      <w:r w:rsidR="000C246D" w:rsidRPr="00B6647E">
        <w:rPr>
          <w:rFonts w:ascii="Arial" w:hAnsi="Arial" w:cs="Arial"/>
          <w:sz w:val="20"/>
          <w:szCs w:val="20"/>
        </w:rPr>
        <w:t>13.495 tonnes composées de 9.963</w:t>
      </w:r>
      <w:r w:rsidRPr="00B6647E">
        <w:rPr>
          <w:rFonts w:ascii="Arial" w:hAnsi="Arial" w:cs="Arial"/>
          <w:sz w:val="20"/>
          <w:szCs w:val="20"/>
        </w:rPr>
        <w:t xml:space="preserve"> tonnes </w:t>
      </w:r>
      <w:r w:rsidR="000C246D" w:rsidRPr="00B6647E">
        <w:rPr>
          <w:rFonts w:ascii="Arial" w:hAnsi="Arial" w:cs="Arial"/>
          <w:sz w:val="20"/>
          <w:szCs w:val="20"/>
        </w:rPr>
        <w:t xml:space="preserve">(73,8%) d’arachide, de 2.075 tonnes (15,4%) de soja et 1.456 tonnes (10,8%) de tournesol. </w:t>
      </w:r>
    </w:p>
    <w:p w:rsidR="00F50938" w:rsidRPr="00B6647E" w:rsidRDefault="000C246D" w:rsidP="004D46BE">
      <w:pPr>
        <w:pStyle w:val="Paragraphedeliste"/>
        <w:spacing w:after="120" w:line="240" w:lineRule="auto"/>
        <w:ind w:left="0"/>
        <w:contextualSpacing w:val="0"/>
        <w:jc w:val="both"/>
        <w:rPr>
          <w:rFonts w:ascii="Arial" w:hAnsi="Arial" w:cs="Arial"/>
          <w:sz w:val="20"/>
          <w:szCs w:val="20"/>
        </w:rPr>
      </w:pPr>
      <w:r w:rsidRPr="00B6647E">
        <w:rPr>
          <w:rFonts w:ascii="Arial" w:hAnsi="Arial" w:cs="Arial"/>
          <w:sz w:val="20"/>
          <w:szCs w:val="20"/>
        </w:rPr>
        <w:t>La saison B a produit 8.987 tonnes (63,7% de la production totale d’oléagineux), la saison A en a récolté 3.044 tonnes (22,6%) et la saison C a eu 1.854 tonnes (13,7%).</w:t>
      </w:r>
    </w:p>
    <w:p w:rsidR="00261329" w:rsidRPr="00B6647E" w:rsidRDefault="006F5A28" w:rsidP="004D46BE">
      <w:pPr>
        <w:spacing w:after="120" w:line="240" w:lineRule="auto"/>
        <w:rPr>
          <w:rFonts w:ascii="Arial" w:hAnsi="Arial" w:cs="Arial"/>
          <w:b/>
          <w:sz w:val="20"/>
          <w:szCs w:val="20"/>
          <w:lang w:eastAsia="fr-FR"/>
        </w:rPr>
      </w:pPr>
      <w:r w:rsidRPr="00B6647E">
        <w:rPr>
          <w:rFonts w:ascii="Arial" w:hAnsi="Arial" w:cs="Arial"/>
          <w:b/>
          <w:sz w:val="20"/>
          <w:szCs w:val="20"/>
          <w:lang w:eastAsia="fr-FR"/>
        </w:rPr>
        <w:t>Graphique 2</w:t>
      </w:r>
      <w:r w:rsidR="007F30DD">
        <w:rPr>
          <w:rFonts w:ascii="Arial" w:hAnsi="Arial" w:cs="Arial"/>
          <w:b/>
          <w:sz w:val="20"/>
          <w:szCs w:val="20"/>
          <w:lang w:eastAsia="fr-FR"/>
        </w:rPr>
        <w:t>3</w:t>
      </w:r>
      <w:r w:rsidR="006915A1" w:rsidRPr="00B6647E">
        <w:rPr>
          <w:rFonts w:ascii="Arial" w:hAnsi="Arial" w:cs="Arial"/>
          <w:b/>
          <w:sz w:val="20"/>
          <w:szCs w:val="20"/>
          <w:lang w:eastAsia="fr-FR"/>
        </w:rPr>
        <w:t> : Production totale d’oléagineux par région naturelle (tonnes)</w:t>
      </w:r>
    </w:p>
    <w:p w:rsidR="006915A1" w:rsidRPr="00B6647E" w:rsidRDefault="006915A1" w:rsidP="004C0F27">
      <w:pPr>
        <w:spacing w:line="240" w:lineRule="auto"/>
        <w:rPr>
          <w:rFonts w:ascii="Arial" w:hAnsi="Arial" w:cs="Arial"/>
          <w:sz w:val="20"/>
          <w:szCs w:val="20"/>
          <w:lang w:eastAsia="fr-FR"/>
        </w:rPr>
      </w:pPr>
      <w:r w:rsidRPr="00B6647E">
        <w:rPr>
          <w:noProof/>
          <w:szCs w:val="20"/>
          <w:lang w:val="fr-FR" w:eastAsia="fr-FR"/>
        </w:rPr>
        <w:drawing>
          <wp:inline distT="0" distB="0" distL="0" distR="0">
            <wp:extent cx="5720316" cy="3200400"/>
            <wp:effectExtent l="19050" t="0" r="0" b="0"/>
            <wp:docPr id="11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3" cstate="print"/>
                    <a:srcRect/>
                    <a:stretch>
                      <a:fillRect/>
                    </a:stretch>
                  </pic:blipFill>
                  <pic:spPr bwMode="auto">
                    <a:xfrm>
                      <a:off x="0" y="0"/>
                      <a:ext cx="5717350" cy="3198741"/>
                    </a:xfrm>
                    <a:prstGeom prst="rect">
                      <a:avLst/>
                    </a:prstGeom>
                    <a:noFill/>
                    <a:ln w="9525">
                      <a:noFill/>
                      <a:miter lim="800000"/>
                      <a:headEnd/>
                      <a:tailEnd/>
                    </a:ln>
                  </pic:spPr>
                </pic:pic>
              </a:graphicData>
            </a:graphic>
          </wp:inline>
        </w:drawing>
      </w:r>
    </w:p>
    <w:p w:rsidR="00322786" w:rsidRPr="00B6647E" w:rsidRDefault="00261329" w:rsidP="00B71798">
      <w:pPr>
        <w:spacing w:before="200" w:after="120" w:line="240" w:lineRule="auto"/>
        <w:rPr>
          <w:rFonts w:ascii="Arial" w:hAnsi="Arial" w:cs="Arial"/>
          <w:b/>
          <w:sz w:val="20"/>
          <w:szCs w:val="20"/>
          <w:lang w:eastAsia="fr-FR"/>
        </w:rPr>
      </w:pPr>
      <w:r w:rsidRPr="00B6647E">
        <w:rPr>
          <w:rFonts w:ascii="Arial" w:hAnsi="Arial" w:cs="Arial"/>
          <w:b/>
          <w:sz w:val="20"/>
          <w:szCs w:val="20"/>
          <w:lang w:eastAsia="fr-FR"/>
        </w:rPr>
        <w:t>a) Production totale d’oléagineux par région naturelle au cours des trois saisons</w:t>
      </w:r>
    </w:p>
    <w:p w:rsidR="006915A1" w:rsidRPr="00B6647E" w:rsidRDefault="000C246D" w:rsidP="00105E2E">
      <w:pPr>
        <w:pStyle w:val="Paragraphedeliste"/>
        <w:spacing w:after="120" w:line="240" w:lineRule="auto"/>
        <w:ind w:left="0"/>
        <w:contextualSpacing w:val="0"/>
        <w:jc w:val="both"/>
        <w:rPr>
          <w:rFonts w:ascii="Arial" w:hAnsi="Arial" w:cs="Arial"/>
          <w:sz w:val="20"/>
          <w:szCs w:val="20"/>
        </w:rPr>
      </w:pPr>
      <w:r w:rsidRPr="00B6647E">
        <w:rPr>
          <w:rFonts w:ascii="Arial" w:hAnsi="Arial" w:cs="Arial"/>
          <w:sz w:val="20"/>
          <w:szCs w:val="20"/>
        </w:rPr>
        <w:t xml:space="preserve">Aucune production d’oléagineux n’a été estimée dans les régions naturelles de Bututsi et Mugamba. </w:t>
      </w:r>
    </w:p>
    <w:p w:rsidR="006915A1" w:rsidRPr="00B6647E" w:rsidRDefault="000C246D" w:rsidP="00105E2E">
      <w:pPr>
        <w:pStyle w:val="Paragraphedeliste"/>
        <w:spacing w:after="120" w:line="240" w:lineRule="auto"/>
        <w:ind w:left="0"/>
        <w:contextualSpacing w:val="0"/>
        <w:jc w:val="both"/>
        <w:rPr>
          <w:rFonts w:ascii="Arial" w:hAnsi="Arial" w:cs="Arial"/>
          <w:sz w:val="20"/>
          <w:szCs w:val="20"/>
        </w:rPr>
      </w:pPr>
      <w:r w:rsidRPr="00B6647E">
        <w:rPr>
          <w:rFonts w:ascii="Arial" w:hAnsi="Arial" w:cs="Arial"/>
          <w:sz w:val="20"/>
          <w:szCs w:val="20"/>
        </w:rPr>
        <w:t xml:space="preserve">Kirimiro </w:t>
      </w:r>
      <w:r w:rsidR="006915A1" w:rsidRPr="00B6647E">
        <w:rPr>
          <w:rFonts w:ascii="Arial" w:hAnsi="Arial" w:cs="Arial"/>
          <w:sz w:val="20"/>
          <w:szCs w:val="20"/>
        </w:rPr>
        <w:t>(2.874 tonnes) et Moso (2.870 tonnes) avec des productions similaires cumulent 42,6% de la production totale d’oléagineux</w:t>
      </w:r>
      <w:r w:rsidRPr="00B6647E">
        <w:rPr>
          <w:rFonts w:ascii="Arial" w:hAnsi="Arial" w:cs="Arial"/>
          <w:sz w:val="20"/>
          <w:szCs w:val="20"/>
        </w:rPr>
        <w:t xml:space="preserve"> de toute la campagne agricole 2011-2012</w:t>
      </w:r>
      <w:r w:rsidR="006915A1" w:rsidRPr="00B6647E">
        <w:rPr>
          <w:rFonts w:ascii="Arial" w:hAnsi="Arial" w:cs="Arial"/>
          <w:sz w:val="20"/>
          <w:szCs w:val="20"/>
        </w:rPr>
        <w:t>. Viennent ensuite dans l’ordre les régions de Buyogoma (1.876 tonnes), Bugesera (1.690 tonnes) et Imbo (1.673 tonnes).</w:t>
      </w:r>
    </w:p>
    <w:p w:rsidR="00322786" w:rsidRPr="00B6647E" w:rsidRDefault="00322786" w:rsidP="00FD326F">
      <w:pPr>
        <w:pStyle w:val="Lgende"/>
        <w:keepNext/>
        <w:jc w:val="both"/>
        <w:rPr>
          <w:rFonts w:ascii="Arial" w:hAnsi="Arial" w:cs="Arial"/>
        </w:rPr>
      </w:pPr>
      <w:r w:rsidRPr="00B6647E">
        <w:rPr>
          <w:rFonts w:ascii="Arial" w:hAnsi="Arial" w:cs="Arial"/>
        </w:rPr>
        <w:t xml:space="preserve">Tableau </w:t>
      </w:r>
      <w:r w:rsidR="00FD326F" w:rsidRPr="00B6647E">
        <w:rPr>
          <w:rFonts w:ascii="Arial" w:hAnsi="Arial" w:cs="Arial"/>
        </w:rPr>
        <w:t>2</w:t>
      </w:r>
      <w:r w:rsidR="006B398C">
        <w:rPr>
          <w:rFonts w:ascii="Arial" w:hAnsi="Arial" w:cs="Arial"/>
        </w:rPr>
        <w:t>10</w:t>
      </w:r>
      <w:r w:rsidRPr="00B6647E">
        <w:rPr>
          <w:rFonts w:ascii="Arial" w:hAnsi="Arial" w:cs="Arial"/>
        </w:rPr>
        <w:t> : Production totale d’oléagineux par région et par saison</w:t>
      </w:r>
    </w:p>
    <w:p w:rsidR="00322786" w:rsidRPr="00B6647E" w:rsidRDefault="001F2C2A" w:rsidP="00105E2E">
      <w:pPr>
        <w:spacing w:after="120" w:line="240" w:lineRule="auto"/>
        <w:rPr>
          <w:lang w:eastAsia="fr-FR"/>
        </w:rPr>
      </w:pPr>
      <w:r w:rsidRPr="00B6647E">
        <w:rPr>
          <w:noProof/>
          <w:lang w:val="fr-FR" w:eastAsia="fr-FR"/>
        </w:rPr>
        <w:drawing>
          <wp:inline distT="0" distB="0" distL="0" distR="0">
            <wp:extent cx="4067175" cy="2914650"/>
            <wp:effectExtent l="19050" t="0" r="9525" b="0"/>
            <wp:docPr id="526"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64" cstate="print"/>
                    <a:srcRect/>
                    <a:stretch>
                      <a:fillRect/>
                    </a:stretch>
                  </pic:blipFill>
                  <pic:spPr bwMode="auto">
                    <a:xfrm>
                      <a:off x="0" y="0"/>
                      <a:ext cx="4067175" cy="2914650"/>
                    </a:xfrm>
                    <a:prstGeom prst="rect">
                      <a:avLst/>
                    </a:prstGeom>
                    <a:noFill/>
                    <a:ln w="9525">
                      <a:noFill/>
                      <a:miter lim="800000"/>
                      <a:headEnd/>
                      <a:tailEnd/>
                    </a:ln>
                  </pic:spPr>
                </pic:pic>
              </a:graphicData>
            </a:graphic>
          </wp:inline>
        </w:drawing>
      </w:r>
    </w:p>
    <w:p w:rsidR="00322786" w:rsidRPr="00B6647E" w:rsidRDefault="006915A1" w:rsidP="00105E2E">
      <w:pPr>
        <w:spacing w:after="120" w:line="240" w:lineRule="auto"/>
        <w:jc w:val="both"/>
        <w:rPr>
          <w:rFonts w:ascii="Arial" w:hAnsi="Arial" w:cs="Arial"/>
          <w:sz w:val="20"/>
          <w:szCs w:val="20"/>
          <w:lang w:eastAsia="fr-FR"/>
        </w:rPr>
      </w:pPr>
      <w:r w:rsidRPr="00B6647E">
        <w:rPr>
          <w:rFonts w:ascii="Arial" w:hAnsi="Arial" w:cs="Arial"/>
          <w:sz w:val="20"/>
          <w:szCs w:val="20"/>
          <w:lang w:eastAsia="fr-FR"/>
        </w:rPr>
        <w:lastRenderedPageBreak/>
        <w:t xml:space="preserve">L’arachide a été produite </w:t>
      </w:r>
      <w:r w:rsidR="000105C3" w:rsidRPr="00B6647E">
        <w:rPr>
          <w:rFonts w:ascii="Arial" w:hAnsi="Arial" w:cs="Arial"/>
          <w:sz w:val="20"/>
          <w:szCs w:val="20"/>
          <w:lang w:eastAsia="fr-FR"/>
        </w:rPr>
        <w:t>essentiellement</w:t>
      </w:r>
      <w:r w:rsidRPr="00B6647E">
        <w:rPr>
          <w:rFonts w:ascii="Arial" w:hAnsi="Arial" w:cs="Arial"/>
          <w:sz w:val="20"/>
          <w:szCs w:val="20"/>
          <w:lang w:eastAsia="fr-FR"/>
        </w:rPr>
        <w:t xml:space="preserve"> au cours de la saison B (</w:t>
      </w:r>
      <w:r w:rsidR="000105C3" w:rsidRPr="00B6647E">
        <w:rPr>
          <w:rFonts w:ascii="Arial" w:hAnsi="Arial" w:cs="Arial"/>
          <w:sz w:val="20"/>
          <w:szCs w:val="20"/>
          <w:lang w:eastAsia="fr-FR"/>
        </w:rPr>
        <w:t>6.904 tonnes, soit 69,3% de la production totale d’arachide et 51,2% de toute de la production oléagineuse). Cette production a été estimée principalement dans trois régions naturelles : Moso (2.848 tonnes), Kirimiro (2.366 tonnes) et Buyogoma (1.747 tonnes).</w:t>
      </w:r>
    </w:p>
    <w:p w:rsidR="00322786" w:rsidRPr="00B6647E" w:rsidRDefault="006B398C" w:rsidP="00FD326F">
      <w:pPr>
        <w:pStyle w:val="Lgende"/>
        <w:keepNext/>
        <w:jc w:val="both"/>
        <w:rPr>
          <w:rFonts w:ascii="Arial" w:hAnsi="Arial" w:cs="Arial"/>
        </w:rPr>
      </w:pPr>
      <w:r>
        <w:rPr>
          <w:rFonts w:ascii="Arial" w:hAnsi="Arial" w:cs="Arial"/>
        </w:rPr>
        <w:t>Tableau 21</w:t>
      </w:r>
      <w:r w:rsidR="00FD326F" w:rsidRPr="00B6647E">
        <w:rPr>
          <w:rFonts w:ascii="Arial" w:hAnsi="Arial" w:cs="Arial"/>
        </w:rPr>
        <w:t>1</w:t>
      </w:r>
      <w:r w:rsidR="00322786" w:rsidRPr="00B6647E">
        <w:rPr>
          <w:rFonts w:ascii="Arial" w:hAnsi="Arial" w:cs="Arial"/>
        </w:rPr>
        <w:t> : Production totale d’arachide par région et par saison</w:t>
      </w:r>
    </w:p>
    <w:p w:rsidR="00322786" w:rsidRPr="00B6647E" w:rsidRDefault="001F2C2A" w:rsidP="00105E2E">
      <w:pPr>
        <w:spacing w:after="120" w:line="240" w:lineRule="auto"/>
        <w:jc w:val="both"/>
        <w:rPr>
          <w:rFonts w:ascii="Arial" w:hAnsi="Arial" w:cs="Arial"/>
          <w:sz w:val="20"/>
          <w:szCs w:val="20"/>
          <w:lang w:eastAsia="fr-FR"/>
        </w:rPr>
      </w:pPr>
      <w:r w:rsidRPr="00B6647E">
        <w:rPr>
          <w:noProof/>
          <w:szCs w:val="20"/>
          <w:lang w:val="fr-FR" w:eastAsia="fr-FR"/>
        </w:rPr>
        <w:drawing>
          <wp:inline distT="0" distB="0" distL="0" distR="0">
            <wp:extent cx="4067175" cy="2914650"/>
            <wp:effectExtent l="19050" t="0" r="9525" b="0"/>
            <wp:docPr id="527"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65" cstate="print"/>
                    <a:srcRect/>
                    <a:stretch>
                      <a:fillRect/>
                    </a:stretch>
                  </pic:blipFill>
                  <pic:spPr bwMode="auto">
                    <a:xfrm>
                      <a:off x="0" y="0"/>
                      <a:ext cx="4067175" cy="2914650"/>
                    </a:xfrm>
                    <a:prstGeom prst="rect">
                      <a:avLst/>
                    </a:prstGeom>
                    <a:noFill/>
                    <a:ln w="9525">
                      <a:noFill/>
                      <a:miter lim="800000"/>
                      <a:headEnd/>
                      <a:tailEnd/>
                    </a:ln>
                  </pic:spPr>
                </pic:pic>
              </a:graphicData>
            </a:graphic>
          </wp:inline>
        </w:drawing>
      </w:r>
    </w:p>
    <w:p w:rsidR="00322786" w:rsidRPr="00B6647E" w:rsidRDefault="000105C3" w:rsidP="00105E2E">
      <w:pPr>
        <w:spacing w:after="120" w:line="240" w:lineRule="auto"/>
        <w:jc w:val="both"/>
        <w:rPr>
          <w:rFonts w:ascii="Arial" w:hAnsi="Arial" w:cs="Arial"/>
          <w:sz w:val="20"/>
          <w:szCs w:val="20"/>
          <w:lang w:eastAsia="fr-FR"/>
        </w:rPr>
      </w:pPr>
      <w:r w:rsidRPr="00B6647E">
        <w:rPr>
          <w:rFonts w:ascii="Arial" w:hAnsi="Arial" w:cs="Arial"/>
          <w:sz w:val="20"/>
          <w:szCs w:val="20"/>
          <w:lang w:eastAsia="fr-FR"/>
        </w:rPr>
        <w:t xml:space="preserve">Les régions de Buragane, Bututsi et Mugamba n’ont pas enregistré de production de </w:t>
      </w:r>
      <w:r w:rsidR="00944A8A" w:rsidRPr="00B6647E">
        <w:rPr>
          <w:rFonts w:ascii="Arial" w:hAnsi="Arial" w:cs="Arial"/>
          <w:sz w:val="20"/>
          <w:szCs w:val="20"/>
          <w:lang w:eastAsia="fr-FR"/>
        </w:rPr>
        <w:t xml:space="preserve">soja au cours des trois saisons et cette production est pratiquement insignifiante dans Bugesera et Moso. </w:t>
      </w:r>
      <w:r w:rsidR="004C0F27" w:rsidRPr="00B6647E">
        <w:rPr>
          <w:rFonts w:ascii="Arial" w:hAnsi="Arial" w:cs="Arial"/>
          <w:sz w:val="20"/>
          <w:szCs w:val="20"/>
          <w:lang w:eastAsia="fr-FR"/>
        </w:rPr>
        <w:t>Plus que globalement faibles, Imbo (740 tonnes) et Buyenzi (527 tonnes) ont eu les plus grandes production</w:t>
      </w:r>
      <w:r w:rsidR="00870D25">
        <w:rPr>
          <w:rFonts w:ascii="Arial" w:hAnsi="Arial" w:cs="Arial"/>
          <w:sz w:val="20"/>
          <w:szCs w:val="20"/>
          <w:lang w:eastAsia="fr-FR"/>
        </w:rPr>
        <w:t>s</w:t>
      </w:r>
      <w:r w:rsidR="004C0F27" w:rsidRPr="00B6647E">
        <w:rPr>
          <w:rFonts w:ascii="Arial" w:hAnsi="Arial" w:cs="Arial"/>
          <w:sz w:val="20"/>
          <w:szCs w:val="20"/>
          <w:lang w:eastAsia="fr-FR"/>
        </w:rPr>
        <w:t xml:space="preserve"> de soja.</w:t>
      </w:r>
    </w:p>
    <w:p w:rsidR="000105C3" w:rsidRPr="00B6647E" w:rsidRDefault="000105C3" w:rsidP="00105E2E">
      <w:pPr>
        <w:spacing w:after="120" w:line="240" w:lineRule="auto"/>
        <w:rPr>
          <w:rFonts w:ascii="Arial" w:hAnsi="Arial" w:cs="Arial"/>
          <w:sz w:val="20"/>
          <w:szCs w:val="20"/>
          <w:lang w:eastAsia="fr-FR"/>
        </w:rPr>
      </w:pPr>
    </w:p>
    <w:p w:rsidR="00322786" w:rsidRPr="00B6647E" w:rsidRDefault="00322786" w:rsidP="00FD326F">
      <w:pPr>
        <w:pStyle w:val="Lgende"/>
        <w:keepNext/>
        <w:jc w:val="both"/>
        <w:rPr>
          <w:rFonts w:ascii="Arial" w:hAnsi="Arial" w:cs="Arial"/>
        </w:rPr>
      </w:pPr>
      <w:r w:rsidRPr="00B6647E">
        <w:rPr>
          <w:rFonts w:ascii="Arial" w:hAnsi="Arial" w:cs="Arial"/>
        </w:rPr>
        <w:t xml:space="preserve">Tableau </w:t>
      </w:r>
      <w:r w:rsidR="006B398C">
        <w:rPr>
          <w:rFonts w:ascii="Arial" w:hAnsi="Arial" w:cs="Arial"/>
        </w:rPr>
        <w:t>21</w:t>
      </w:r>
      <w:r w:rsidR="00FD326F" w:rsidRPr="00B6647E">
        <w:rPr>
          <w:rFonts w:ascii="Arial" w:hAnsi="Arial" w:cs="Arial"/>
        </w:rPr>
        <w:t>2</w:t>
      </w:r>
      <w:r w:rsidRPr="00B6647E">
        <w:rPr>
          <w:rFonts w:ascii="Arial" w:hAnsi="Arial" w:cs="Arial"/>
        </w:rPr>
        <w:t> : Production totale de soja par région et par saison</w:t>
      </w:r>
    </w:p>
    <w:p w:rsidR="00322786" w:rsidRPr="00B6647E" w:rsidRDefault="001F2C2A" w:rsidP="00105E2E">
      <w:pPr>
        <w:spacing w:after="120" w:line="240" w:lineRule="auto"/>
        <w:jc w:val="both"/>
        <w:rPr>
          <w:rFonts w:ascii="Arial" w:hAnsi="Arial" w:cs="Arial"/>
          <w:sz w:val="20"/>
          <w:szCs w:val="20"/>
          <w:lang w:eastAsia="fr-FR"/>
        </w:rPr>
      </w:pPr>
      <w:r w:rsidRPr="00B6647E">
        <w:rPr>
          <w:noProof/>
          <w:szCs w:val="20"/>
          <w:lang w:val="fr-FR" w:eastAsia="fr-FR"/>
        </w:rPr>
        <w:drawing>
          <wp:inline distT="0" distB="0" distL="0" distR="0">
            <wp:extent cx="4067175" cy="2914650"/>
            <wp:effectExtent l="19050" t="0" r="9525" b="0"/>
            <wp:docPr id="528"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66" cstate="print"/>
                    <a:srcRect/>
                    <a:stretch>
                      <a:fillRect/>
                    </a:stretch>
                  </pic:blipFill>
                  <pic:spPr bwMode="auto">
                    <a:xfrm>
                      <a:off x="0" y="0"/>
                      <a:ext cx="4067175" cy="2914650"/>
                    </a:xfrm>
                    <a:prstGeom prst="rect">
                      <a:avLst/>
                    </a:prstGeom>
                    <a:noFill/>
                    <a:ln w="9525">
                      <a:noFill/>
                      <a:miter lim="800000"/>
                      <a:headEnd/>
                      <a:tailEnd/>
                    </a:ln>
                  </pic:spPr>
                </pic:pic>
              </a:graphicData>
            </a:graphic>
          </wp:inline>
        </w:drawing>
      </w:r>
    </w:p>
    <w:p w:rsidR="00322786" w:rsidRPr="00B6647E" w:rsidRDefault="004C0F27" w:rsidP="00105E2E">
      <w:pPr>
        <w:spacing w:after="120" w:line="240" w:lineRule="auto"/>
        <w:jc w:val="both"/>
        <w:rPr>
          <w:rFonts w:ascii="Arial" w:hAnsi="Arial" w:cs="Arial"/>
          <w:sz w:val="20"/>
          <w:szCs w:val="20"/>
          <w:lang w:eastAsia="fr-FR"/>
        </w:rPr>
      </w:pPr>
      <w:r w:rsidRPr="00B6647E">
        <w:rPr>
          <w:rFonts w:ascii="Arial" w:hAnsi="Arial" w:cs="Arial"/>
          <w:sz w:val="20"/>
          <w:szCs w:val="20"/>
          <w:lang w:eastAsia="fr-FR"/>
        </w:rPr>
        <w:t>La production totale de tournesol (1.456 tonnes correspondant à 10,8% de la production totale d’oléagineux cumulée des trois saisons de la campagne agricole 2011-2012) a été estimée en grande partie au cours de la saison C (1.077 tonnes) et dans la région naturelle de Bugesera (1.201 tonnes).</w:t>
      </w:r>
    </w:p>
    <w:p w:rsidR="00322786" w:rsidRPr="00B6647E" w:rsidRDefault="00322786" w:rsidP="00FD326F">
      <w:pPr>
        <w:pStyle w:val="Lgende"/>
        <w:keepNext/>
        <w:jc w:val="both"/>
        <w:rPr>
          <w:rFonts w:ascii="Arial" w:hAnsi="Arial" w:cs="Arial"/>
        </w:rPr>
      </w:pPr>
      <w:r w:rsidRPr="00B6647E">
        <w:rPr>
          <w:rFonts w:ascii="Arial" w:hAnsi="Arial" w:cs="Arial"/>
        </w:rPr>
        <w:lastRenderedPageBreak/>
        <w:t xml:space="preserve">Tableau </w:t>
      </w:r>
      <w:r w:rsidR="006B398C">
        <w:rPr>
          <w:rFonts w:ascii="Arial" w:hAnsi="Arial" w:cs="Arial"/>
        </w:rPr>
        <w:t>21</w:t>
      </w:r>
      <w:r w:rsidR="00FD326F" w:rsidRPr="00B6647E">
        <w:rPr>
          <w:rFonts w:ascii="Arial" w:hAnsi="Arial" w:cs="Arial"/>
        </w:rPr>
        <w:t>3</w:t>
      </w:r>
      <w:r w:rsidRPr="00B6647E">
        <w:rPr>
          <w:rFonts w:ascii="Arial" w:hAnsi="Arial" w:cs="Arial"/>
        </w:rPr>
        <w:t> : Production totale de tournesol par région et par saison</w:t>
      </w:r>
    </w:p>
    <w:p w:rsidR="00322786" w:rsidRPr="00B6647E" w:rsidRDefault="001F2C2A" w:rsidP="00105E2E">
      <w:pPr>
        <w:spacing w:after="120" w:line="240" w:lineRule="auto"/>
        <w:rPr>
          <w:lang w:eastAsia="fr-FR"/>
        </w:rPr>
      </w:pPr>
      <w:r w:rsidRPr="00B6647E">
        <w:rPr>
          <w:noProof/>
          <w:lang w:val="fr-FR" w:eastAsia="fr-FR"/>
        </w:rPr>
        <w:drawing>
          <wp:inline distT="0" distB="0" distL="0" distR="0">
            <wp:extent cx="4067175" cy="2914650"/>
            <wp:effectExtent l="19050" t="0" r="9525" b="0"/>
            <wp:docPr id="529"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67" cstate="print"/>
                    <a:srcRect/>
                    <a:stretch>
                      <a:fillRect/>
                    </a:stretch>
                  </pic:blipFill>
                  <pic:spPr bwMode="auto">
                    <a:xfrm>
                      <a:off x="0" y="0"/>
                      <a:ext cx="4067175" cy="2914650"/>
                    </a:xfrm>
                    <a:prstGeom prst="rect">
                      <a:avLst/>
                    </a:prstGeom>
                    <a:noFill/>
                    <a:ln w="9525">
                      <a:noFill/>
                      <a:miter lim="800000"/>
                      <a:headEnd/>
                      <a:tailEnd/>
                    </a:ln>
                  </pic:spPr>
                </pic:pic>
              </a:graphicData>
            </a:graphic>
          </wp:inline>
        </w:drawing>
      </w:r>
    </w:p>
    <w:p w:rsidR="00261329" w:rsidRPr="00B6647E" w:rsidRDefault="00261329" w:rsidP="00B71798">
      <w:pPr>
        <w:spacing w:before="200" w:after="120" w:line="240" w:lineRule="auto"/>
        <w:rPr>
          <w:rFonts w:ascii="Arial" w:hAnsi="Arial" w:cs="Arial"/>
          <w:b/>
          <w:sz w:val="20"/>
          <w:szCs w:val="20"/>
          <w:lang w:eastAsia="fr-FR"/>
        </w:rPr>
      </w:pPr>
      <w:r w:rsidRPr="00B6647E">
        <w:rPr>
          <w:rFonts w:ascii="Arial" w:hAnsi="Arial" w:cs="Arial"/>
          <w:b/>
          <w:sz w:val="20"/>
          <w:szCs w:val="20"/>
          <w:lang w:eastAsia="fr-FR"/>
        </w:rPr>
        <w:t>b) Production totale d’oléagineux au cours par province au cours des trois saisons</w:t>
      </w:r>
    </w:p>
    <w:p w:rsidR="0058625B" w:rsidRPr="00B6647E" w:rsidRDefault="00870D25" w:rsidP="00105E2E">
      <w:pPr>
        <w:spacing w:after="120" w:line="240" w:lineRule="auto"/>
        <w:jc w:val="both"/>
        <w:rPr>
          <w:rFonts w:ascii="Arial" w:hAnsi="Arial" w:cs="Arial"/>
          <w:sz w:val="20"/>
          <w:szCs w:val="20"/>
          <w:lang w:eastAsia="fr-FR"/>
        </w:rPr>
      </w:pPr>
      <w:r>
        <w:rPr>
          <w:rFonts w:ascii="Arial" w:hAnsi="Arial" w:cs="Arial"/>
          <w:sz w:val="20"/>
          <w:szCs w:val="20"/>
          <w:lang w:eastAsia="fr-FR"/>
        </w:rPr>
        <w:t>O</w:t>
      </w:r>
      <w:r w:rsidR="0058625B" w:rsidRPr="00B6647E">
        <w:rPr>
          <w:rFonts w:ascii="Arial" w:hAnsi="Arial" w:cs="Arial"/>
          <w:sz w:val="20"/>
          <w:szCs w:val="20"/>
          <w:lang w:eastAsia="fr-FR"/>
        </w:rPr>
        <w:t xml:space="preserve">n note sept provinces avec des productions supérieures à 1.000 tonnes : </w:t>
      </w:r>
      <w:r w:rsidR="00D232F7" w:rsidRPr="00B6647E">
        <w:rPr>
          <w:rFonts w:ascii="Arial" w:hAnsi="Arial" w:cs="Arial"/>
          <w:sz w:val="20"/>
          <w:szCs w:val="20"/>
          <w:lang w:eastAsia="fr-FR"/>
        </w:rPr>
        <w:t>Cankuzo (1.805 tonnes), Gitega (1.984 tonnes), Karuzi (1.341 tonnes), Kirundo (1.917 tonnes), Muyinga (1.051 tonnes), Rutana (1.096 tonnes) et Ruyigi (1.168 tonnes). A l’opposé, Bururi et Muramvya ont eu des productions d’oléagineux très faibles.</w:t>
      </w:r>
    </w:p>
    <w:p w:rsidR="00322786" w:rsidRPr="00B6647E" w:rsidRDefault="00322786" w:rsidP="00FD326F">
      <w:pPr>
        <w:pStyle w:val="Lgende"/>
        <w:keepNext/>
        <w:jc w:val="both"/>
        <w:rPr>
          <w:rFonts w:ascii="Arial" w:hAnsi="Arial" w:cs="Arial"/>
        </w:rPr>
      </w:pPr>
      <w:r w:rsidRPr="00B6647E">
        <w:rPr>
          <w:rFonts w:ascii="Arial" w:hAnsi="Arial" w:cs="Arial"/>
        </w:rPr>
        <w:t xml:space="preserve">Tableau </w:t>
      </w:r>
      <w:r w:rsidR="006B398C">
        <w:rPr>
          <w:rFonts w:ascii="Arial" w:hAnsi="Arial" w:cs="Arial"/>
        </w:rPr>
        <w:t>21</w:t>
      </w:r>
      <w:r w:rsidR="00FD326F" w:rsidRPr="00B6647E">
        <w:rPr>
          <w:rFonts w:ascii="Arial" w:hAnsi="Arial" w:cs="Arial"/>
        </w:rPr>
        <w:t>4</w:t>
      </w:r>
      <w:r w:rsidRPr="00B6647E">
        <w:rPr>
          <w:rFonts w:ascii="Arial" w:hAnsi="Arial" w:cs="Arial"/>
        </w:rPr>
        <w:t> : Production totale d’oléagineux par province et par saison</w:t>
      </w:r>
    </w:p>
    <w:p w:rsidR="00322786" w:rsidRPr="00B6647E" w:rsidRDefault="001F2C2A" w:rsidP="00105E2E">
      <w:pPr>
        <w:spacing w:after="120" w:line="240" w:lineRule="auto"/>
        <w:rPr>
          <w:lang w:eastAsia="fr-FR"/>
        </w:rPr>
      </w:pPr>
      <w:r w:rsidRPr="00B6647E">
        <w:rPr>
          <w:noProof/>
          <w:lang w:val="fr-FR" w:eastAsia="fr-FR"/>
        </w:rPr>
        <w:drawing>
          <wp:inline distT="0" distB="0" distL="0" distR="0">
            <wp:extent cx="4067175" cy="3867150"/>
            <wp:effectExtent l="19050" t="0" r="9525" b="0"/>
            <wp:docPr id="530"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68" cstate="print"/>
                    <a:srcRect/>
                    <a:stretch>
                      <a:fillRect/>
                    </a:stretch>
                  </pic:blipFill>
                  <pic:spPr bwMode="auto">
                    <a:xfrm>
                      <a:off x="0" y="0"/>
                      <a:ext cx="4067175" cy="3867150"/>
                    </a:xfrm>
                    <a:prstGeom prst="rect">
                      <a:avLst/>
                    </a:prstGeom>
                    <a:noFill/>
                    <a:ln w="9525">
                      <a:noFill/>
                      <a:miter lim="800000"/>
                      <a:headEnd/>
                      <a:tailEnd/>
                    </a:ln>
                  </pic:spPr>
                </pic:pic>
              </a:graphicData>
            </a:graphic>
          </wp:inline>
        </w:drawing>
      </w:r>
    </w:p>
    <w:p w:rsidR="00322786" w:rsidRPr="00B6647E" w:rsidRDefault="00D232F7" w:rsidP="00870D25">
      <w:pPr>
        <w:spacing w:after="120" w:line="240" w:lineRule="auto"/>
        <w:jc w:val="both"/>
        <w:rPr>
          <w:rFonts w:ascii="Arial" w:hAnsi="Arial" w:cs="Arial"/>
          <w:sz w:val="20"/>
          <w:szCs w:val="20"/>
          <w:lang w:eastAsia="fr-FR"/>
        </w:rPr>
      </w:pPr>
      <w:r w:rsidRPr="00B6647E">
        <w:rPr>
          <w:rFonts w:ascii="Arial" w:hAnsi="Arial" w:cs="Arial"/>
          <w:sz w:val="20"/>
          <w:szCs w:val="20"/>
          <w:lang w:eastAsia="fr-FR"/>
        </w:rPr>
        <w:t>La production totale d’arachide (9.963 tonnes) a la même structure au niveau des provinces  que l’ensemble des oléagineux dont elle couvre 73,8%.</w:t>
      </w:r>
      <w:r w:rsidR="00870D25">
        <w:rPr>
          <w:rFonts w:ascii="Arial" w:hAnsi="Arial" w:cs="Arial"/>
          <w:sz w:val="20"/>
          <w:szCs w:val="20"/>
          <w:lang w:eastAsia="fr-FR"/>
        </w:rPr>
        <w:t xml:space="preserve"> </w:t>
      </w:r>
      <w:r w:rsidRPr="00B6647E">
        <w:rPr>
          <w:rFonts w:ascii="Arial" w:hAnsi="Arial" w:cs="Arial"/>
          <w:sz w:val="20"/>
          <w:szCs w:val="20"/>
          <w:lang w:eastAsia="fr-FR"/>
        </w:rPr>
        <w:t>Les productions avec les plus grandes productions d’arachides sont : Cankuzo (1.673 tonnes), Gitega (1.850 tonnes), Rutana (1.093 tonnes), Ruyigi (1.101 tonnes).</w:t>
      </w:r>
    </w:p>
    <w:p w:rsidR="00322786" w:rsidRPr="00B6647E" w:rsidRDefault="00322786" w:rsidP="00FD326F">
      <w:pPr>
        <w:pStyle w:val="Lgende"/>
        <w:keepNext/>
        <w:jc w:val="both"/>
        <w:rPr>
          <w:rFonts w:ascii="Arial" w:hAnsi="Arial" w:cs="Arial"/>
        </w:rPr>
      </w:pPr>
      <w:r w:rsidRPr="00B6647E">
        <w:rPr>
          <w:rFonts w:ascii="Arial" w:hAnsi="Arial" w:cs="Arial"/>
        </w:rPr>
        <w:lastRenderedPageBreak/>
        <w:t xml:space="preserve">Tableau </w:t>
      </w:r>
      <w:r w:rsidR="00FD326F" w:rsidRPr="00B6647E">
        <w:rPr>
          <w:rFonts w:ascii="Arial" w:hAnsi="Arial" w:cs="Arial"/>
        </w:rPr>
        <w:t>2</w:t>
      </w:r>
      <w:r w:rsidR="006B398C">
        <w:rPr>
          <w:rFonts w:ascii="Arial" w:hAnsi="Arial" w:cs="Arial"/>
        </w:rPr>
        <w:t>1</w:t>
      </w:r>
      <w:r w:rsidR="00FD326F" w:rsidRPr="00B6647E">
        <w:rPr>
          <w:rFonts w:ascii="Arial" w:hAnsi="Arial" w:cs="Arial"/>
        </w:rPr>
        <w:t>5</w:t>
      </w:r>
      <w:r w:rsidRPr="00B6647E">
        <w:rPr>
          <w:rFonts w:ascii="Arial" w:hAnsi="Arial" w:cs="Arial"/>
        </w:rPr>
        <w:t> : Production totale d’arachide par province et par saison</w:t>
      </w:r>
    </w:p>
    <w:p w:rsidR="00322786" w:rsidRPr="00B6647E" w:rsidRDefault="001F2C2A" w:rsidP="00105E2E">
      <w:pPr>
        <w:spacing w:after="120" w:line="240" w:lineRule="auto"/>
        <w:jc w:val="both"/>
        <w:rPr>
          <w:rFonts w:ascii="Arial" w:hAnsi="Arial" w:cs="Arial"/>
          <w:sz w:val="20"/>
          <w:szCs w:val="20"/>
          <w:lang w:eastAsia="fr-FR"/>
        </w:rPr>
      </w:pPr>
      <w:r w:rsidRPr="00B6647E">
        <w:rPr>
          <w:noProof/>
          <w:szCs w:val="20"/>
          <w:lang w:val="fr-FR" w:eastAsia="fr-FR"/>
        </w:rPr>
        <w:drawing>
          <wp:inline distT="0" distB="0" distL="0" distR="0">
            <wp:extent cx="4067175" cy="3867150"/>
            <wp:effectExtent l="19050" t="0" r="9525" b="0"/>
            <wp:docPr id="531"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69" cstate="print"/>
                    <a:srcRect/>
                    <a:stretch>
                      <a:fillRect/>
                    </a:stretch>
                  </pic:blipFill>
                  <pic:spPr bwMode="auto">
                    <a:xfrm>
                      <a:off x="0" y="0"/>
                      <a:ext cx="4067175" cy="3867150"/>
                    </a:xfrm>
                    <a:prstGeom prst="rect">
                      <a:avLst/>
                    </a:prstGeom>
                    <a:noFill/>
                    <a:ln w="9525">
                      <a:noFill/>
                      <a:miter lim="800000"/>
                      <a:headEnd/>
                      <a:tailEnd/>
                    </a:ln>
                  </pic:spPr>
                </pic:pic>
              </a:graphicData>
            </a:graphic>
          </wp:inline>
        </w:drawing>
      </w:r>
    </w:p>
    <w:p w:rsidR="00322786" w:rsidRPr="00B6647E" w:rsidRDefault="00D232F7" w:rsidP="00105E2E">
      <w:pPr>
        <w:spacing w:after="120" w:line="240" w:lineRule="auto"/>
        <w:jc w:val="both"/>
        <w:rPr>
          <w:rFonts w:ascii="Arial" w:hAnsi="Arial" w:cs="Arial"/>
          <w:sz w:val="20"/>
          <w:szCs w:val="20"/>
          <w:lang w:eastAsia="fr-FR"/>
        </w:rPr>
      </w:pPr>
      <w:r w:rsidRPr="00B6647E">
        <w:rPr>
          <w:rFonts w:ascii="Arial" w:hAnsi="Arial" w:cs="Arial"/>
          <w:sz w:val="20"/>
          <w:szCs w:val="20"/>
          <w:lang w:eastAsia="fr-FR"/>
        </w:rPr>
        <w:t>L</w:t>
      </w:r>
      <w:r w:rsidR="00D04BAA" w:rsidRPr="00B6647E">
        <w:rPr>
          <w:rFonts w:ascii="Arial" w:hAnsi="Arial" w:cs="Arial"/>
          <w:sz w:val="20"/>
          <w:szCs w:val="20"/>
          <w:lang w:eastAsia="fr-FR"/>
        </w:rPr>
        <w:t>a production totale de</w:t>
      </w:r>
      <w:r w:rsidRPr="00B6647E">
        <w:rPr>
          <w:rFonts w:ascii="Arial" w:hAnsi="Arial" w:cs="Arial"/>
          <w:sz w:val="20"/>
          <w:szCs w:val="20"/>
          <w:lang w:eastAsia="fr-FR"/>
        </w:rPr>
        <w:t xml:space="preserve"> soja </w:t>
      </w:r>
      <w:r w:rsidR="00D04BAA" w:rsidRPr="00B6647E">
        <w:rPr>
          <w:rFonts w:ascii="Arial" w:hAnsi="Arial" w:cs="Arial"/>
          <w:sz w:val="20"/>
          <w:szCs w:val="20"/>
          <w:lang w:eastAsia="fr-FR"/>
        </w:rPr>
        <w:t xml:space="preserve">totale de soja (2.075 tonnes) représente 15,4% de la production totale des légumineuses des trois saisons. Elle </w:t>
      </w:r>
      <w:r w:rsidRPr="00B6647E">
        <w:rPr>
          <w:rFonts w:ascii="Arial" w:hAnsi="Arial" w:cs="Arial"/>
          <w:sz w:val="20"/>
          <w:szCs w:val="20"/>
          <w:lang w:eastAsia="fr-FR"/>
        </w:rPr>
        <w:t>a été produit</w:t>
      </w:r>
      <w:r w:rsidR="00D04BAA" w:rsidRPr="00B6647E">
        <w:rPr>
          <w:rFonts w:ascii="Arial" w:hAnsi="Arial" w:cs="Arial"/>
          <w:sz w:val="20"/>
          <w:szCs w:val="20"/>
          <w:lang w:eastAsia="fr-FR"/>
        </w:rPr>
        <w:t>e</w:t>
      </w:r>
      <w:r w:rsidRPr="00B6647E">
        <w:rPr>
          <w:rFonts w:ascii="Arial" w:hAnsi="Arial" w:cs="Arial"/>
          <w:sz w:val="20"/>
          <w:szCs w:val="20"/>
          <w:lang w:eastAsia="fr-FR"/>
        </w:rPr>
        <w:t xml:space="preserve"> pour l’essentiel dans </w:t>
      </w:r>
      <w:r w:rsidR="00D04BAA" w:rsidRPr="00B6647E">
        <w:rPr>
          <w:rFonts w:ascii="Arial" w:hAnsi="Arial" w:cs="Arial"/>
          <w:sz w:val="20"/>
          <w:szCs w:val="20"/>
          <w:lang w:eastAsia="fr-FR"/>
        </w:rPr>
        <w:t>Karuzi (564 tonnes), Bujumbura rural (476 tonnes), Muyinga (383 tonnes), Gitega (133 tonnes) et Bubanza (113 tonnes).</w:t>
      </w:r>
    </w:p>
    <w:p w:rsidR="00322786" w:rsidRPr="00B6647E" w:rsidRDefault="00322786" w:rsidP="00FD326F">
      <w:pPr>
        <w:pStyle w:val="Lgende"/>
        <w:keepNext/>
        <w:jc w:val="both"/>
        <w:rPr>
          <w:rFonts w:ascii="Arial" w:hAnsi="Arial" w:cs="Arial"/>
        </w:rPr>
      </w:pPr>
      <w:r w:rsidRPr="00B6647E">
        <w:rPr>
          <w:rFonts w:ascii="Arial" w:hAnsi="Arial" w:cs="Arial"/>
        </w:rPr>
        <w:t xml:space="preserve">Tableau </w:t>
      </w:r>
      <w:r w:rsidR="00FD326F" w:rsidRPr="00B6647E">
        <w:rPr>
          <w:rFonts w:ascii="Arial" w:hAnsi="Arial" w:cs="Arial"/>
        </w:rPr>
        <w:t>2</w:t>
      </w:r>
      <w:r w:rsidR="006B398C">
        <w:rPr>
          <w:rFonts w:ascii="Arial" w:hAnsi="Arial" w:cs="Arial"/>
        </w:rPr>
        <w:t>1</w:t>
      </w:r>
      <w:r w:rsidR="00FD326F" w:rsidRPr="00B6647E">
        <w:rPr>
          <w:rFonts w:ascii="Arial" w:hAnsi="Arial" w:cs="Arial"/>
        </w:rPr>
        <w:t>6</w:t>
      </w:r>
      <w:r w:rsidRPr="00B6647E">
        <w:rPr>
          <w:rFonts w:ascii="Arial" w:hAnsi="Arial" w:cs="Arial"/>
        </w:rPr>
        <w:t> : Production totale de soja par province et par saison</w:t>
      </w:r>
    </w:p>
    <w:p w:rsidR="00322786" w:rsidRPr="00B6647E" w:rsidRDefault="001F2C2A" w:rsidP="00105E2E">
      <w:pPr>
        <w:spacing w:after="120" w:line="240" w:lineRule="auto"/>
        <w:rPr>
          <w:lang w:eastAsia="fr-FR"/>
        </w:rPr>
      </w:pPr>
      <w:r w:rsidRPr="00B6647E">
        <w:rPr>
          <w:noProof/>
          <w:lang w:val="fr-FR" w:eastAsia="fr-FR"/>
        </w:rPr>
        <w:drawing>
          <wp:inline distT="0" distB="0" distL="0" distR="0">
            <wp:extent cx="4067175" cy="3867150"/>
            <wp:effectExtent l="19050" t="0" r="9525" b="0"/>
            <wp:docPr id="532"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70" cstate="print"/>
                    <a:srcRect/>
                    <a:stretch>
                      <a:fillRect/>
                    </a:stretch>
                  </pic:blipFill>
                  <pic:spPr bwMode="auto">
                    <a:xfrm>
                      <a:off x="0" y="0"/>
                      <a:ext cx="4067175" cy="3867150"/>
                    </a:xfrm>
                    <a:prstGeom prst="rect">
                      <a:avLst/>
                    </a:prstGeom>
                    <a:noFill/>
                    <a:ln w="9525">
                      <a:noFill/>
                      <a:miter lim="800000"/>
                      <a:headEnd/>
                      <a:tailEnd/>
                    </a:ln>
                  </pic:spPr>
                </pic:pic>
              </a:graphicData>
            </a:graphic>
          </wp:inline>
        </w:drawing>
      </w:r>
    </w:p>
    <w:p w:rsidR="00D04BAA" w:rsidRPr="00B6647E" w:rsidRDefault="00D04BAA" w:rsidP="00105E2E">
      <w:pPr>
        <w:spacing w:after="120" w:line="240" w:lineRule="auto"/>
        <w:jc w:val="both"/>
        <w:rPr>
          <w:rFonts w:ascii="Arial" w:hAnsi="Arial" w:cs="Arial"/>
          <w:sz w:val="20"/>
          <w:szCs w:val="20"/>
          <w:lang w:eastAsia="fr-FR"/>
        </w:rPr>
      </w:pPr>
      <w:r w:rsidRPr="00B6647E">
        <w:rPr>
          <w:rFonts w:ascii="Arial" w:hAnsi="Arial" w:cs="Arial"/>
          <w:sz w:val="20"/>
          <w:szCs w:val="20"/>
          <w:lang w:eastAsia="fr-FR"/>
        </w:rPr>
        <w:lastRenderedPageBreak/>
        <w:t>La production totale de tournesol (1.456 tonnes correspondant à 10,8% de la production totale d’oléagineux cumulée des trois saisons de la campagne agricole 2011-2012) a été estimée en grande partie au cours de la saison C (1.077 tonnes) et dans la province de Kirundo (1.134 tonnes).</w:t>
      </w:r>
    </w:p>
    <w:p w:rsidR="00322786" w:rsidRPr="00B6647E" w:rsidRDefault="00322786" w:rsidP="00FD326F">
      <w:pPr>
        <w:pStyle w:val="Lgende"/>
        <w:keepNext/>
        <w:jc w:val="both"/>
        <w:rPr>
          <w:rFonts w:ascii="Arial" w:hAnsi="Arial" w:cs="Arial"/>
        </w:rPr>
      </w:pPr>
      <w:r w:rsidRPr="00B6647E">
        <w:rPr>
          <w:rFonts w:ascii="Arial" w:hAnsi="Arial" w:cs="Arial"/>
        </w:rPr>
        <w:t xml:space="preserve">Tableau </w:t>
      </w:r>
      <w:r w:rsidR="006B398C">
        <w:rPr>
          <w:rFonts w:ascii="Arial" w:hAnsi="Arial" w:cs="Arial"/>
        </w:rPr>
        <w:t>21</w:t>
      </w:r>
      <w:r w:rsidR="00FD326F" w:rsidRPr="00B6647E">
        <w:rPr>
          <w:rFonts w:ascii="Arial" w:hAnsi="Arial" w:cs="Arial"/>
        </w:rPr>
        <w:t>7</w:t>
      </w:r>
      <w:r w:rsidRPr="00B6647E">
        <w:rPr>
          <w:rFonts w:ascii="Arial" w:hAnsi="Arial" w:cs="Arial"/>
        </w:rPr>
        <w:t> : Production totale de tournesol par province et par saison</w:t>
      </w:r>
    </w:p>
    <w:p w:rsidR="000D58AD" w:rsidRPr="00B6647E" w:rsidRDefault="001F2C2A" w:rsidP="00105E2E">
      <w:pPr>
        <w:spacing w:after="120" w:line="240" w:lineRule="auto"/>
        <w:rPr>
          <w:lang w:eastAsia="fr-FR"/>
        </w:rPr>
      </w:pPr>
      <w:r w:rsidRPr="00B6647E">
        <w:rPr>
          <w:noProof/>
          <w:lang w:val="fr-FR" w:eastAsia="fr-FR"/>
        </w:rPr>
        <w:drawing>
          <wp:inline distT="0" distB="0" distL="0" distR="0">
            <wp:extent cx="4067175" cy="3867150"/>
            <wp:effectExtent l="19050" t="0" r="9525" b="0"/>
            <wp:docPr id="533"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71" cstate="print"/>
                    <a:srcRect/>
                    <a:stretch>
                      <a:fillRect/>
                    </a:stretch>
                  </pic:blipFill>
                  <pic:spPr bwMode="auto">
                    <a:xfrm>
                      <a:off x="0" y="0"/>
                      <a:ext cx="4067175" cy="3867150"/>
                    </a:xfrm>
                    <a:prstGeom prst="rect">
                      <a:avLst/>
                    </a:prstGeom>
                    <a:noFill/>
                    <a:ln w="9525">
                      <a:noFill/>
                      <a:miter lim="800000"/>
                      <a:headEnd/>
                      <a:tailEnd/>
                    </a:ln>
                  </pic:spPr>
                </pic:pic>
              </a:graphicData>
            </a:graphic>
          </wp:inline>
        </w:drawing>
      </w:r>
    </w:p>
    <w:p w:rsidR="00740E21" w:rsidRPr="00B6647E" w:rsidRDefault="00740E21" w:rsidP="00105E2E">
      <w:pPr>
        <w:spacing w:after="120" w:line="240" w:lineRule="auto"/>
        <w:rPr>
          <w:rFonts w:ascii="Arial" w:hAnsi="Arial" w:cs="Arial"/>
          <w:b/>
          <w:sz w:val="20"/>
          <w:szCs w:val="20"/>
        </w:rPr>
      </w:pPr>
      <w:r w:rsidRPr="00B6647E">
        <w:rPr>
          <w:rFonts w:ascii="Arial" w:hAnsi="Arial" w:cs="Arial"/>
          <w:b/>
          <w:sz w:val="20"/>
          <w:szCs w:val="20"/>
        </w:rPr>
        <w:t xml:space="preserve">Carte </w:t>
      </w:r>
      <w:r w:rsidR="00613D0F" w:rsidRPr="00B6647E">
        <w:rPr>
          <w:rFonts w:ascii="Arial" w:hAnsi="Arial" w:cs="Arial"/>
          <w:b/>
          <w:sz w:val="20"/>
          <w:szCs w:val="20"/>
        </w:rPr>
        <w:t>16</w:t>
      </w:r>
      <w:r w:rsidRPr="00B6647E">
        <w:rPr>
          <w:rFonts w:ascii="Arial" w:hAnsi="Arial" w:cs="Arial"/>
          <w:b/>
          <w:sz w:val="20"/>
          <w:szCs w:val="20"/>
        </w:rPr>
        <w:t> : Production totale d’oléagineux par province</w:t>
      </w:r>
    </w:p>
    <w:p w:rsidR="00740E21" w:rsidRPr="00B6647E" w:rsidRDefault="00FD7F7F" w:rsidP="00105E2E">
      <w:pPr>
        <w:spacing w:after="120" w:line="240" w:lineRule="auto"/>
        <w:rPr>
          <w:rFonts w:ascii="Arial" w:hAnsi="Arial" w:cs="Arial"/>
          <w:sz w:val="20"/>
          <w:szCs w:val="20"/>
        </w:rPr>
      </w:pPr>
      <w:r w:rsidRPr="00B6647E">
        <w:rPr>
          <w:rFonts w:ascii="Arial" w:hAnsi="Arial" w:cs="Arial"/>
          <w:noProof/>
          <w:sz w:val="20"/>
          <w:szCs w:val="20"/>
          <w:lang w:val="fr-FR" w:eastAsia="fr-FR"/>
        </w:rPr>
        <w:drawing>
          <wp:inline distT="0" distB="0" distL="0" distR="0">
            <wp:extent cx="5658736" cy="3989461"/>
            <wp:effectExtent l="19050" t="0" r="0" b="0"/>
            <wp:docPr id="36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2" cstate="print"/>
                    <a:srcRect l="5152" t="5399" r="5274" b="5399"/>
                    <a:stretch>
                      <a:fillRect/>
                    </a:stretch>
                  </pic:blipFill>
                  <pic:spPr bwMode="auto">
                    <a:xfrm>
                      <a:off x="0" y="0"/>
                      <a:ext cx="5675593" cy="4001345"/>
                    </a:xfrm>
                    <a:prstGeom prst="rect">
                      <a:avLst/>
                    </a:prstGeom>
                    <a:noFill/>
                    <a:ln w="9525">
                      <a:noFill/>
                      <a:miter lim="800000"/>
                      <a:headEnd/>
                      <a:tailEnd/>
                    </a:ln>
                  </pic:spPr>
                </pic:pic>
              </a:graphicData>
            </a:graphic>
          </wp:inline>
        </w:drawing>
      </w:r>
    </w:p>
    <w:p w:rsidR="001A3AEF" w:rsidRPr="00B6647E" w:rsidRDefault="00E272D4" w:rsidP="00E51ED6">
      <w:pPr>
        <w:pStyle w:val="Titre1"/>
        <w:keepNext w:val="0"/>
        <w:numPr>
          <w:ilvl w:val="0"/>
          <w:numId w:val="1"/>
        </w:numPr>
        <w:tabs>
          <w:tab w:val="num" w:pos="432"/>
        </w:tabs>
        <w:ind w:left="432" w:hanging="432"/>
        <w:rPr>
          <w:rFonts w:cs="Arial"/>
          <w:color w:val="365F91"/>
        </w:rPr>
      </w:pPr>
      <w:bookmarkStart w:id="248" w:name="_Toc354313895"/>
      <w:r w:rsidRPr="00B6647E">
        <w:rPr>
          <w:rFonts w:cs="Arial"/>
          <w:color w:val="365F91"/>
        </w:rPr>
        <w:lastRenderedPageBreak/>
        <w:t>Cheptel</w:t>
      </w:r>
      <w:r w:rsidR="000552AE" w:rsidRPr="00B6647E">
        <w:rPr>
          <w:rFonts w:cs="Arial"/>
          <w:color w:val="365F91"/>
        </w:rPr>
        <w:t xml:space="preserve"> </w:t>
      </w:r>
      <w:r w:rsidRPr="00B6647E">
        <w:rPr>
          <w:rFonts w:cs="Arial"/>
          <w:color w:val="365F91"/>
        </w:rPr>
        <w:t>rattaché aux ménages agr</w:t>
      </w:r>
      <w:r w:rsidR="001A56B0" w:rsidRPr="00B6647E">
        <w:rPr>
          <w:rFonts w:cs="Arial"/>
          <w:color w:val="365F91"/>
        </w:rPr>
        <w:t>icoles</w:t>
      </w:r>
      <w:bookmarkEnd w:id="248"/>
    </w:p>
    <w:p w:rsidR="001A3AEF" w:rsidRPr="00B6647E" w:rsidRDefault="00DF50D8" w:rsidP="00E51ED6">
      <w:pPr>
        <w:spacing w:after="0" w:line="240" w:lineRule="auto"/>
        <w:rPr>
          <w:rFonts w:ascii="Arial" w:hAnsi="Arial" w:cs="Arial"/>
          <w:sz w:val="20"/>
          <w:szCs w:val="20"/>
        </w:rPr>
      </w:pPr>
      <w:r w:rsidRPr="00DF50D8">
        <w:rPr>
          <w:rFonts w:ascii="Arial" w:hAnsi="Arial" w:cs="Arial"/>
          <w:noProof/>
        </w:rPr>
        <w:pict>
          <v:shape id="_x0000_s1036" type="#_x0000_t32" style="position:absolute;margin-left:1.15pt;margin-top:4.8pt;width:453.55pt;height:0;z-index:25168076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4ufrAIAAJcFAAAOAAAAZHJzL2Uyb0RvYy54bWysVE2PmzAQvVfqf7B8Z4FACEFLVlkCvWzb&#10;lXarnh1sglWwke18rKr+945NQjfbS1UtB+SPmTdvZt749u7Ud+jAlOZS5Di8CTBiopaUi12Ovz1X&#10;XoqRNkRQ0knBcvzCNL5bffxwexwyNpOt7ChTCECEzo5Djltjhsz3dd2ynugbOTABl41UPTGwVTuf&#10;KnIE9L7zZ0GQ+Eep6KBkzbSG0814iVcOv2lYbb42jWYGdTkGbsb9lftv7d9f3ZJsp8jQ8vpMg/wH&#10;i55wAUEnqA0xBO0V/wuq57WSWjbmppa9L5uG18zlANmEwZtsnloyMJcLFEcPU5n0+8HWXw6PCnGa&#10;42WCkSA99Gi9N9KFRjNbn+OgMzArxKOyGdYn8TQ8yPqHRkIWLRE75oyfXwbwDa2Hf+ViN3qAKNvj&#10;Z0nBhgC+K9apUb2FhDKgk+vJy9QTdjKohsP5IgmCdI5RfbnzSXZxHJQ2n5jskV3kWBtF+K41hRQC&#10;Oi9V6MKQw4M2lhbJLg42qpAV7zongE6gY46jNAwC56Flx6m9tXZa7bZFp9CBgIaiZF4txyTh5rWZ&#10;kntBHVrLCC3Pa0N4N64heicsHnOyHCnB7mRg6c4hYyeZn8tgWaZlGnvxLCm9ONhsvHVVxF5ShYv5&#10;JtoUxSb8ZYmGcdZySpmwXC/yDeN/k8d5kEbhTQKequJfo7vyAdlrputqHiziKPUWi3nkxVEZePdp&#10;VXjrIkySRXlf3JdvmJYue/0+ZKdSWlZyb5h6aukRUW7VMEujJbw+lMO4R2mQBMsFRqTbwTtVG4WR&#10;kuY7N60Tr5Wdxbjq9SyOqmQ8J93QklEB8wA+p/LJ3NVmCj9W6tJku5vadE7+Ty1BFBcBuKGxczJO&#10;3FbSl0d1GSaYfud0fqns8/J6D+vX7+nqNwAAAP//AwBQSwMEFAAGAAgAAAAhABLqZCjcAAAABQEA&#10;AA8AAABkcnMvZG93bnJldi54bWxMjlFLwzAUhd+F/YdwB76ISzdLWWvTMRRxDBGs/oC0uTbF5qY0&#10;Wdv564170cfDOXzny3ez6diIg2stCVivImBItVUtNQI+3p9ut8Ccl6RkZwkFnNHBrlhc5TJTdqI3&#10;HEvfsAAhl0kB2vs+49zVGo10K9sjhe7TDkb6EIeGq0FOAW46vomihBvZUnjQsscHjfVXeTICpjE5&#10;vtxs+fx9fC3PTRUfHvVzLMT1ct7fA/M4+78x/OoHdSiCU2VPpBzrBGzuwlBAmgALbRqlMbDqknmR&#10;8//2xQ8AAAD//wMAUEsBAi0AFAAGAAgAAAAhALaDOJL+AAAA4QEAABMAAAAAAAAAAAAAAAAAAAAA&#10;AFtDb250ZW50X1R5cGVzXS54bWxQSwECLQAUAAYACAAAACEAOP0h/9YAAACUAQAACwAAAAAAAAAA&#10;AAAAAAAvAQAAX3JlbHMvLnJlbHNQSwECLQAUAAYACAAAACEAJvOLn6wCAACXBQAADgAAAAAAAAAA&#10;AAAAAAAuAgAAZHJzL2Uyb0RvYy54bWxQSwECLQAUAAYACAAAACEAEupkKNwAAAAFAQAADwAAAAAA&#10;AAAAAAAAAAAGBQAAZHJzL2Rvd25yZXYueG1sUEsFBgAAAAAEAAQA8wAAAA8GAAAAAA==&#10;" strokecolor="#365f91" strokeweight="3pt">
            <v:shadow color="#243f60" opacity=".5" offset="1pt"/>
          </v:shape>
        </w:pict>
      </w:r>
    </w:p>
    <w:p w:rsidR="006F3A12" w:rsidRPr="00B6647E" w:rsidRDefault="00E272D4" w:rsidP="00B71798">
      <w:pPr>
        <w:pStyle w:val="Titre2"/>
        <w:keepNext w:val="0"/>
        <w:numPr>
          <w:ilvl w:val="1"/>
          <w:numId w:val="1"/>
        </w:numPr>
        <w:spacing w:before="240" w:after="200"/>
        <w:ind w:left="0" w:firstLine="0"/>
        <w:rPr>
          <w:rFonts w:cs="Arial"/>
          <w:u w:val="dotDash"/>
        </w:rPr>
      </w:pPr>
      <w:bookmarkStart w:id="249" w:name="_Toc336692148"/>
      <w:bookmarkStart w:id="250" w:name="_Toc354313896"/>
      <w:r w:rsidRPr="00B6647E">
        <w:rPr>
          <w:rFonts w:cs="Arial"/>
          <w:u w:val="dotDash"/>
        </w:rPr>
        <w:t>E</w:t>
      </w:r>
      <w:r w:rsidR="00975098" w:rsidRPr="00B6647E">
        <w:rPr>
          <w:rFonts w:cs="Arial"/>
          <w:u w:val="dotDash"/>
        </w:rPr>
        <w:t>stimation du cheptel en unité de bétail tropical (UBT)</w:t>
      </w:r>
      <w:bookmarkEnd w:id="249"/>
      <w:bookmarkEnd w:id="250"/>
    </w:p>
    <w:p w:rsidR="006F3A12" w:rsidRPr="00B6647E" w:rsidRDefault="006F3A12" w:rsidP="00E51ED6">
      <w:pPr>
        <w:spacing w:line="240" w:lineRule="auto"/>
        <w:jc w:val="both"/>
        <w:rPr>
          <w:rFonts w:ascii="Arial" w:hAnsi="Arial" w:cs="Arial"/>
          <w:sz w:val="20"/>
          <w:szCs w:val="20"/>
        </w:rPr>
      </w:pPr>
      <w:r w:rsidRPr="00B6647E">
        <w:rPr>
          <w:rFonts w:ascii="Arial" w:hAnsi="Arial" w:cs="Arial"/>
          <w:sz w:val="20"/>
          <w:szCs w:val="20"/>
        </w:rPr>
        <w:t xml:space="preserve">La fiche sur le cheptel n’a été est administrée que pendant la saison B. C’est l’exploitation de cette fiche qui a donné les résultats suivants relatifs à l’élevage rattaché aux ménages agricoles. </w:t>
      </w:r>
    </w:p>
    <w:p w:rsidR="006F3A12" w:rsidRPr="00B6647E" w:rsidRDefault="006F3A12" w:rsidP="00E51ED6">
      <w:pPr>
        <w:spacing w:line="240" w:lineRule="auto"/>
        <w:jc w:val="both"/>
        <w:rPr>
          <w:rFonts w:ascii="Arial" w:hAnsi="Arial" w:cs="Arial"/>
          <w:sz w:val="20"/>
          <w:szCs w:val="20"/>
        </w:rPr>
      </w:pPr>
      <w:r w:rsidRPr="00B6647E">
        <w:rPr>
          <w:rFonts w:ascii="Arial" w:hAnsi="Arial" w:cs="Arial"/>
          <w:sz w:val="20"/>
          <w:szCs w:val="20"/>
        </w:rPr>
        <w:t>Au niveau national, le cheptel rattaché aux ménages agricoles a été estimé à 609.430 bovins, 2.489.293 caprins, 440.437 ovins, 404.315 porcins, 463.787 lapins, 1.170.255 cobayes, 2.448.604 volailles totalisant 820.850 UBT</w:t>
      </w:r>
      <w:r w:rsidRPr="00B6647E">
        <w:rPr>
          <w:rStyle w:val="Appelnotedebasdep"/>
          <w:rFonts w:ascii="Arial" w:hAnsi="Arial" w:cs="Arial"/>
          <w:sz w:val="20"/>
          <w:szCs w:val="20"/>
        </w:rPr>
        <w:footnoteReference w:id="40"/>
      </w:r>
      <w:r w:rsidRPr="00B6647E">
        <w:rPr>
          <w:rFonts w:ascii="Arial" w:hAnsi="Arial" w:cs="Arial"/>
          <w:sz w:val="20"/>
          <w:szCs w:val="20"/>
        </w:rPr>
        <w:t xml:space="preserve">, (52% de bovins, 30,3% de caprins, 9,8% de porcins, 5,4% d’ovins, 1,5% de volaille, 0,7% de cobayes et 0,3% de lapins), soit 0,53 UBT en moyenne par ménage pour l’ensemble du pays. </w:t>
      </w:r>
    </w:p>
    <w:p w:rsidR="006F3A12" w:rsidRPr="00B6647E" w:rsidRDefault="006F3A12" w:rsidP="00E51ED6">
      <w:pPr>
        <w:spacing w:line="240" w:lineRule="auto"/>
        <w:jc w:val="both"/>
        <w:rPr>
          <w:rFonts w:ascii="Arial" w:hAnsi="Arial" w:cs="Arial"/>
          <w:sz w:val="20"/>
          <w:szCs w:val="20"/>
        </w:rPr>
      </w:pPr>
      <w:r w:rsidRPr="00B6647E">
        <w:rPr>
          <w:rFonts w:ascii="Arial" w:hAnsi="Arial" w:cs="Arial"/>
          <w:sz w:val="20"/>
          <w:szCs w:val="20"/>
        </w:rPr>
        <w:t>Au niveau des provinces, cette moyenne varie de 0,3 UBT (Cibitoke) à 0,93 UBT (Mwaro). Globalement, on note que la moitié des provinces a des moyennes supérieures ou égales à cette moyenne nationale</w:t>
      </w:r>
    </w:p>
    <w:p w:rsidR="006F3A12" w:rsidRPr="00B6647E" w:rsidRDefault="006F5A28" w:rsidP="00E51ED6">
      <w:pPr>
        <w:spacing w:line="240" w:lineRule="auto"/>
        <w:jc w:val="both"/>
        <w:rPr>
          <w:rFonts w:ascii="Arial" w:hAnsi="Arial" w:cs="Arial"/>
          <w:b/>
          <w:sz w:val="20"/>
          <w:szCs w:val="20"/>
        </w:rPr>
      </w:pPr>
      <w:r w:rsidRPr="00B6647E">
        <w:rPr>
          <w:rFonts w:ascii="Arial" w:hAnsi="Arial" w:cs="Arial"/>
          <w:b/>
          <w:sz w:val="20"/>
          <w:szCs w:val="20"/>
        </w:rPr>
        <w:t>Graphique 2</w:t>
      </w:r>
      <w:r w:rsidR="002B03F3">
        <w:rPr>
          <w:rFonts w:ascii="Arial" w:hAnsi="Arial" w:cs="Arial"/>
          <w:b/>
          <w:sz w:val="20"/>
          <w:szCs w:val="20"/>
        </w:rPr>
        <w:t>4</w:t>
      </w:r>
      <w:r w:rsidR="006F3A12" w:rsidRPr="00B6647E">
        <w:rPr>
          <w:rFonts w:ascii="Arial" w:hAnsi="Arial" w:cs="Arial"/>
          <w:b/>
          <w:sz w:val="20"/>
          <w:szCs w:val="20"/>
        </w:rPr>
        <w:t> : Nombre moyen d’UBT par ménage selon la province</w:t>
      </w:r>
    </w:p>
    <w:p w:rsidR="006F3A12" w:rsidRPr="00B6647E" w:rsidRDefault="006F3A12" w:rsidP="00E51ED6">
      <w:pPr>
        <w:spacing w:line="240" w:lineRule="auto"/>
        <w:jc w:val="both"/>
        <w:rPr>
          <w:rFonts w:ascii="Arial" w:hAnsi="Arial" w:cs="Arial"/>
          <w:sz w:val="20"/>
          <w:szCs w:val="20"/>
        </w:rPr>
      </w:pPr>
    </w:p>
    <w:p w:rsidR="006F3A12" w:rsidRPr="00B6647E" w:rsidRDefault="006F3A12" w:rsidP="00E51ED6">
      <w:pPr>
        <w:spacing w:line="240" w:lineRule="auto"/>
        <w:jc w:val="both"/>
        <w:rPr>
          <w:rFonts w:ascii="Arial" w:hAnsi="Arial" w:cs="Arial"/>
          <w:sz w:val="20"/>
          <w:szCs w:val="20"/>
        </w:rPr>
      </w:pPr>
      <w:r w:rsidRPr="00B6647E">
        <w:rPr>
          <w:rFonts w:ascii="Arial" w:hAnsi="Arial" w:cs="Arial"/>
          <w:noProof/>
          <w:sz w:val="20"/>
          <w:szCs w:val="20"/>
          <w:lang w:val="fr-FR" w:eastAsia="fr-FR"/>
        </w:rPr>
        <w:drawing>
          <wp:inline distT="0" distB="0" distL="0" distR="0">
            <wp:extent cx="5715000" cy="3479653"/>
            <wp:effectExtent l="1905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3" cstate="print"/>
                    <a:srcRect/>
                    <a:stretch>
                      <a:fillRect/>
                    </a:stretch>
                  </pic:blipFill>
                  <pic:spPr bwMode="auto">
                    <a:xfrm>
                      <a:off x="0" y="0"/>
                      <a:ext cx="5715000" cy="3479653"/>
                    </a:xfrm>
                    <a:prstGeom prst="rect">
                      <a:avLst/>
                    </a:prstGeom>
                    <a:noFill/>
                    <a:ln w="9525">
                      <a:noFill/>
                      <a:miter lim="800000"/>
                      <a:headEnd/>
                      <a:tailEnd/>
                    </a:ln>
                  </pic:spPr>
                </pic:pic>
              </a:graphicData>
            </a:graphic>
          </wp:inline>
        </w:drawing>
      </w:r>
    </w:p>
    <w:p w:rsidR="006F3A12" w:rsidRPr="00B6647E" w:rsidRDefault="006F3A12" w:rsidP="00E51ED6">
      <w:pPr>
        <w:spacing w:line="240" w:lineRule="auto"/>
        <w:jc w:val="both"/>
        <w:rPr>
          <w:rFonts w:ascii="Arial" w:hAnsi="Arial" w:cs="Arial"/>
          <w:sz w:val="20"/>
          <w:szCs w:val="20"/>
        </w:rPr>
      </w:pPr>
      <w:r w:rsidRPr="00B6647E">
        <w:rPr>
          <w:rFonts w:ascii="Arial" w:hAnsi="Arial" w:cs="Arial"/>
          <w:sz w:val="20"/>
          <w:szCs w:val="20"/>
        </w:rPr>
        <w:t xml:space="preserve">La carte ci-dessous montre que les provinces de Bururi (89.257 UBT), de Gitega (74.706 UBT), de Ngozi (67.258 UBT) et Bujumbura rural (60.206 UBT) ont les volumes de cheptel les plus élevés. Il y a cinq provinces (Kayanza, Kirundo, Muramvya, Mwaro et Ruyigi) qui ont entre 50.000 et 60.000 UBT et six </w:t>
      </w:r>
      <w:r w:rsidR="00BA1D5C" w:rsidRPr="00B6647E">
        <w:rPr>
          <w:rFonts w:ascii="Arial" w:hAnsi="Arial" w:cs="Arial"/>
          <w:sz w:val="20"/>
          <w:szCs w:val="20"/>
        </w:rPr>
        <w:t>provinces</w:t>
      </w:r>
      <w:r w:rsidRPr="00B6647E">
        <w:rPr>
          <w:rFonts w:ascii="Arial" w:hAnsi="Arial" w:cs="Arial"/>
          <w:sz w:val="20"/>
          <w:szCs w:val="20"/>
        </w:rPr>
        <w:t xml:space="preserve"> (Cankuzo, Bubanza, Cibitoke, Karuzi, Makamba, Muyinga et Rutana) ont un volume de cheptel compris entre 24.000 et 50.000 UBT.</w:t>
      </w:r>
    </w:p>
    <w:p w:rsidR="006F3A12" w:rsidRPr="00B6647E" w:rsidRDefault="006F3A12" w:rsidP="00E51ED6">
      <w:pPr>
        <w:spacing w:line="240" w:lineRule="auto"/>
        <w:jc w:val="both"/>
        <w:rPr>
          <w:rFonts w:ascii="Arial" w:hAnsi="Arial" w:cs="Arial"/>
          <w:sz w:val="20"/>
          <w:szCs w:val="20"/>
        </w:rPr>
      </w:pPr>
    </w:p>
    <w:p w:rsidR="006F3A12" w:rsidRPr="00B6647E" w:rsidRDefault="006F3A12" w:rsidP="00E51ED6">
      <w:pPr>
        <w:keepNext/>
        <w:spacing w:line="240" w:lineRule="auto"/>
        <w:jc w:val="both"/>
        <w:rPr>
          <w:rFonts w:ascii="Arial" w:hAnsi="Arial" w:cs="Arial"/>
          <w:b/>
          <w:sz w:val="20"/>
          <w:szCs w:val="20"/>
        </w:rPr>
      </w:pPr>
      <w:r w:rsidRPr="00B6647E">
        <w:rPr>
          <w:rFonts w:ascii="Arial" w:hAnsi="Arial" w:cs="Arial"/>
          <w:b/>
          <w:sz w:val="20"/>
          <w:szCs w:val="20"/>
        </w:rPr>
        <w:lastRenderedPageBreak/>
        <w:t>Carte 1</w:t>
      </w:r>
      <w:r w:rsidR="00613D0F" w:rsidRPr="00B6647E">
        <w:rPr>
          <w:rFonts w:ascii="Arial" w:hAnsi="Arial" w:cs="Arial"/>
          <w:b/>
          <w:sz w:val="20"/>
          <w:szCs w:val="20"/>
        </w:rPr>
        <w:t>7</w:t>
      </w:r>
      <w:r w:rsidRPr="00B6647E">
        <w:rPr>
          <w:rFonts w:ascii="Arial" w:hAnsi="Arial" w:cs="Arial"/>
          <w:b/>
          <w:sz w:val="20"/>
          <w:szCs w:val="20"/>
        </w:rPr>
        <w:t> : Réparation par province du cheptel en UBT</w:t>
      </w:r>
    </w:p>
    <w:p w:rsidR="006F3A12" w:rsidRPr="00B6647E" w:rsidRDefault="006F3A12" w:rsidP="00E51ED6">
      <w:pPr>
        <w:keepNext/>
        <w:spacing w:line="240" w:lineRule="auto"/>
        <w:jc w:val="both"/>
        <w:rPr>
          <w:rFonts w:ascii="Arial" w:hAnsi="Arial" w:cs="Arial"/>
          <w:sz w:val="20"/>
          <w:szCs w:val="20"/>
        </w:rPr>
      </w:pPr>
    </w:p>
    <w:p w:rsidR="006F3A12" w:rsidRPr="00B6647E" w:rsidRDefault="00F32697" w:rsidP="00E51ED6">
      <w:pPr>
        <w:keepNext/>
        <w:spacing w:line="240" w:lineRule="auto"/>
        <w:jc w:val="both"/>
        <w:rPr>
          <w:rFonts w:ascii="Arial" w:hAnsi="Arial" w:cs="Arial"/>
          <w:sz w:val="20"/>
          <w:szCs w:val="20"/>
        </w:rPr>
      </w:pPr>
      <w:r w:rsidRPr="00B6647E">
        <w:rPr>
          <w:rFonts w:ascii="Arial" w:hAnsi="Arial" w:cs="Arial"/>
          <w:noProof/>
          <w:sz w:val="20"/>
          <w:szCs w:val="20"/>
          <w:lang w:val="fr-FR" w:eastAsia="fr-FR"/>
        </w:rPr>
        <w:drawing>
          <wp:inline distT="0" distB="0" distL="0" distR="0">
            <wp:extent cx="5795388" cy="4104168"/>
            <wp:effectExtent l="19050" t="0" r="0" b="0"/>
            <wp:docPr id="368"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4" cstate="print"/>
                    <a:srcRect l="5318" t="5164" r="5274" b="5399"/>
                    <a:stretch>
                      <a:fillRect/>
                    </a:stretch>
                  </pic:blipFill>
                  <pic:spPr bwMode="auto">
                    <a:xfrm>
                      <a:off x="0" y="0"/>
                      <a:ext cx="5800698" cy="4107928"/>
                    </a:xfrm>
                    <a:prstGeom prst="rect">
                      <a:avLst/>
                    </a:prstGeom>
                    <a:noFill/>
                    <a:ln w="9525">
                      <a:noFill/>
                      <a:miter lim="800000"/>
                      <a:headEnd/>
                      <a:tailEnd/>
                    </a:ln>
                  </pic:spPr>
                </pic:pic>
              </a:graphicData>
            </a:graphic>
          </wp:inline>
        </w:drawing>
      </w:r>
    </w:p>
    <w:p w:rsidR="00975098" w:rsidRPr="00B6647E" w:rsidRDefault="00975098" w:rsidP="00BA1D5C">
      <w:pPr>
        <w:pStyle w:val="Titre2"/>
        <w:keepNext w:val="0"/>
        <w:numPr>
          <w:ilvl w:val="1"/>
          <w:numId w:val="1"/>
        </w:numPr>
        <w:spacing w:before="240" w:after="200"/>
        <w:ind w:left="0" w:firstLine="0"/>
        <w:rPr>
          <w:rFonts w:cs="Arial"/>
          <w:u w:val="dotDash"/>
        </w:rPr>
      </w:pPr>
      <w:bookmarkStart w:id="251" w:name="_Toc354313897"/>
      <w:r w:rsidRPr="00B6647E">
        <w:rPr>
          <w:rFonts w:cs="Arial"/>
          <w:u w:val="dotDash"/>
        </w:rPr>
        <w:t>Effectif du cheptel par espèce</w:t>
      </w:r>
      <w:bookmarkEnd w:id="251"/>
    </w:p>
    <w:p w:rsidR="006F3A12" w:rsidRPr="00B6647E" w:rsidRDefault="006F3A12" w:rsidP="00E51ED6">
      <w:pPr>
        <w:spacing w:line="240" w:lineRule="auto"/>
        <w:jc w:val="both"/>
        <w:rPr>
          <w:rFonts w:ascii="Arial" w:hAnsi="Arial" w:cs="Arial"/>
          <w:sz w:val="20"/>
          <w:szCs w:val="20"/>
        </w:rPr>
      </w:pPr>
      <w:r w:rsidRPr="00B6647E">
        <w:rPr>
          <w:rFonts w:ascii="Arial" w:hAnsi="Arial" w:cs="Arial"/>
          <w:sz w:val="20"/>
          <w:szCs w:val="20"/>
        </w:rPr>
        <w:t>Les effectifs du cheptel sont inégalement répartis selon les provinces et les régions naturelles.</w:t>
      </w:r>
    </w:p>
    <w:p w:rsidR="006F3A12" w:rsidRPr="00B6647E" w:rsidRDefault="006F3A12" w:rsidP="00E51ED6">
      <w:pPr>
        <w:spacing w:line="240" w:lineRule="auto"/>
        <w:jc w:val="both"/>
        <w:rPr>
          <w:rFonts w:ascii="Arial" w:hAnsi="Arial" w:cs="Arial"/>
          <w:sz w:val="20"/>
          <w:szCs w:val="20"/>
        </w:rPr>
      </w:pPr>
      <w:r w:rsidRPr="00B6647E">
        <w:rPr>
          <w:rFonts w:ascii="Arial" w:hAnsi="Arial" w:cs="Arial"/>
          <w:sz w:val="20"/>
          <w:szCs w:val="20"/>
        </w:rPr>
        <w:t>Dans les régions naturelles, Mugamba a l’effectif le plus élevé des bovins (145.040 têtes) et des ovins (93.228 têtes), A Kirimiro on a relevé le plus grand nombre de caprins (444.769 têtes), de porcins (97.762 têtes) et de cobayes (326.657 têtes), A Bugesera il s’agit des lapins (125.101 têtes) et à Imbo de la volaille (418.163 têtes).</w:t>
      </w:r>
    </w:p>
    <w:p w:rsidR="006F3A12" w:rsidRPr="00B6647E" w:rsidRDefault="006F3A12" w:rsidP="00E51ED6">
      <w:pPr>
        <w:keepNext/>
        <w:spacing w:line="240" w:lineRule="auto"/>
        <w:rPr>
          <w:rFonts w:ascii="Arial" w:hAnsi="Arial" w:cs="Arial"/>
          <w:b/>
          <w:sz w:val="20"/>
          <w:szCs w:val="20"/>
        </w:rPr>
      </w:pPr>
      <w:r w:rsidRPr="00B6647E">
        <w:rPr>
          <w:rFonts w:ascii="Arial" w:hAnsi="Arial" w:cs="Arial"/>
          <w:b/>
          <w:sz w:val="20"/>
          <w:szCs w:val="20"/>
        </w:rPr>
        <w:t xml:space="preserve">Tableau </w:t>
      </w:r>
      <w:r w:rsidR="00D77BAF">
        <w:rPr>
          <w:rFonts w:ascii="Arial" w:hAnsi="Arial" w:cs="Arial"/>
          <w:b/>
          <w:sz w:val="20"/>
          <w:szCs w:val="20"/>
        </w:rPr>
        <w:t>21</w:t>
      </w:r>
      <w:r w:rsidR="000463C6" w:rsidRPr="00B6647E">
        <w:rPr>
          <w:rFonts w:ascii="Arial" w:hAnsi="Arial" w:cs="Arial"/>
          <w:b/>
          <w:sz w:val="20"/>
          <w:szCs w:val="20"/>
        </w:rPr>
        <w:t>8 :</w:t>
      </w:r>
      <w:r w:rsidRPr="00B6647E">
        <w:rPr>
          <w:rFonts w:ascii="Arial" w:hAnsi="Arial" w:cs="Arial"/>
          <w:b/>
          <w:sz w:val="20"/>
          <w:szCs w:val="20"/>
        </w:rPr>
        <w:t xml:space="preserve"> Répartition du cheptel par région naturelle selon l’espèce</w:t>
      </w:r>
    </w:p>
    <w:p w:rsidR="006F3A12" w:rsidRPr="00B6647E" w:rsidRDefault="006F3A12" w:rsidP="00E51ED6">
      <w:pPr>
        <w:keepNext/>
        <w:spacing w:line="240" w:lineRule="auto"/>
        <w:rPr>
          <w:rFonts w:ascii="Arial" w:hAnsi="Arial" w:cs="Arial"/>
          <w:sz w:val="20"/>
          <w:szCs w:val="20"/>
          <w:u w:val="dotDash"/>
        </w:rPr>
      </w:pPr>
      <w:r w:rsidRPr="00B6647E">
        <w:rPr>
          <w:rFonts w:ascii="Arial" w:hAnsi="Arial" w:cs="Arial"/>
          <w:noProof/>
          <w:szCs w:val="20"/>
          <w:lang w:val="fr-FR" w:eastAsia="fr-FR"/>
        </w:rPr>
        <w:drawing>
          <wp:inline distT="0" distB="0" distL="0" distR="0">
            <wp:extent cx="5951846" cy="2047812"/>
            <wp:effectExtent l="19050" t="0" r="0" b="0"/>
            <wp:docPr id="14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5" cstate="print"/>
                    <a:srcRect/>
                    <a:stretch>
                      <a:fillRect/>
                    </a:stretch>
                  </pic:blipFill>
                  <pic:spPr bwMode="auto">
                    <a:xfrm>
                      <a:off x="0" y="0"/>
                      <a:ext cx="5972044" cy="2054761"/>
                    </a:xfrm>
                    <a:prstGeom prst="rect">
                      <a:avLst/>
                    </a:prstGeom>
                    <a:noFill/>
                    <a:ln w="9525">
                      <a:noFill/>
                      <a:miter lim="800000"/>
                      <a:headEnd/>
                      <a:tailEnd/>
                    </a:ln>
                  </pic:spPr>
                </pic:pic>
              </a:graphicData>
            </a:graphic>
          </wp:inline>
        </w:drawing>
      </w:r>
    </w:p>
    <w:p w:rsidR="006F3A12" w:rsidRPr="00B6647E" w:rsidRDefault="006F3A12" w:rsidP="00E51ED6">
      <w:pPr>
        <w:spacing w:line="240" w:lineRule="auto"/>
        <w:jc w:val="both"/>
        <w:rPr>
          <w:rFonts w:ascii="Arial" w:hAnsi="Arial" w:cs="Arial"/>
          <w:sz w:val="20"/>
          <w:szCs w:val="20"/>
        </w:rPr>
      </w:pPr>
      <w:r w:rsidRPr="00B6647E">
        <w:rPr>
          <w:rFonts w:ascii="Arial" w:hAnsi="Arial" w:cs="Arial"/>
          <w:sz w:val="20"/>
          <w:szCs w:val="20"/>
        </w:rPr>
        <w:t xml:space="preserve">Au niveau des provinces, les plus grands effectifs selon l’espèce ont été estimés dans Bururi pour les bovins (91.414 têtes), à Kirundo pour les caprins (284.695 têtes), les lapins (135.311 têtes) et les </w:t>
      </w:r>
      <w:r w:rsidRPr="00B6647E">
        <w:rPr>
          <w:rFonts w:ascii="Arial" w:hAnsi="Arial" w:cs="Arial"/>
          <w:sz w:val="20"/>
          <w:szCs w:val="20"/>
        </w:rPr>
        <w:lastRenderedPageBreak/>
        <w:t>cobayes (159.626 têtes), à Bujumbura rural pour les ovins (72.794 têtes), à Gitega pour les porcins (63.284 têtes), et à Makamba pour la volaille (290.432 têtes).</w:t>
      </w:r>
    </w:p>
    <w:p w:rsidR="006F3A12" w:rsidRPr="00B6647E" w:rsidRDefault="006F3A12" w:rsidP="00E51ED6">
      <w:pPr>
        <w:spacing w:line="240" w:lineRule="auto"/>
        <w:rPr>
          <w:rFonts w:ascii="Arial" w:hAnsi="Arial" w:cs="Arial"/>
          <w:sz w:val="20"/>
          <w:szCs w:val="20"/>
        </w:rPr>
      </w:pPr>
    </w:p>
    <w:p w:rsidR="006F3A12" w:rsidRPr="00B6647E" w:rsidRDefault="006F3A12" w:rsidP="00E51ED6">
      <w:pPr>
        <w:keepNext/>
        <w:spacing w:line="240" w:lineRule="auto"/>
        <w:rPr>
          <w:rFonts w:ascii="Arial" w:hAnsi="Arial" w:cs="Arial"/>
          <w:b/>
          <w:sz w:val="20"/>
          <w:szCs w:val="20"/>
        </w:rPr>
      </w:pPr>
      <w:r w:rsidRPr="00B6647E">
        <w:rPr>
          <w:rFonts w:ascii="Arial" w:hAnsi="Arial" w:cs="Arial"/>
          <w:b/>
          <w:sz w:val="20"/>
          <w:szCs w:val="20"/>
        </w:rPr>
        <w:t xml:space="preserve">Tableau </w:t>
      </w:r>
      <w:r w:rsidR="00D77BAF">
        <w:rPr>
          <w:rFonts w:ascii="Arial" w:hAnsi="Arial" w:cs="Arial"/>
          <w:b/>
          <w:sz w:val="20"/>
          <w:szCs w:val="20"/>
        </w:rPr>
        <w:t>21</w:t>
      </w:r>
      <w:r w:rsidR="00F77320" w:rsidRPr="00B6647E">
        <w:rPr>
          <w:rFonts w:ascii="Arial" w:hAnsi="Arial" w:cs="Arial"/>
          <w:b/>
          <w:sz w:val="20"/>
          <w:szCs w:val="20"/>
        </w:rPr>
        <w:t>9</w:t>
      </w:r>
      <w:r w:rsidRPr="00B6647E">
        <w:rPr>
          <w:rFonts w:ascii="Arial" w:hAnsi="Arial" w:cs="Arial"/>
          <w:b/>
          <w:sz w:val="20"/>
          <w:szCs w:val="20"/>
        </w:rPr>
        <w:t> : Répartition du cheptel par province selon l’espèce</w:t>
      </w:r>
    </w:p>
    <w:p w:rsidR="006F3A12" w:rsidRPr="00B6647E" w:rsidRDefault="006F3A12" w:rsidP="00E51ED6">
      <w:pPr>
        <w:keepNext/>
        <w:spacing w:line="240" w:lineRule="auto"/>
        <w:rPr>
          <w:rFonts w:ascii="Arial" w:hAnsi="Arial" w:cs="Arial"/>
          <w:sz w:val="20"/>
          <w:szCs w:val="20"/>
          <w:u w:val="dotDash"/>
        </w:rPr>
      </w:pPr>
      <w:r w:rsidRPr="00B6647E">
        <w:rPr>
          <w:rFonts w:ascii="Arial" w:hAnsi="Arial" w:cs="Arial"/>
          <w:noProof/>
          <w:szCs w:val="20"/>
          <w:lang w:val="fr-FR" w:eastAsia="fr-FR"/>
        </w:rPr>
        <w:drawing>
          <wp:inline distT="0" distB="0" distL="0" distR="0">
            <wp:extent cx="5886576" cy="2538484"/>
            <wp:effectExtent l="19050" t="0" r="0" b="0"/>
            <wp:docPr id="5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6" cstate="print"/>
                    <a:srcRect/>
                    <a:stretch>
                      <a:fillRect/>
                    </a:stretch>
                  </pic:blipFill>
                  <pic:spPr bwMode="auto">
                    <a:xfrm>
                      <a:off x="0" y="0"/>
                      <a:ext cx="5904689" cy="2546295"/>
                    </a:xfrm>
                    <a:prstGeom prst="rect">
                      <a:avLst/>
                    </a:prstGeom>
                    <a:noFill/>
                    <a:ln w="9525">
                      <a:noFill/>
                      <a:miter lim="800000"/>
                      <a:headEnd/>
                      <a:tailEnd/>
                    </a:ln>
                  </pic:spPr>
                </pic:pic>
              </a:graphicData>
            </a:graphic>
          </wp:inline>
        </w:drawing>
      </w:r>
    </w:p>
    <w:p w:rsidR="006F3A12" w:rsidRPr="00B6647E" w:rsidRDefault="006F3A12" w:rsidP="00E51ED6">
      <w:pPr>
        <w:spacing w:line="240" w:lineRule="auto"/>
        <w:rPr>
          <w:rFonts w:ascii="Arial" w:hAnsi="Arial" w:cs="Arial"/>
          <w:sz w:val="20"/>
          <w:szCs w:val="20"/>
          <w:u w:val="dotDash"/>
        </w:rPr>
      </w:pPr>
    </w:p>
    <w:p w:rsidR="006F3A12" w:rsidRPr="00B6647E" w:rsidRDefault="006F3A12" w:rsidP="00E51ED6">
      <w:pPr>
        <w:spacing w:line="240" w:lineRule="auto"/>
        <w:rPr>
          <w:rFonts w:ascii="Arial" w:hAnsi="Arial" w:cs="Arial"/>
          <w:b/>
          <w:sz w:val="20"/>
          <w:szCs w:val="20"/>
        </w:rPr>
      </w:pPr>
      <w:r w:rsidRPr="00B6647E">
        <w:rPr>
          <w:rFonts w:ascii="Arial" w:hAnsi="Arial" w:cs="Arial"/>
          <w:b/>
          <w:sz w:val="20"/>
          <w:szCs w:val="20"/>
        </w:rPr>
        <w:t>Carte 1</w:t>
      </w:r>
      <w:r w:rsidR="00613D0F" w:rsidRPr="00B6647E">
        <w:rPr>
          <w:rFonts w:ascii="Arial" w:hAnsi="Arial" w:cs="Arial"/>
          <w:b/>
          <w:sz w:val="20"/>
          <w:szCs w:val="20"/>
        </w:rPr>
        <w:t>8</w:t>
      </w:r>
      <w:r w:rsidRPr="00B6647E">
        <w:rPr>
          <w:rFonts w:ascii="Arial" w:hAnsi="Arial" w:cs="Arial"/>
          <w:b/>
          <w:sz w:val="20"/>
          <w:szCs w:val="20"/>
        </w:rPr>
        <w:t> : Répartition par province de l’effectif des bovins</w:t>
      </w:r>
    </w:p>
    <w:p w:rsidR="006F3A12" w:rsidRPr="00B6647E" w:rsidRDefault="006F3A12" w:rsidP="00E51ED6">
      <w:pPr>
        <w:spacing w:line="240" w:lineRule="auto"/>
        <w:rPr>
          <w:rFonts w:ascii="Arial" w:hAnsi="Arial" w:cs="Arial"/>
          <w:sz w:val="20"/>
          <w:szCs w:val="20"/>
          <w:u w:val="dotDash"/>
        </w:rPr>
      </w:pPr>
    </w:p>
    <w:p w:rsidR="006F3A12" w:rsidRPr="00B6647E" w:rsidRDefault="000C0EA3" w:rsidP="00E51ED6">
      <w:pPr>
        <w:spacing w:line="240" w:lineRule="auto"/>
        <w:rPr>
          <w:rFonts w:ascii="Arial" w:hAnsi="Arial" w:cs="Arial"/>
          <w:sz w:val="20"/>
          <w:szCs w:val="20"/>
        </w:rPr>
      </w:pPr>
      <w:r w:rsidRPr="00B6647E">
        <w:rPr>
          <w:rFonts w:ascii="Arial" w:hAnsi="Arial" w:cs="Arial"/>
          <w:noProof/>
          <w:sz w:val="20"/>
          <w:szCs w:val="20"/>
          <w:lang w:val="fr-FR" w:eastAsia="fr-FR"/>
        </w:rPr>
        <w:drawing>
          <wp:inline distT="0" distB="0" distL="0" distR="0">
            <wp:extent cx="5810876" cy="4093535"/>
            <wp:effectExtent l="19050" t="0" r="0" b="0"/>
            <wp:docPr id="369"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7" cstate="print"/>
                    <a:srcRect l="5318" t="5634" r="5274" b="5399"/>
                    <a:stretch>
                      <a:fillRect/>
                    </a:stretch>
                  </pic:blipFill>
                  <pic:spPr bwMode="auto">
                    <a:xfrm>
                      <a:off x="0" y="0"/>
                      <a:ext cx="5813497" cy="4095382"/>
                    </a:xfrm>
                    <a:prstGeom prst="rect">
                      <a:avLst/>
                    </a:prstGeom>
                    <a:noFill/>
                    <a:ln w="9525">
                      <a:noFill/>
                      <a:miter lim="800000"/>
                      <a:headEnd/>
                      <a:tailEnd/>
                    </a:ln>
                  </pic:spPr>
                </pic:pic>
              </a:graphicData>
            </a:graphic>
          </wp:inline>
        </w:drawing>
      </w:r>
    </w:p>
    <w:p w:rsidR="006F3A12" w:rsidRPr="00B6647E" w:rsidRDefault="006F3A12" w:rsidP="00E51ED6">
      <w:pPr>
        <w:spacing w:line="240" w:lineRule="auto"/>
        <w:rPr>
          <w:rFonts w:ascii="Arial" w:hAnsi="Arial" w:cs="Arial"/>
          <w:sz w:val="20"/>
          <w:szCs w:val="20"/>
          <w:u w:val="dotDash"/>
        </w:rPr>
      </w:pPr>
    </w:p>
    <w:p w:rsidR="006F3A12" w:rsidRPr="00B6647E" w:rsidRDefault="006F3A12" w:rsidP="00E51ED6">
      <w:pPr>
        <w:spacing w:line="240" w:lineRule="auto"/>
        <w:rPr>
          <w:rFonts w:ascii="Arial" w:hAnsi="Arial" w:cs="Arial"/>
          <w:b/>
          <w:sz w:val="20"/>
          <w:szCs w:val="20"/>
        </w:rPr>
      </w:pPr>
      <w:r w:rsidRPr="00B6647E">
        <w:rPr>
          <w:rFonts w:ascii="Arial" w:hAnsi="Arial" w:cs="Arial"/>
          <w:b/>
          <w:sz w:val="20"/>
          <w:szCs w:val="20"/>
        </w:rPr>
        <w:lastRenderedPageBreak/>
        <w:t>Carte 1</w:t>
      </w:r>
      <w:r w:rsidR="00613D0F" w:rsidRPr="00B6647E">
        <w:rPr>
          <w:rFonts w:ascii="Arial" w:hAnsi="Arial" w:cs="Arial"/>
          <w:b/>
          <w:sz w:val="20"/>
          <w:szCs w:val="20"/>
        </w:rPr>
        <w:t>9</w:t>
      </w:r>
      <w:r w:rsidRPr="00B6647E">
        <w:rPr>
          <w:rFonts w:ascii="Arial" w:hAnsi="Arial" w:cs="Arial"/>
          <w:b/>
          <w:sz w:val="20"/>
          <w:szCs w:val="20"/>
        </w:rPr>
        <w:t> : Répartition par province de l’effectif des caprins</w:t>
      </w:r>
    </w:p>
    <w:p w:rsidR="006F3A12" w:rsidRPr="00B6647E" w:rsidRDefault="000C0EA3" w:rsidP="00E51ED6">
      <w:pPr>
        <w:spacing w:line="240" w:lineRule="auto"/>
        <w:rPr>
          <w:rFonts w:ascii="Arial" w:eastAsia="Times New Roman" w:hAnsi="Arial" w:cs="Arial"/>
          <w:szCs w:val="24"/>
          <w:lang w:val="fr-FR" w:eastAsia="fr-FR"/>
        </w:rPr>
      </w:pPr>
      <w:r w:rsidRPr="00B6647E">
        <w:rPr>
          <w:rFonts w:ascii="Arial" w:eastAsia="Times New Roman" w:hAnsi="Arial" w:cs="Arial"/>
          <w:noProof/>
          <w:szCs w:val="24"/>
          <w:lang w:val="fr-FR" w:eastAsia="fr-FR"/>
        </w:rPr>
        <w:drawing>
          <wp:inline distT="0" distB="0" distL="0" distR="0">
            <wp:extent cx="5658736" cy="3986359"/>
            <wp:effectExtent l="19050" t="0" r="0" b="0"/>
            <wp:docPr id="370"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8" cstate="print"/>
                    <a:srcRect l="5318" t="5634" r="5274" b="5399"/>
                    <a:stretch>
                      <a:fillRect/>
                    </a:stretch>
                  </pic:blipFill>
                  <pic:spPr bwMode="auto">
                    <a:xfrm>
                      <a:off x="0" y="0"/>
                      <a:ext cx="5659482" cy="3986885"/>
                    </a:xfrm>
                    <a:prstGeom prst="rect">
                      <a:avLst/>
                    </a:prstGeom>
                    <a:noFill/>
                    <a:ln w="9525">
                      <a:noFill/>
                      <a:miter lim="800000"/>
                      <a:headEnd/>
                      <a:tailEnd/>
                    </a:ln>
                  </pic:spPr>
                </pic:pic>
              </a:graphicData>
            </a:graphic>
          </wp:inline>
        </w:drawing>
      </w:r>
    </w:p>
    <w:p w:rsidR="006F3A12" w:rsidRPr="00B6647E" w:rsidRDefault="00613D0F" w:rsidP="00E51ED6">
      <w:pPr>
        <w:spacing w:line="240" w:lineRule="auto"/>
        <w:rPr>
          <w:rFonts w:ascii="Arial" w:hAnsi="Arial" w:cs="Arial"/>
          <w:b/>
          <w:sz w:val="20"/>
          <w:szCs w:val="20"/>
        </w:rPr>
      </w:pPr>
      <w:r w:rsidRPr="00B6647E">
        <w:rPr>
          <w:rFonts w:ascii="Arial" w:hAnsi="Arial" w:cs="Arial"/>
          <w:b/>
          <w:sz w:val="20"/>
          <w:szCs w:val="20"/>
        </w:rPr>
        <w:t>Carte 20</w:t>
      </w:r>
      <w:r w:rsidR="006F3A12" w:rsidRPr="00B6647E">
        <w:rPr>
          <w:rFonts w:ascii="Arial" w:hAnsi="Arial" w:cs="Arial"/>
          <w:b/>
          <w:sz w:val="20"/>
          <w:szCs w:val="20"/>
        </w:rPr>
        <w:t> : Répartition par province de l’effectif des ovins</w:t>
      </w:r>
    </w:p>
    <w:p w:rsidR="006F3A12" w:rsidRPr="00B6647E" w:rsidRDefault="000C0EA3" w:rsidP="00E51ED6">
      <w:pPr>
        <w:spacing w:line="240" w:lineRule="auto"/>
        <w:rPr>
          <w:rFonts w:ascii="Arial" w:eastAsia="Times New Roman" w:hAnsi="Arial" w:cs="Arial"/>
          <w:szCs w:val="24"/>
          <w:lang w:val="fr-FR" w:eastAsia="fr-FR"/>
        </w:rPr>
      </w:pPr>
      <w:r w:rsidRPr="00B6647E">
        <w:rPr>
          <w:rFonts w:ascii="Arial" w:eastAsia="Times New Roman" w:hAnsi="Arial" w:cs="Arial"/>
          <w:noProof/>
          <w:szCs w:val="24"/>
          <w:lang w:val="fr-FR" w:eastAsia="fr-FR"/>
        </w:rPr>
        <w:drawing>
          <wp:inline distT="0" distB="0" distL="0" distR="0">
            <wp:extent cx="5666035" cy="3987210"/>
            <wp:effectExtent l="19050" t="0" r="0" b="0"/>
            <wp:docPr id="371"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9" cstate="print"/>
                    <a:srcRect l="4986" t="5399" r="5274" b="5399"/>
                    <a:stretch>
                      <a:fillRect/>
                    </a:stretch>
                  </pic:blipFill>
                  <pic:spPr bwMode="auto">
                    <a:xfrm>
                      <a:off x="0" y="0"/>
                      <a:ext cx="5672979" cy="3992096"/>
                    </a:xfrm>
                    <a:prstGeom prst="rect">
                      <a:avLst/>
                    </a:prstGeom>
                    <a:noFill/>
                    <a:ln w="9525">
                      <a:noFill/>
                      <a:miter lim="800000"/>
                      <a:headEnd/>
                      <a:tailEnd/>
                    </a:ln>
                  </pic:spPr>
                </pic:pic>
              </a:graphicData>
            </a:graphic>
          </wp:inline>
        </w:drawing>
      </w:r>
    </w:p>
    <w:p w:rsidR="006F3A12" w:rsidRPr="00B6647E" w:rsidRDefault="00613D0F" w:rsidP="00E51ED6">
      <w:pPr>
        <w:spacing w:line="240" w:lineRule="auto"/>
        <w:rPr>
          <w:rFonts w:ascii="Arial" w:hAnsi="Arial" w:cs="Arial"/>
          <w:b/>
          <w:sz w:val="20"/>
          <w:szCs w:val="20"/>
        </w:rPr>
      </w:pPr>
      <w:r w:rsidRPr="00B6647E">
        <w:rPr>
          <w:rFonts w:ascii="Arial" w:hAnsi="Arial" w:cs="Arial"/>
          <w:b/>
          <w:sz w:val="20"/>
          <w:szCs w:val="20"/>
        </w:rPr>
        <w:lastRenderedPageBreak/>
        <w:t>Carte 21</w:t>
      </w:r>
      <w:r w:rsidR="006F3A12" w:rsidRPr="00B6647E">
        <w:rPr>
          <w:rFonts w:ascii="Arial" w:hAnsi="Arial" w:cs="Arial"/>
          <w:b/>
          <w:sz w:val="20"/>
          <w:szCs w:val="20"/>
        </w:rPr>
        <w:t> : Répartition par province de l’effectif des porcins</w:t>
      </w:r>
    </w:p>
    <w:p w:rsidR="006F3A12" w:rsidRPr="00B6647E" w:rsidRDefault="000C0EA3" w:rsidP="00E51ED6">
      <w:pPr>
        <w:spacing w:line="240" w:lineRule="auto"/>
        <w:rPr>
          <w:rFonts w:ascii="Arial" w:eastAsia="Times New Roman" w:hAnsi="Arial" w:cs="Arial"/>
          <w:szCs w:val="24"/>
          <w:lang w:val="fr-FR" w:eastAsia="fr-FR"/>
        </w:rPr>
      </w:pPr>
      <w:r w:rsidRPr="00B6647E">
        <w:rPr>
          <w:rFonts w:ascii="Arial" w:eastAsia="Times New Roman" w:hAnsi="Arial" w:cs="Arial"/>
          <w:noProof/>
          <w:szCs w:val="24"/>
          <w:lang w:val="fr-FR" w:eastAsia="fr-FR"/>
        </w:rPr>
        <w:drawing>
          <wp:inline distT="0" distB="0" distL="0" distR="0">
            <wp:extent cx="5563043" cy="3932318"/>
            <wp:effectExtent l="19050" t="0" r="0" b="0"/>
            <wp:docPr id="37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0" cstate="print"/>
                    <a:srcRect l="5318" t="5399" r="5107" b="5164"/>
                    <a:stretch>
                      <a:fillRect/>
                    </a:stretch>
                  </pic:blipFill>
                  <pic:spPr bwMode="auto">
                    <a:xfrm>
                      <a:off x="0" y="0"/>
                      <a:ext cx="5568142" cy="3935922"/>
                    </a:xfrm>
                    <a:prstGeom prst="rect">
                      <a:avLst/>
                    </a:prstGeom>
                    <a:noFill/>
                    <a:ln w="9525">
                      <a:noFill/>
                      <a:miter lim="800000"/>
                      <a:headEnd/>
                      <a:tailEnd/>
                    </a:ln>
                  </pic:spPr>
                </pic:pic>
              </a:graphicData>
            </a:graphic>
          </wp:inline>
        </w:drawing>
      </w:r>
    </w:p>
    <w:p w:rsidR="006F3A12" w:rsidRPr="00B6647E" w:rsidRDefault="001A56B0" w:rsidP="00BA1D5C">
      <w:pPr>
        <w:pStyle w:val="Titre3"/>
        <w:keepNext w:val="0"/>
        <w:numPr>
          <w:ilvl w:val="2"/>
          <w:numId w:val="1"/>
        </w:numPr>
        <w:spacing w:before="200" w:after="120"/>
        <w:ind w:left="0" w:firstLine="0"/>
        <w:rPr>
          <w:rFonts w:cs="Arial"/>
          <w:szCs w:val="20"/>
        </w:rPr>
      </w:pPr>
      <w:bookmarkStart w:id="252" w:name="_Toc61987323"/>
      <w:bookmarkStart w:id="253" w:name="_Toc62035293"/>
      <w:bookmarkStart w:id="254" w:name="_Toc62035473"/>
      <w:bookmarkStart w:id="255" w:name="_Toc62035559"/>
      <w:bookmarkStart w:id="256" w:name="_Toc244513812"/>
      <w:bookmarkStart w:id="257" w:name="_Toc244516124"/>
      <w:bookmarkStart w:id="258" w:name="_Toc244593159"/>
      <w:bookmarkStart w:id="259" w:name="_Toc244669993"/>
      <w:bookmarkStart w:id="260" w:name="_Toc244752281"/>
      <w:bookmarkStart w:id="261" w:name="_Toc336692149"/>
      <w:bookmarkStart w:id="262" w:name="_Toc354313898"/>
      <w:r w:rsidRPr="00B6647E">
        <w:rPr>
          <w:rFonts w:cs="Arial"/>
          <w:szCs w:val="20"/>
        </w:rPr>
        <w:t>O</w:t>
      </w:r>
      <w:r w:rsidR="006F3A12" w:rsidRPr="00B6647E">
        <w:rPr>
          <w:rFonts w:cs="Arial"/>
          <w:szCs w:val="20"/>
        </w:rPr>
        <w:t>vins</w:t>
      </w:r>
      <w:bookmarkEnd w:id="252"/>
      <w:bookmarkEnd w:id="253"/>
      <w:bookmarkEnd w:id="254"/>
      <w:bookmarkEnd w:id="255"/>
      <w:bookmarkEnd w:id="256"/>
      <w:bookmarkEnd w:id="257"/>
      <w:bookmarkEnd w:id="258"/>
      <w:bookmarkEnd w:id="259"/>
      <w:bookmarkEnd w:id="260"/>
      <w:bookmarkEnd w:id="261"/>
      <w:bookmarkEnd w:id="262"/>
      <w:r w:rsidR="006F3A12" w:rsidRPr="00B6647E">
        <w:rPr>
          <w:rFonts w:cs="Arial"/>
          <w:szCs w:val="20"/>
        </w:rPr>
        <w:t xml:space="preserve"> </w:t>
      </w:r>
    </w:p>
    <w:p w:rsidR="006F3A12" w:rsidRPr="00B6647E" w:rsidRDefault="006F3A12" w:rsidP="00AF7B5F">
      <w:pPr>
        <w:pStyle w:val="textedebase"/>
        <w:rPr>
          <w:rFonts w:cs="Arial"/>
          <w:sz w:val="20"/>
          <w:szCs w:val="20"/>
        </w:rPr>
      </w:pPr>
      <w:r w:rsidRPr="00B6647E">
        <w:rPr>
          <w:rFonts w:cs="Arial"/>
          <w:sz w:val="20"/>
          <w:szCs w:val="20"/>
        </w:rPr>
        <w:t>Le nombre total de bovins est estimé au niveau national à 609.000 têtes qui sont répartis dans 17,8 % des ménages agricoles pour lesquels la moyenne estimée est de 2,2 têtes par ménage.</w:t>
      </w:r>
    </w:p>
    <w:p w:rsidR="006F3A12" w:rsidRPr="00B6647E" w:rsidRDefault="006F3A12" w:rsidP="00E51ED6">
      <w:pPr>
        <w:pStyle w:val="textedebase"/>
        <w:rPr>
          <w:rFonts w:cs="Arial"/>
          <w:b/>
          <w:sz w:val="20"/>
          <w:szCs w:val="20"/>
        </w:rPr>
      </w:pPr>
      <w:r w:rsidRPr="00B6647E">
        <w:rPr>
          <w:rFonts w:cs="Arial"/>
          <w:b/>
          <w:sz w:val="20"/>
          <w:szCs w:val="20"/>
        </w:rPr>
        <w:t xml:space="preserve"> </w:t>
      </w:r>
      <w:r w:rsidR="00F77320" w:rsidRPr="00B6647E">
        <w:rPr>
          <w:rFonts w:cs="Arial"/>
          <w:b/>
          <w:sz w:val="20"/>
          <w:szCs w:val="20"/>
        </w:rPr>
        <w:t>Tableau 2</w:t>
      </w:r>
      <w:r w:rsidR="00D77BAF">
        <w:rPr>
          <w:rFonts w:cs="Arial"/>
          <w:b/>
          <w:sz w:val="20"/>
          <w:szCs w:val="20"/>
        </w:rPr>
        <w:t>2</w:t>
      </w:r>
      <w:r w:rsidRPr="00B6647E">
        <w:rPr>
          <w:rFonts w:cs="Arial"/>
          <w:b/>
          <w:sz w:val="20"/>
          <w:szCs w:val="20"/>
        </w:rPr>
        <w:t>0 : Effectif de ménages par province selon le nombre de bovins possédés</w:t>
      </w:r>
    </w:p>
    <w:p w:rsidR="006F3A12" w:rsidRPr="00B6647E" w:rsidRDefault="006F3A12" w:rsidP="00E51ED6">
      <w:pPr>
        <w:pStyle w:val="textedebase"/>
        <w:rPr>
          <w:rFonts w:cs="Arial"/>
          <w:sz w:val="20"/>
          <w:szCs w:val="20"/>
        </w:rPr>
      </w:pPr>
      <w:r w:rsidRPr="00B6647E">
        <w:rPr>
          <w:rFonts w:cs="Arial"/>
          <w:noProof/>
          <w:szCs w:val="20"/>
        </w:rPr>
        <w:drawing>
          <wp:inline distT="0" distB="0" distL="0" distR="0">
            <wp:extent cx="5731510" cy="2895604"/>
            <wp:effectExtent l="19050" t="0" r="2540" b="0"/>
            <wp:docPr id="14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1" cstate="print"/>
                    <a:srcRect/>
                    <a:stretch>
                      <a:fillRect/>
                    </a:stretch>
                  </pic:blipFill>
                  <pic:spPr bwMode="auto">
                    <a:xfrm>
                      <a:off x="0" y="0"/>
                      <a:ext cx="5731510" cy="2895604"/>
                    </a:xfrm>
                    <a:prstGeom prst="rect">
                      <a:avLst/>
                    </a:prstGeom>
                    <a:noFill/>
                    <a:ln w="9525">
                      <a:noFill/>
                      <a:miter lim="800000"/>
                      <a:headEnd/>
                      <a:tailEnd/>
                    </a:ln>
                  </pic:spPr>
                </pic:pic>
              </a:graphicData>
            </a:graphic>
          </wp:inline>
        </w:drawing>
      </w:r>
    </w:p>
    <w:p w:rsidR="00AF7B5F" w:rsidRPr="00B6647E" w:rsidRDefault="00AF7B5F" w:rsidP="00AF7B5F">
      <w:pPr>
        <w:pStyle w:val="textedebase"/>
        <w:rPr>
          <w:rFonts w:cs="Arial"/>
          <w:sz w:val="20"/>
          <w:szCs w:val="20"/>
        </w:rPr>
      </w:pPr>
      <w:bookmarkStart w:id="263" w:name="_Toc62035474"/>
      <w:bookmarkStart w:id="264" w:name="_Toc62035611"/>
      <w:bookmarkStart w:id="265" w:name="_Toc244754451"/>
      <w:r w:rsidRPr="00B6647E">
        <w:rPr>
          <w:rFonts w:cs="Arial"/>
          <w:sz w:val="20"/>
          <w:szCs w:val="20"/>
        </w:rPr>
        <w:t xml:space="preserve">Près de la moitié de ces ménages (8,3%) ne possèdent qu’une seule tête de bovin. Les ménages possédant les troupeaux de 10 têtes et plus (le plus grand troupeau enregistré par l’enquête est de 16 têtes) ne représentent que 0,2% de l’ensemble des ménages agricoles qui se répartissent principalement dans les régions naturelles de Mugamba (41,1%), Moso (40,3%) et Bututsi (18,6%). </w:t>
      </w:r>
    </w:p>
    <w:p w:rsidR="00AF7B5F" w:rsidRPr="00B6647E" w:rsidRDefault="00AF7B5F" w:rsidP="00AF7B5F">
      <w:pPr>
        <w:pStyle w:val="textedebase"/>
        <w:rPr>
          <w:rFonts w:cs="Arial"/>
          <w:sz w:val="20"/>
          <w:szCs w:val="20"/>
        </w:rPr>
      </w:pPr>
      <w:r w:rsidRPr="00B6647E">
        <w:rPr>
          <w:rFonts w:cs="Arial"/>
          <w:sz w:val="20"/>
          <w:szCs w:val="20"/>
        </w:rPr>
        <w:lastRenderedPageBreak/>
        <w:t>La structure du cheptel bovin dans les provinces montre que le nombre de femelles est supérieur à 58% sauf à Bubanza (25,1%) et Cibitoke (46,4%).</w:t>
      </w:r>
    </w:p>
    <w:p w:rsidR="006F3A12" w:rsidRPr="00B6647E" w:rsidRDefault="006F3A12" w:rsidP="00E51ED6">
      <w:pPr>
        <w:spacing w:line="240" w:lineRule="auto"/>
        <w:jc w:val="both"/>
        <w:rPr>
          <w:rFonts w:ascii="Arial" w:hAnsi="Arial" w:cs="Arial"/>
          <w:sz w:val="20"/>
          <w:szCs w:val="20"/>
        </w:rPr>
      </w:pPr>
      <w:r w:rsidRPr="00B6647E">
        <w:rPr>
          <w:rFonts w:ascii="Arial" w:hAnsi="Arial" w:cs="Arial"/>
          <w:sz w:val="20"/>
          <w:szCs w:val="20"/>
        </w:rPr>
        <w:t>On estime que 82,2% de l’ensemble des ménages agricoles ne possèdent aucune tête de bovins. Environ neuf ménages sur dix n’ont aucune tête de bovin dans les provinces de Kirundo (91,8%), de Cibitoke (90,4%) et Makamba (90,2%).Les provinces comptant plus de ménages propriétaires de bovins sont Mwaro (42,8%), Muramvya (37,9%) et Bururi (32,9%).</w:t>
      </w:r>
    </w:p>
    <w:p w:rsidR="006F3A12" w:rsidRPr="00B6647E" w:rsidRDefault="00D77BAF" w:rsidP="00E51ED6">
      <w:pPr>
        <w:keepNext/>
        <w:spacing w:line="240" w:lineRule="auto"/>
        <w:jc w:val="both"/>
        <w:rPr>
          <w:rFonts w:ascii="Arial" w:hAnsi="Arial" w:cs="Arial"/>
          <w:b/>
          <w:sz w:val="20"/>
          <w:szCs w:val="20"/>
        </w:rPr>
      </w:pPr>
      <w:r>
        <w:rPr>
          <w:rFonts w:ascii="Arial" w:hAnsi="Arial" w:cs="Arial"/>
          <w:b/>
          <w:sz w:val="20"/>
          <w:szCs w:val="20"/>
        </w:rPr>
        <w:t>Tableau 22</w:t>
      </w:r>
      <w:r w:rsidR="00F77320" w:rsidRPr="00B6647E">
        <w:rPr>
          <w:rFonts w:ascii="Arial" w:hAnsi="Arial" w:cs="Arial"/>
          <w:b/>
          <w:sz w:val="20"/>
          <w:szCs w:val="20"/>
        </w:rPr>
        <w:t>1</w:t>
      </w:r>
      <w:r w:rsidR="006F3A12" w:rsidRPr="00B6647E">
        <w:rPr>
          <w:rFonts w:ascii="Arial" w:hAnsi="Arial" w:cs="Arial"/>
          <w:b/>
          <w:sz w:val="20"/>
          <w:szCs w:val="20"/>
        </w:rPr>
        <w:t> : Pourcentage de ménages par province selon le nombre de bovins possédés</w:t>
      </w:r>
    </w:p>
    <w:p w:rsidR="006F3A12" w:rsidRPr="00B6647E" w:rsidRDefault="006F3A12" w:rsidP="00E51ED6">
      <w:pPr>
        <w:keepNext/>
        <w:spacing w:line="240" w:lineRule="auto"/>
        <w:jc w:val="both"/>
        <w:rPr>
          <w:rFonts w:ascii="Arial" w:hAnsi="Arial" w:cs="Arial"/>
          <w:sz w:val="20"/>
          <w:szCs w:val="20"/>
        </w:rPr>
      </w:pPr>
      <w:r w:rsidRPr="00B6647E">
        <w:rPr>
          <w:rFonts w:ascii="Arial" w:hAnsi="Arial" w:cs="Arial"/>
          <w:noProof/>
          <w:szCs w:val="20"/>
          <w:lang w:val="fr-FR" w:eastAsia="fr-FR"/>
        </w:rPr>
        <w:drawing>
          <wp:inline distT="0" distB="0" distL="0" distR="0">
            <wp:extent cx="5731510" cy="2960444"/>
            <wp:effectExtent l="19050" t="0" r="2540" b="0"/>
            <wp:docPr id="13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2" cstate="print"/>
                    <a:srcRect/>
                    <a:stretch>
                      <a:fillRect/>
                    </a:stretch>
                  </pic:blipFill>
                  <pic:spPr bwMode="auto">
                    <a:xfrm>
                      <a:off x="0" y="0"/>
                      <a:ext cx="5731510" cy="2960444"/>
                    </a:xfrm>
                    <a:prstGeom prst="rect">
                      <a:avLst/>
                    </a:prstGeom>
                    <a:noFill/>
                    <a:ln w="9525">
                      <a:noFill/>
                      <a:miter lim="800000"/>
                      <a:headEnd/>
                      <a:tailEnd/>
                    </a:ln>
                  </pic:spPr>
                </pic:pic>
              </a:graphicData>
            </a:graphic>
          </wp:inline>
        </w:drawing>
      </w:r>
    </w:p>
    <w:p w:rsidR="006F3A12" w:rsidRPr="00B6647E" w:rsidRDefault="006F3A12" w:rsidP="00E51ED6">
      <w:pPr>
        <w:pStyle w:val="Lgende"/>
        <w:rPr>
          <w:rFonts w:ascii="Arial" w:hAnsi="Arial" w:cs="Arial"/>
          <w:b w:val="0"/>
        </w:rPr>
      </w:pPr>
    </w:p>
    <w:p w:rsidR="006F3A12" w:rsidRPr="00B6647E" w:rsidRDefault="002B03F3" w:rsidP="00E51ED6">
      <w:pPr>
        <w:pStyle w:val="Lgende"/>
        <w:keepNext/>
        <w:rPr>
          <w:rFonts w:ascii="Arial" w:hAnsi="Arial" w:cs="Arial"/>
        </w:rPr>
      </w:pPr>
      <w:r>
        <w:rPr>
          <w:rFonts w:ascii="Arial" w:hAnsi="Arial" w:cs="Arial"/>
        </w:rPr>
        <w:t>Graphique 25</w:t>
      </w:r>
      <w:r w:rsidR="006F3A12" w:rsidRPr="00B6647E">
        <w:rPr>
          <w:rFonts w:ascii="Arial" w:hAnsi="Arial" w:cs="Arial"/>
        </w:rPr>
        <w:t> : Proportion des ménages possédant au moins un bovin</w:t>
      </w:r>
    </w:p>
    <w:p w:rsidR="006F3A12" w:rsidRPr="00B6647E" w:rsidRDefault="006F3A12" w:rsidP="00E51ED6">
      <w:pPr>
        <w:pStyle w:val="Lgende"/>
        <w:keepNext/>
        <w:rPr>
          <w:rFonts w:ascii="Arial" w:hAnsi="Arial" w:cs="Arial"/>
          <w:b w:val="0"/>
          <w:sz w:val="22"/>
          <w:szCs w:val="22"/>
        </w:rPr>
      </w:pPr>
    </w:p>
    <w:p w:rsidR="006F3A12" w:rsidRPr="00B6647E" w:rsidRDefault="006F3A12" w:rsidP="00E51ED6">
      <w:pPr>
        <w:spacing w:line="240" w:lineRule="auto"/>
        <w:rPr>
          <w:rFonts w:ascii="Arial" w:hAnsi="Arial" w:cs="Arial"/>
        </w:rPr>
      </w:pPr>
      <w:r w:rsidRPr="00B6647E">
        <w:rPr>
          <w:rFonts w:ascii="Arial" w:hAnsi="Arial" w:cs="Arial"/>
          <w:noProof/>
          <w:lang w:val="fr-FR" w:eastAsia="fr-FR"/>
        </w:rPr>
        <w:drawing>
          <wp:inline distT="0" distB="0" distL="0" distR="0">
            <wp:extent cx="4972050" cy="3573104"/>
            <wp:effectExtent l="19050" t="0" r="0" b="0"/>
            <wp:docPr id="9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3" cstate="print"/>
                    <a:srcRect/>
                    <a:stretch>
                      <a:fillRect/>
                    </a:stretch>
                  </pic:blipFill>
                  <pic:spPr bwMode="auto">
                    <a:xfrm>
                      <a:off x="0" y="0"/>
                      <a:ext cx="4972050" cy="3573104"/>
                    </a:xfrm>
                    <a:prstGeom prst="rect">
                      <a:avLst/>
                    </a:prstGeom>
                    <a:noFill/>
                    <a:ln w="9525">
                      <a:noFill/>
                      <a:miter lim="800000"/>
                      <a:headEnd/>
                      <a:tailEnd/>
                    </a:ln>
                  </pic:spPr>
                </pic:pic>
              </a:graphicData>
            </a:graphic>
          </wp:inline>
        </w:drawing>
      </w:r>
    </w:p>
    <w:p w:rsidR="00AF7B5F" w:rsidRPr="00B6647E" w:rsidRDefault="00AF7B5F" w:rsidP="00AF7B5F">
      <w:pPr>
        <w:spacing w:line="240" w:lineRule="auto"/>
        <w:jc w:val="both"/>
        <w:rPr>
          <w:rFonts w:ascii="Arial" w:hAnsi="Arial" w:cs="Arial"/>
          <w:sz w:val="20"/>
          <w:szCs w:val="20"/>
        </w:rPr>
      </w:pPr>
      <w:r w:rsidRPr="00B6647E">
        <w:rPr>
          <w:rFonts w:ascii="Arial" w:hAnsi="Arial" w:cs="Arial"/>
          <w:sz w:val="20"/>
          <w:szCs w:val="20"/>
        </w:rPr>
        <w:t xml:space="preserve">Au niveau national, l’enquête estime à 17,8% la proportion de ménages agricoles possédant au moins un bovin. Cette proportion varie de 8,2% à Kirundo à 42,8% à Mwaro. Cinq provinces ont des </w:t>
      </w:r>
      <w:r w:rsidRPr="00B6647E">
        <w:rPr>
          <w:rFonts w:ascii="Arial" w:hAnsi="Arial" w:cs="Arial"/>
          <w:sz w:val="20"/>
          <w:szCs w:val="20"/>
        </w:rPr>
        <w:lastRenderedPageBreak/>
        <w:t>proportions supérieures à cette moyenne nationale. Il s’agit de : Mwaro (42,8%), Muramvya (37,9%), Bururi (32,9%), Kayanza (25,4%) et Ngozi (18,2%).</w:t>
      </w:r>
    </w:p>
    <w:p w:rsidR="006F3A12" w:rsidRPr="00B6647E" w:rsidRDefault="006F3A12" w:rsidP="00E51ED6">
      <w:pPr>
        <w:spacing w:line="240" w:lineRule="auto"/>
        <w:jc w:val="both"/>
        <w:rPr>
          <w:rFonts w:ascii="Arial" w:hAnsi="Arial" w:cs="Arial"/>
          <w:sz w:val="20"/>
          <w:szCs w:val="20"/>
        </w:rPr>
      </w:pPr>
      <w:bookmarkStart w:id="266" w:name="_Toc244513772"/>
      <w:bookmarkStart w:id="267" w:name="_Toc244516084"/>
      <w:bookmarkStart w:id="268" w:name="_Toc244593118"/>
      <w:bookmarkStart w:id="269" w:name="_Toc244669939"/>
      <w:bookmarkStart w:id="270" w:name="_Toc244671314"/>
      <w:bookmarkStart w:id="271" w:name="_Toc244752227"/>
      <w:bookmarkStart w:id="272" w:name="_Toc235278675"/>
      <w:bookmarkStart w:id="273" w:name="_Toc61987324"/>
      <w:bookmarkStart w:id="274" w:name="_Toc62035294"/>
      <w:bookmarkStart w:id="275" w:name="_Toc62035475"/>
      <w:bookmarkStart w:id="276" w:name="_Toc62035560"/>
      <w:bookmarkEnd w:id="263"/>
      <w:bookmarkEnd w:id="264"/>
      <w:bookmarkEnd w:id="265"/>
      <w:r w:rsidRPr="00B6647E">
        <w:rPr>
          <w:rFonts w:ascii="Arial" w:hAnsi="Arial" w:cs="Arial"/>
          <w:sz w:val="20"/>
          <w:szCs w:val="20"/>
        </w:rPr>
        <w:t>L’enquête indique que 89,7% des 331.786 ménages dirigés par des femmes, ne possèdent aucun bovin contre 80,2% des 1.224.743 ménages dirigés par des hommes. Dans les provinces, ces proportions varient de 65,2% dans Mwaro à 100% dans Bubanza et Kirundo pour les ménages dirigés par des femmes et pour ceux dirigées par des hommes de 54,2% dans Mwaro à 90,6% dans Makamba.</w:t>
      </w:r>
    </w:p>
    <w:p w:rsidR="006F3A12" w:rsidRPr="00B6647E" w:rsidRDefault="006F3A12" w:rsidP="00BA1D5C">
      <w:pPr>
        <w:pStyle w:val="Titre3"/>
        <w:keepNext w:val="0"/>
        <w:numPr>
          <w:ilvl w:val="2"/>
          <w:numId w:val="1"/>
        </w:numPr>
        <w:spacing w:before="200" w:after="120"/>
        <w:ind w:left="0" w:firstLine="0"/>
        <w:rPr>
          <w:rFonts w:cs="Arial"/>
          <w:szCs w:val="20"/>
        </w:rPr>
      </w:pPr>
      <w:bookmarkStart w:id="277" w:name="_Toc336692150"/>
      <w:bookmarkStart w:id="278" w:name="_Toc354313899"/>
      <w:r w:rsidRPr="00B6647E">
        <w:rPr>
          <w:rFonts w:cs="Arial"/>
          <w:szCs w:val="20"/>
        </w:rPr>
        <w:t>Production de lait des vaches rattachées aux ménages agricoles</w:t>
      </w:r>
      <w:bookmarkEnd w:id="277"/>
      <w:bookmarkEnd w:id="278"/>
    </w:p>
    <w:p w:rsidR="006F3A12" w:rsidRPr="00B6647E" w:rsidRDefault="006F3A12" w:rsidP="00E51ED6">
      <w:pPr>
        <w:spacing w:line="240" w:lineRule="auto"/>
        <w:jc w:val="both"/>
        <w:rPr>
          <w:rFonts w:ascii="Arial" w:hAnsi="Arial" w:cs="Arial"/>
          <w:sz w:val="20"/>
          <w:szCs w:val="20"/>
        </w:rPr>
      </w:pPr>
      <w:r w:rsidRPr="00B6647E">
        <w:rPr>
          <w:rFonts w:ascii="Arial" w:hAnsi="Arial" w:cs="Arial"/>
          <w:sz w:val="20"/>
          <w:szCs w:val="20"/>
        </w:rPr>
        <w:t>Le besoin en informations sur les productions animales a été mainte fois exprimé par les différents utilisateurs. Si les effectifs du cheptel, principale base de ces informations ont été donnés par l’ENAB, aucune enquête conséquente n’a été réalisée pour estimer les paramètres zootechniques.</w:t>
      </w:r>
    </w:p>
    <w:p w:rsidR="006F3A12" w:rsidRPr="00B6647E" w:rsidRDefault="006F3A12" w:rsidP="00E51ED6">
      <w:pPr>
        <w:spacing w:line="240" w:lineRule="auto"/>
        <w:jc w:val="both"/>
        <w:rPr>
          <w:rFonts w:ascii="Arial" w:hAnsi="Arial" w:cs="Arial"/>
          <w:sz w:val="20"/>
          <w:szCs w:val="20"/>
        </w:rPr>
      </w:pPr>
      <w:r w:rsidRPr="00B6647E">
        <w:rPr>
          <w:rFonts w:ascii="Arial" w:hAnsi="Arial" w:cs="Arial"/>
          <w:sz w:val="20"/>
          <w:szCs w:val="20"/>
        </w:rPr>
        <w:t>A titre indicatif, une estimation de la production de lait dans les ménages agricoles du Burundi a été faite sur la base de 500 litres</w:t>
      </w:r>
      <w:r w:rsidRPr="00B6647E">
        <w:rPr>
          <w:rStyle w:val="Appelnotedebasdep"/>
          <w:rFonts w:ascii="Arial" w:hAnsi="Arial" w:cs="Arial"/>
          <w:sz w:val="20"/>
          <w:szCs w:val="20"/>
        </w:rPr>
        <w:footnoteReference w:id="41"/>
      </w:r>
      <w:r w:rsidRPr="00B6647E">
        <w:rPr>
          <w:rFonts w:ascii="Arial" w:hAnsi="Arial" w:cs="Arial"/>
          <w:sz w:val="20"/>
          <w:szCs w:val="20"/>
        </w:rPr>
        <w:t xml:space="preserve"> de lait produit par vache et par an dont 80%</w:t>
      </w:r>
      <w:r w:rsidRPr="00B6647E">
        <w:rPr>
          <w:rStyle w:val="Appelnotedebasdep"/>
          <w:rFonts w:ascii="Arial" w:hAnsi="Arial" w:cs="Arial"/>
          <w:sz w:val="20"/>
          <w:szCs w:val="20"/>
        </w:rPr>
        <w:footnoteReference w:id="42"/>
      </w:r>
      <w:r w:rsidRPr="00B6647E">
        <w:rPr>
          <w:rFonts w:ascii="Arial" w:hAnsi="Arial" w:cs="Arial"/>
          <w:sz w:val="20"/>
          <w:szCs w:val="20"/>
        </w:rPr>
        <w:t xml:space="preserve"> proviennent de la traite. On obtient une estimation de 41 litres de lait disponible par ménage et par an, soit 8,1 litres par personne et par an.  Ces estimations ne prennent pas en compte la production laitière des fermes de la périphérie de la capitale Bujumbura.</w:t>
      </w:r>
    </w:p>
    <w:p w:rsidR="006F3A12" w:rsidRPr="00B6647E" w:rsidRDefault="006F3A12" w:rsidP="00E51ED6">
      <w:pPr>
        <w:pStyle w:val="texte1"/>
        <w:keepNext/>
        <w:rPr>
          <w:b/>
          <w:szCs w:val="20"/>
        </w:rPr>
      </w:pPr>
      <w:r w:rsidRPr="00B6647E">
        <w:rPr>
          <w:b/>
          <w:szCs w:val="20"/>
        </w:rPr>
        <w:t xml:space="preserve">Tableau </w:t>
      </w:r>
      <w:r w:rsidR="00D77BAF">
        <w:rPr>
          <w:b/>
          <w:szCs w:val="20"/>
        </w:rPr>
        <w:t>22</w:t>
      </w:r>
      <w:r w:rsidR="00F77320" w:rsidRPr="00B6647E">
        <w:rPr>
          <w:b/>
          <w:szCs w:val="20"/>
        </w:rPr>
        <w:t>2</w:t>
      </w:r>
      <w:r w:rsidRPr="00B6647E">
        <w:rPr>
          <w:b/>
          <w:szCs w:val="20"/>
        </w:rPr>
        <w:t xml:space="preserve"> : Estimation de la quantité traite de lait par ménage et par personne </w:t>
      </w:r>
    </w:p>
    <w:p w:rsidR="006F3A12" w:rsidRPr="00B6647E" w:rsidRDefault="006F3A12" w:rsidP="00E51ED6">
      <w:pPr>
        <w:spacing w:line="240" w:lineRule="auto"/>
        <w:rPr>
          <w:rFonts w:ascii="Arial" w:hAnsi="Arial" w:cs="Arial"/>
        </w:rPr>
      </w:pPr>
      <w:r w:rsidRPr="00B6647E">
        <w:rPr>
          <w:rFonts w:ascii="Arial" w:hAnsi="Arial" w:cs="Arial"/>
          <w:noProof/>
          <w:lang w:val="fr-FR" w:eastAsia="fr-FR"/>
        </w:rPr>
        <w:drawing>
          <wp:inline distT="0" distB="0" distL="0" distR="0">
            <wp:extent cx="3714750" cy="4086225"/>
            <wp:effectExtent l="19050" t="0" r="0" b="0"/>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4" cstate="print"/>
                    <a:srcRect/>
                    <a:stretch>
                      <a:fillRect/>
                    </a:stretch>
                  </pic:blipFill>
                  <pic:spPr bwMode="auto">
                    <a:xfrm>
                      <a:off x="0" y="0"/>
                      <a:ext cx="3714750" cy="4086225"/>
                    </a:xfrm>
                    <a:prstGeom prst="rect">
                      <a:avLst/>
                    </a:prstGeom>
                    <a:noFill/>
                    <a:ln w="9525">
                      <a:noFill/>
                      <a:miter lim="800000"/>
                      <a:headEnd/>
                      <a:tailEnd/>
                    </a:ln>
                  </pic:spPr>
                </pic:pic>
              </a:graphicData>
            </a:graphic>
          </wp:inline>
        </w:drawing>
      </w:r>
    </w:p>
    <w:p w:rsidR="00AF7B5F" w:rsidRPr="00B6647E" w:rsidRDefault="00AF7B5F" w:rsidP="00AF7B5F">
      <w:pPr>
        <w:spacing w:line="240" w:lineRule="auto"/>
        <w:jc w:val="both"/>
        <w:rPr>
          <w:rFonts w:ascii="Arial" w:hAnsi="Arial" w:cs="Arial"/>
          <w:sz w:val="20"/>
          <w:szCs w:val="20"/>
        </w:rPr>
      </w:pPr>
      <w:r w:rsidRPr="00B6647E">
        <w:rPr>
          <w:rFonts w:ascii="Arial" w:hAnsi="Arial" w:cs="Arial"/>
          <w:sz w:val="20"/>
          <w:szCs w:val="20"/>
        </w:rPr>
        <w:t>Les quantités par personne et par an les plus élevées sont tout logiquement observées dans les provinces d’élevage bovins : Mwaro (20 litres) ; Muramvya (17,1 litres) et Bururi (16,1 litres).</w:t>
      </w:r>
    </w:p>
    <w:p w:rsidR="006F3A12" w:rsidRPr="00B6647E" w:rsidRDefault="006F3A12" w:rsidP="00E51ED6">
      <w:pPr>
        <w:spacing w:line="240" w:lineRule="auto"/>
        <w:jc w:val="both"/>
        <w:rPr>
          <w:rFonts w:ascii="Arial" w:hAnsi="Arial" w:cs="Arial"/>
          <w:sz w:val="20"/>
          <w:szCs w:val="20"/>
        </w:rPr>
      </w:pPr>
      <w:r w:rsidRPr="00B6647E">
        <w:rPr>
          <w:rFonts w:ascii="Arial" w:hAnsi="Arial" w:cs="Arial"/>
          <w:sz w:val="20"/>
          <w:szCs w:val="20"/>
        </w:rPr>
        <w:lastRenderedPageBreak/>
        <w:t>Cinq provinces ont moins de cinq litres par personne et par an : Cibitoke (2,9 litres), Kirundo (3 litres), Bubanza (3,9 litres), Makamba et Muyinga avec chacune 4,1 litres.</w:t>
      </w:r>
    </w:p>
    <w:p w:rsidR="006F3A12" w:rsidRPr="00B6647E" w:rsidRDefault="006F3A12" w:rsidP="00BA1D5C">
      <w:pPr>
        <w:pStyle w:val="Titre3"/>
        <w:keepNext w:val="0"/>
        <w:numPr>
          <w:ilvl w:val="2"/>
          <w:numId w:val="1"/>
        </w:numPr>
        <w:spacing w:before="200" w:after="120"/>
        <w:ind w:left="0" w:firstLine="0"/>
        <w:rPr>
          <w:rFonts w:cs="Arial"/>
          <w:szCs w:val="20"/>
        </w:rPr>
      </w:pPr>
      <w:r w:rsidRPr="00B6647E">
        <w:rPr>
          <w:rFonts w:cs="Arial"/>
          <w:szCs w:val="20"/>
        </w:rPr>
        <w:t xml:space="preserve"> </w:t>
      </w:r>
      <w:bookmarkStart w:id="279" w:name="_Toc336692151"/>
      <w:bookmarkStart w:id="280" w:name="_Toc354313900"/>
      <w:r w:rsidRPr="00B6647E">
        <w:rPr>
          <w:rFonts w:cs="Arial"/>
          <w:szCs w:val="20"/>
        </w:rPr>
        <w:t>Bœufs de traction</w:t>
      </w:r>
      <w:bookmarkEnd w:id="266"/>
      <w:bookmarkEnd w:id="267"/>
      <w:bookmarkEnd w:id="268"/>
      <w:bookmarkEnd w:id="269"/>
      <w:bookmarkEnd w:id="270"/>
      <w:bookmarkEnd w:id="271"/>
      <w:bookmarkEnd w:id="279"/>
      <w:bookmarkEnd w:id="280"/>
    </w:p>
    <w:bookmarkEnd w:id="272"/>
    <w:p w:rsidR="006F3A12" w:rsidRPr="00B6647E" w:rsidRDefault="006F3A12" w:rsidP="00E51ED6">
      <w:pPr>
        <w:pStyle w:val="texte1"/>
        <w:spacing w:before="120"/>
        <w:rPr>
          <w:szCs w:val="20"/>
        </w:rPr>
      </w:pPr>
      <w:r w:rsidRPr="00B6647E">
        <w:rPr>
          <w:szCs w:val="20"/>
        </w:rPr>
        <w:t>Les animaux de traits sont très peu utilisés par les ménages agricoles. Au niveau national, on estime en effet, à seulement 0,7% (11.227 ménages tous dirigés par des hommes) la proportion de ménages utilisant la traction bovine (</w:t>
      </w:r>
      <w:r w:rsidRPr="00B6647E">
        <w:rPr>
          <w:i/>
          <w:szCs w:val="20"/>
        </w:rPr>
        <w:t>madudu</w:t>
      </w:r>
      <w:r w:rsidRPr="00B6647E">
        <w:rPr>
          <w:szCs w:val="20"/>
        </w:rPr>
        <w:t xml:space="preserve">) parmi lesquels deux sur trois n’ont qu’un seul bovin de trait. </w:t>
      </w:r>
    </w:p>
    <w:p w:rsidR="006F3A12" w:rsidRPr="00B6647E" w:rsidRDefault="006F3A12" w:rsidP="00E51ED6">
      <w:pPr>
        <w:pStyle w:val="texte1"/>
        <w:rPr>
          <w:szCs w:val="20"/>
        </w:rPr>
      </w:pPr>
      <w:r w:rsidRPr="00B6647E">
        <w:rPr>
          <w:szCs w:val="20"/>
        </w:rPr>
        <w:t xml:space="preserve">Dans l’ensemble du pays, on estime à environ 18.000 bovins de trait utilisés par les ménages agricoles. Les provinces de Ruyigi et Ngozi avec respectivement 36,7% et 27,7% du total national se situent largement en tête, en termes d’effectif de bœufs de traction. Suivent ensuite dans l’ordre les provinces de Kayanza (16,5%), de Bubanza (9,4%), de Bururi (6,5%) et de Cibitoke (3,1%). Toutes les autres provinces ont des effectifs de bœufs de traction pratiquement nuls. </w:t>
      </w:r>
    </w:p>
    <w:p w:rsidR="006F3A12" w:rsidRPr="00B6647E" w:rsidRDefault="00F77320" w:rsidP="00E51ED6">
      <w:pPr>
        <w:pStyle w:val="texte1"/>
        <w:keepNext/>
        <w:rPr>
          <w:b/>
          <w:szCs w:val="20"/>
        </w:rPr>
      </w:pPr>
      <w:r w:rsidRPr="00B6647E">
        <w:rPr>
          <w:b/>
          <w:szCs w:val="20"/>
        </w:rPr>
        <w:t>Tableau 2</w:t>
      </w:r>
      <w:r w:rsidR="00D77BAF">
        <w:rPr>
          <w:b/>
          <w:szCs w:val="20"/>
        </w:rPr>
        <w:t>2</w:t>
      </w:r>
      <w:r w:rsidRPr="00B6647E">
        <w:rPr>
          <w:b/>
          <w:szCs w:val="20"/>
        </w:rPr>
        <w:t>3</w:t>
      </w:r>
      <w:r w:rsidR="006F3A12" w:rsidRPr="00B6647E">
        <w:rPr>
          <w:b/>
          <w:szCs w:val="20"/>
        </w:rPr>
        <w:t xml:space="preserve"> : Pourcentage des ménages par province et selon le nombre de bœufs de trait possédés </w:t>
      </w:r>
    </w:p>
    <w:p w:rsidR="006F3A12" w:rsidRPr="00B6647E" w:rsidRDefault="006F3A12" w:rsidP="00E51ED6">
      <w:pPr>
        <w:pStyle w:val="texte1"/>
        <w:keepNext/>
        <w:rPr>
          <w:szCs w:val="20"/>
        </w:rPr>
      </w:pPr>
    </w:p>
    <w:p w:rsidR="006F3A12" w:rsidRPr="00B6647E" w:rsidRDefault="006F3A12" w:rsidP="00E51ED6">
      <w:pPr>
        <w:pStyle w:val="texte1"/>
        <w:keepNext/>
        <w:rPr>
          <w:szCs w:val="20"/>
        </w:rPr>
      </w:pPr>
      <w:r w:rsidRPr="00B6647E">
        <w:rPr>
          <w:noProof/>
          <w:szCs w:val="20"/>
          <w:lang w:val="fr-FR"/>
        </w:rPr>
        <w:drawing>
          <wp:inline distT="0" distB="0" distL="0" distR="0">
            <wp:extent cx="5704840" cy="3486785"/>
            <wp:effectExtent l="19050" t="0" r="0" b="0"/>
            <wp:docPr id="14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5" cstate="print"/>
                    <a:srcRect/>
                    <a:stretch>
                      <a:fillRect/>
                    </a:stretch>
                  </pic:blipFill>
                  <pic:spPr bwMode="auto">
                    <a:xfrm>
                      <a:off x="0" y="0"/>
                      <a:ext cx="5704840" cy="3486785"/>
                    </a:xfrm>
                    <a:prstGeom prst="rect">
                      <a:avLst/>
                    </a:prstGeom>
                    <a:noFill/>
                    <a:ln w="9525">
                      <a:noFill/>
                      <a:miter lim="800000"/>
                      <a:headEnd/>
                      <a:tailEnd/>
                    </a:ln>
                  </pic:spPr>
                </pic:pic>
              </a:graphicData>
            </a:graphic>
          </wp:inline>
        </w:drawing>
      </w:r>
    </w:p>
    <w:p w:rsidR="006F3A12" w:rsidRPr="00B6647E" w:rsidRDefault="006F3A12" w:rsidP="00BA1D5C">
      <w:pPr>
        <w:pStyle w:val="Titre3"/>
        <w:keepNext w:val="0"/>
        <w:numPr>
          <w:ilvl w:val="2"/>
          <w:numId w:val="1"/>
        </w:numPr>
        <w:spacing w:before="200" w:after="120"/>
        <w:ind w:left="0" w:firstLine="0"/>
        <w:rPr>
          <w:rFonts w:cs="Arial"/>
          <w:szCs w:val="20"/>
        </w:rPr>
      </w:pPr>
      <w:bookmarkStart w:id="281" w:name="_Toc244513813"/>
      <w:bookmarkStart w:id="282" w:name="_Toc244516125"/>
      <w:bookmarkStart w:id="283" w:name="_Toc244593160"/>
      <w:bookmarkStart w:id="284" w:name="_Toc244669994"/>
      <w:bookmarkStart w:id="285" w:name="_Toc244752282"/>
      <w:bookmarkStart w:id="286" w:name="_Toc336692152"/>
      <w:bookmarkStart w:id="287" w:name="_Toc354313901"/>
      <w:r w:rsidRPr="00B6647E">
        <w:rPr>
          <w:rFonts w:cs="Arial"/>
          <w:szCs w:val="20"/>
        </w:rPr>
        <w:t>Petits ruminants (Ovins et Caprins)</w:t>
      </w:r>
      <w:bookmarkEnd w:id="273"/>
      <w:bookmarkEnd w:id="274"/>
      <w:bookmarkEnd w:id="275"/>
      <w:bookmarkEnd w:id="276"/>
      <w:bookmarkEnd w:id="281"/>
      <w:bookmarkEnd w:id="282"/>
      <w:bookmarkEnd w:id="283"/>
      <w:bookmarkEnd w:id="284"/>
      <w:bookmarkEnd w:id="285"/>
      <w:bookmarkEnd w:id="286"/>
      <w:bookmarkEnd w:id="287"/>
    </w:p>
    <w:p w:rsidR="006F3A12" w:rsidRPr="00B6647E" w:rsidRDefault="00BA1D5C" w:rsidP="00BA1D5C">
      <w:pPr>
        <w:spacing w:before="200" w:after="120" w:line="240" w:lineRule="auto"/>
        <w:rPr>
          <w:b/>
          <w:sz w:val="20"/>
          <w:szCs w:val="20"/>
        </w:rPr>
      </w:pPr>
      <w:bookmarkStart w:id="288" w:name="_Toc336692153"/>
      <w:r w:rsidRPr="00B6647E">
        <w:rPr>
          <w:b/>
          <w:sz w:val="20"/>
          <w:szCs w:val="20"/>
        </w:rPr>
        <w:t xml:space="preserve">a) </w:t>
      </w:r>
      <w:r w:rsidR="006F3A12" w:rsidRPr="00B6647E">
        <w:rPr>
          <w:b/>
          <w:sz w:val="20"/>
          <w:szCs w:val="20"/>
        </w:rPr>
        <w:t>Caprins</w:t>
      </w:r>
      <w:bookmarkEnd w:id="288"/>
    </w:p>
    <w:p w:rsidR="006F3A12" w:rsidRPr="00B6647E" w:rsidRDefault="006F3A12" w:rsidP="00E51ED6">
      <w:pPr>
        <w:pStyle w:val="textedebase"/>
        <w:spacing w:before="0" w:after="0"/>
        <w:rPr>
          <w:rFonts w:cs="Arial"/>
          <w:sz w:val="20"/>
          <w:szCs w:val="20"/>
        </w:rPr>
      </w:pPr>
      <w:r w:rsidRPr="00B6647E">
        <w:rPr>
          <w:rFonts w:cs="Arial"/>
          <w:sz w:val="20"/>
          <w:szCs w:val="20"/>
        </w:rPr>
        <w:t xml:space="preserve">On estime à 45,6% (709.782 ménages) la proportion des ménages agricoles possédant au moins un caprin. Ces ménages ont en moyenne 3,5 têtes de caprins. Six provinces ont des proportions supérieures à cette proportion nationale : </w:t>
      </w:r>
    </w:p>
    <w:p w:rsidR="0091226E" w:rsidRPr="00B6647E" w:rsidRDefault="0091226E" w:rsidP="00E51ED6">
      <w:pPr>
        <w:spacing w:line="240" w:lineRule="auto"/>
        <w:jc w:val="both"/>
        <w:rPr>
          <w:rFonts w:ascii="Arial" w:hAnsi="Arial" w:cs="Arial"/>
          <w:sz w:val="20"/>
          <w:szCs w:val="20"/>
        </w:rPr>
      </w:pPr>
    </w:p>
    <w:p w:rsidR="00AF7B5F" w:rsidRPr="00B6647E" w:rsidRDefault="00AF7B5F">
      <w:pPr>
        <w:rPr>
          <w:rFonts w:ascii="Arial" w:hAnsi="Arial" w:cs="Arial"/>
          <w:b/>
          <w:sz w:val="20"/>
          <w:szCs w:val="20"/>
        </w:rPr>
      </w:pPr>
      <w:r w:rsidRPr="00B6647E">
        <w:rPr>
          <w:rFonts w:ascii="Arial" w:hAnsi="Arial" w:cs="Arial"/>
          <w:b/>
          <w:sz w:val="20"/>
          <w:szCs w:val="20"/>
        </w:rPr>
        <w:br w:type="page"/>
      </w:r>
    </w:p>
    <w:p w:rsidR="006F3A12" w:rsidRPr="00B6647E" w:rsidRDefault="006F3A12" w:rsidP="00E51ED6">
      <w:pPr>
        <w:spacing w:line="240" w:lineRule="auto"/>
        <w:jc w:val="both"/>
        <w:rPr>
          <w:rFonts w:ascii="Arial" w:hAnsi="Arial" w:cs="Arial"/>
          <w:b/>
          <w:sz w:val="20"/>
          <w:szCs w:val="20"/>
        </w:rPr>
      </w:pPr>
      <w:r w:rsidRPr="00B6647E">
        <w:rPr>
          <w:rFonts w:ascii="Arial" w:hAnsi="Arial" w:cs="Arial"/>
          <w:b/>
          <w:sz w:val="20"/>
          <w:szCs w:val="20"/>
        </w:rPr>
        <w:lastRenderedPageBreak/>
        <w:t xml:space="preserve">Tableau </w:t>
      </w:r>
      <w:r w:rsidR="00D77BAF">
        <w:rPr>
          <w:rFonts w:ascii="Arial" w:hAnsi="Arial" w:cs="Arial"/>
          <w:b/>
          <w:sz w:val="20"/>
          <w:szCs w:val="20"/>
        </w:rPr>
        <w:t>22</w:t>
      </w:r>
      <w:r w:rsidR="00F77320" w:rsidRPr="00B6647E">
        <w:rPr>
          <w:rFonts w:ascii="Arial" w:hAnsi="Arial" w:cs="Arial"/>
          <w:b/>
          <w:sz w:val="20"/>
          <w:szCs w:val="20"/>
        </w:rPr>
        <w:t>4</w:t>
      </w:r>
      <w:r w:rsidRPr="00B6647E">
        <w:rPr>
          <w:rFonts w:ascii="Arial" w:hAnsi="Arial" w:cs="Arial"/>
          <w:b/>
          <w:sz w:val="20"/>
          <w:szCs w:val="20"/>
        </w:rPr>
        <w:t> : Pourcentage de ménages par province selon le nombre de caprins possédés</w:t>
      </w:r>
    </w:p>
    <w:p w:rsidR="006F3A12" w:rsidRPr="00B6647E" w:rsidRDefault="006F3A12" w:rsidP="00E51ED6">
      <w:pPr>
        <w:keepNext/>
        <w:spacing w:line="240" w:lineRule="auto"/>
        <w:jc w:val="both"/>
        <w:rPr>
          <w:rFonts w:ascii="Arial" w:hAnsi="Arial" w:cs="Arial"/>
          <w:sz w:val="20"/>
          <w:szCs w:val="20"/>
        </w:rPr>
      </w:pPr>
      <w:r w:rsidRPr="00B6647E">
        <w:rPr>
          <w:rFonts w:ascii="Arial" w:hAnsi="Arial" w:cs="Arial"/>
          <w:noProof/>
          <w:szCs w:val="20"/>
          <w:lang w:val="fr-FR" w:eastAsia="fr-FR"/>
        </w:rPr>
        <w:drawing>
          <wp:inline distT="0" distB="0" distL="0" distR="0">
            <wp:extent cx="5731510" cy="2960444"/>
            <wp:effectExtent l="19050" t="0" r="2540" b="0"/>
            <wp:docPr id="14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6" cstate="print"/>
                    <a:srcRect/>
                    <a:stretch>
                      <a:fillRect/>
                    </a:stretch>
                  </pic:blipFill>
                  <pic:spPr bwMode="auto">
                    <a:xfrm>
                      <a:off x="0" y="0"/>
                      <a:ext cx="5731510" cy="2960444"/>
                    </a:xfrm>
                    <a:prstGeom prst="rect">
                      <a:avLst/>
                    </a:prstGeom>
                    <a:noFill/>
                    <a:ln w="9525">
                      <a:noFill/>
                      <a:miter lim="800000"/>
                      <a:headEnd/>
                      <a:tailEnd/>
                    </a:ln>
                  </pic:spPr>
                </pic:pic>
              </a:graphicData>
            </a:graphic>
          </wp:inline>
        </w:drawing>
      </w:r>
    </w:p>
    <w:p w:rsidR="006F3A12" w:rsidRPr="00B6647E" w:rsidRDefault="006F3A12" w:rsidP="0091226E">
      <w:pPr>
        <w:pStyle w:val="textedebase"/>
        <w:spacing w:before="120" w:after="120"/>
        <w:rPr>
          <w:rFonts w:cs="Arial"/>
          <w:sz w:val="20"/>
          <w:szCs w:val="20"/>
        </w:rPr>
      </w:pPr>
      <w:r w:rsidRPr="00B6647E">
        <w:rPr>
          <w:rFonts w:cs="Arial"/>
          <w:sz w:val="20"/>
          <w:szCs w:val="20"/>
        </w:rPr>
        <w:t>Cankuzo (65,7%), Ruyigi (57,6%), Kirundo (57,1%), Karuzi (50,5%), Muramvya (49,9%) et Gitega (49,7%). Il n’y a que 1,3% des ménages qui détiennent des troupeaux de caprins de dix têtes et plus.</w:t>
      </w:r>
    </w:p>
    <w:p w:rsidR="006F3A12" w:rsidRPr="00B6647E" w:rsidRDefault="006F3A12" w:rsidP="00E51ED6">
      <w:pPr>
        <w:pStyle w:val="Lgende"/>
        <w:keepNext/>
        <w:rPr>
          <w:rFonts w:ascii="Arial" w:hAnsi="Arial" w:cs="Arial"/>
        </w:rPr>
      </w:pPr>
      <w:r w:rsidRPr="00B6647E">
        <w:rPr>
          <w:rFonts w:ascii="Arial" w:hAnsi="Arial" w:cs="Arial"/>
        </w:rPr>
        <w:t xml:space="preserve">Graphique </w:t>
      </w:r>
      <w:r w:rsidR="006F5A28" w:rsidRPr="00B6647E">
        <w:rPr>
          <w:rFonts w:ascii="Arial" w:hAnsi="Arial" w:cs="Arial"/>
        </w:rPr>
        <w:t>2</w:t>
      </w:r>
      <w:r w:rsidR="002B03F3">
        <w:rPr>
          <w:rFonts w:ascii="Arial" w:hAnsi="Arial" w:cs="Arial"/>
        </w:rPr>
        <w:t>6</w:t>
      </w:r>
      <w:r w:rsidRPr="00B6647E">
        <w:rPr>
          <w:rFonts w:ascii="Arial" w:hAnsi="Arial" w:cs="Arial"/>
        </w:rPr>
        <w:t> : Proportion des ménages possédant au moins un caprin</w:t>
      </w:r>
    </w:p>
    <w:p w:rsidR="006F3A12" w:rsidRPr="00B6647E" w:rsidRDefault="006F3A12" w:rsidP="00E51ED6">
      <w:pPr>
        <w:spacing w:line="240" w:lineRule="auto"/>
        <w:rPr>
          <w:rFonts w:ascii="Arial" w:hAnsi="Arial" w:cs="Arial"/>
        </w:rPr>
      </w:pPr>
    </w:p>
    <w:p w:rsidR="006F3A12" w:rsidRPr="00B6647E" w:rsidRDefault="006F3A12" w:rsidP="00E51ED6">
      <w:pPr>
        <w:spacing w:line="240" w:lineRule="auto"/>
        <w:rPr>
          <w:rFonts w:ascii="Arial" w:hAnsi="Arial" w:cs="Arial"/>
        </w:rPr>
      </w:pPr>
      <w:r w:rsidRPr="00B6647E">
        <w:rPr>
          <w:rFonts w:ascii="Arial" w:hAnsi="Arial" w:cs="Arial"/>
          <w:noProof/>
          <w:lang w:val="fr-FR" w:eastAsia="fr-FR"/>
        </w:rPr>
        <w:drawing>
          <wp:inline distT="0" distB="0" distL="0" distR="0">
            <wp:extent cx="5410200" cy="3171825"/>
            <wp:effectExtent l="19050" t="0" r="0" b="0"/>
            <wp:docPr id="9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7" cstate="print"/>
                    <a:srcRect/>
                    <a:stretch>
                      <a:fillRect/>
                    </a:stretch>
                  </pic:blipFill>
                  <pic:spPr bwMode="auto">
                    <a:xfrm>
                      <a:off x="0" y="0"/>
                      <a:ext cx="5410200" cy="3171825"/>
                    </a:xfrm>
                    <a:prstGeom prst="rect">
                      <a:avLst/>
                    </a:prstGeom>
                    <a:noFill/>
                    <a:ln w="9525">
                      <a:noFill/>
                      <a:miter lim="800000"/>
                      <a:headEnd/>
                      <a:tailEnd/>
                    </a:ln>
                  </pic:spPr>
                </pic:pic>
              </a:graphicData>
            </a:graphic>
          </wp:inline>
        </w:drawing>
      </w:r>
    </w:p>
    <w:p w:rsidR="006F3A12" w:rsidRPr="00B6647E" w:rsidRDefault="006F3A12" w:rsidP="00E51ED6">
      <w:pPr>
        <w:pStyle w:val="textedebase"/>
        <w:spacing w:before="240" w:after="0"/>
        <w:rPr>
          <w:rFonts w:cs="Arial"/>
          <w:i/>
          <w:sz w:val="20"/>
          <w:szCs w:val="20"/>
        </w:rPr>
      </w:pPr>
    </w:p>
    <w:p w:rsidR="006F3A12" w:rsidRPr="00B6647E" w:rsidRDefault="00BA1D5C" w:rsidP="00BA1D5C">
      <w:pPr>
        <w:spacing w:before="200" w:after="120" w:line="240" w:lineRule="auto"/>
        <w:rPr>
          <w:b/>
          <w:sz w:val="20"/>
          <w:szCs w:val="20"/>
        </w:rPr>
      </w:pPr>
      <w:bookmarkStart w:id="289" w:name="_Toc336692154"/>
      <w:r w:rsidRPr="00B6647E">
        <w:rPr>
          <w:b/>
          <w:sz w:val="20"/>
          <w:szCs w:val="20"/>
        </w:rPr>
        <w:t xml:space="preserve">b) </w:t>
      </w:r>
      <w:r w:rsidR="006F3A12" w:rsidRPr="00B6647E">
        <w:rPr>
          <w:b/>
          <w:sz w:val="20"/>
          <w:szCs w:val="20"/>
        </w:rPr>
        <w:t>Ovins</w:t>
      </w:r>
      <w:bookmarkEnd w:id="289"/>
    </w:p>
    <w:p w:rsidR="006F3A12" w:rsidRPr="00B6647E" w:rsidRDefault="006F3A12" w:rsidP="00E51ED6">
      <w:pPr>
        <w:pStyle w:val="textedebase"/>
        <w:spacing w:before="0" w:after="0"/>
        <w:rPr>
          <w:rFonts w:cs="Arial"/>
          <w:sz w:val="20"/>
          <w:szCs w:val="20"/>
        </w:rPr>
      </w:pPr>
      <w:r w:rsidRPr="00B6647E">
        <w:rPr>
          <w:rFonts w:cs="Arial"/>
          <w:sz w:val="20"/>
          <w:szCs w:val="20"/>
        </w:rPr>
        <w:t>Les ménages agricoles qui ont au moins un ovin représentent 9,5% (147.334 ménages) avec une moyenne de trois têtes d’ovins. La moitié des provinces ont des proportions supérieures à cette moyenne nationale (voir graphique)</w:t>
      </w:r>
    </w:p>
    <w:p w:rsidR="006F3A12" w:rsidRPr="00B6647E" w:rsidRDefault="006F3A12" w:rsidP="00E51ED6">
      <w:pPr>
        <w:keepNext/>
        <w:spacing w:line="240" w:lineRule="auto"/>
        <w:jc w:val="both"/>
        <w:rPr>
          <w:rFonts w:ascii="Arial" w:hAnsi="Arial" w:cs="Arial"/>
          <w:sz w:val="20"/>
          <w:szCs w:val="20"/>
        </w:rPr>
      </w:pPr>
    </w:p>
    <w:p w:rsidR="0091226E" w:rsidRPr="00B6647E" w:rsidRDefault="0091226E" w:rsidP="00E51ED6">
      <w:pPr>
        <w:widowControl w:val="0"/>
        <w:spacing w:line="240" w:lineRule="auto"/>
        <w:jc w:val="both"/>
        <w:rPr>
          <w:rFonts w:ascii="Arial" w:hAnsi="Arial" w:cs="Arial"/>
          <w:sz w:val="20"/>
          <w:szCs w:val="20"/>
        </w:rPr>
      </w:pPr>
    </w:p>
    <w:p w:rsidR="006F3A12" w:rsidRPr="00B6647E" w:rsidRDefault="006F3A12" w:rsidP="00E51ED6">
      <w:pPr>
        <w:widowControl w:val="0"/>
        <w:spacing w:line="240" w:lineRule="auto"/>
        <w:jc w:val="both"/>
        <w:rPr>
          <w:rFonts w:ascii="Arial" w:hAnsi="Arial" w:cs="Arial"/>
          <w:b/>
          <w:sz w:val="20"/>
          <w:szCs w:val="20"/>
        </w:rPr>
      </w:pPr>
      <w:r w:rsidRPr="00B6647E">
        <w:rPr>
          <w:rFonts w:ascii="Arial" w:hAnsi="Arial" w:cs="Arial"/>
          <w:b/>
          <w:sz w:val="20"/>
          <w:szCs w:val="20"/>
        </w:rPr>
        <w:lastRenderedPageBreak/>
        <w:t xml:space="preserve">Tableau </w:t>
      </w:r>
      <w:r w:rsidR="007602F3">
        <w:rPr>
          <w:rFonts w:ascii="Arial" w:hAnsi="Arial" w:cs="Arial"/>
          <w:b/>
          <w:sz w:val="20"/>
          <w:szCs w:val="20"/>
        </w:rPr>
        <w:t>22</w:t>
      </w:r>
      <w:r w:rsidR="00F77320" w:rsidRPr="00B6647E">
        <w:rPr>
          <w:rFonts w:ascii="Arial" w:hAnsi="Arial" w:cs="Arial"/>
          <w:b/>
          <w:sz w:val="20"/>
          <w:szCs w:val="20"/>
        </w:rPr>
        <w:t>5</w:t>
      </w:r>
      <w:r w:rsidRPr="00B6647E">
        <w:rPr>
          <w:rFonts w:ascii="Arial" w:hAnsi="Arial" w:cs="Arial"/>
          <w:b/>
          <w:sz w:val="20"/>
          <w:szCs w:val="20"/>
        </w:rPr>
        <w:t> : Pourcentage de ménages par province selon le nombre d’ovins possédés</w:t>
      </w:r>
    </w:p>
    <w:p w:rsidR="006F3A12" w:rsidRPr="00B6647E" w:rsidRDefault="006F3A12" w:rsidP="00E51ED6">
      <w:pPr>
        <w:widowControl w:val="0"/>
        <w:spacing w:line="240" w:lineRule="auto"/>
        <w:jc w:val="both"/>
        <w:rPr>
          <w:rFonts w:ascii="Arial" w:hAnsi="Arial" w:cs="Arial"/>
          <w:sz w:val="20"/>
          <w:szCs w:val="20"/>
        </w:rPr>
      </w:pPr>
      <w:r w:rsidRPr="00B6647E">
        <w:rPr>
          <w:rFonts w:ascii="Arial" w:hAnsi="Arial" w:cs="Arial"/>
          <w:noProof/>
          <w:szCs w:val="20"/>
          <w:lang w:val="fr-FR" w:eastAsia="fr-FR"/>
        </w:rPr>
        <w:drawing>
          <wp:inline distT="0" distB="0" distL="0" distR="0">
            <wp:extent cx="5731510" cy="2951045"/>
            <wp:effectExtent l="19050" t="0" r="2540" b="0"/>
            <wp:docPr id="14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8" cstate="print"/>
                    <a:srcRect/>
                    <a:stretch>
                      <a:fillRect/>
                    </a:stretch>
                  </pic:blipFill>
                  <pic:spPr bwMode="auto">
                    <a:xfrm>
                      <a:off x="0" y="0"/>
                      <a:ext cx="5731510" cy="2951045"/>
                    </a:xfrm>
                    <a:prstGeom prst="rect">
                      <a:avLst/>
                    </a:prstGeom>
                    <a:noFill/>
                    <a:ln w="9525">
                      <a:noFill/>
                      <a:miter lim="800000"/>
                      <a:headEnd/>
                      <a:tailEnd/>
                    </a:ln>
                  </pic:spPr>
                </pic:pic>
              </a:graphicData>
            </a:graphic>
          </wp:inline>
        </w:drawing>
      </w:r>
    </w:p>
    <w:p w:rsidR="006F3A12" w:rsidRPr="00B6647E" w:rsidRDefault="006F5A28" w:rsidP="00E51ED6">
      <w:pPr>
        <w:pStyle w:val="Lgende"/>
        <w:keepNext/>
        <w:rPr>
          <w:rFonts w:ascii="Arial" w:hAnsi="Arial" w:cs="Arial"/>
        </w:rPr>
      </w:pPr>
      <w:bookmarkStart w:id="290" w:name="_Toc62035476"/>
      <w:bookmarkStart w:id="291" w:name="_Toc62035612"/>
      <w:bookmarkStart w:id="292" w:name="_Toc244754452"/>
      <w:r w:rsidRPr="00B6647E">
        <w:rPr>
          <w:rFonts w:ascii="Arial" w:hAnsi="Arial" w:cs="Arial"/>
        </w:rPr>
        <w:t>Graphique 2</w:t>
      </w:r>
      <w:r w:rsidR="002B03F3">
        <w:rPr>
          <w:rFonts w:ascii="Arial" w:hAnsi="Arial" w:cs="Arial"/>
        </w:rPr>
        <w:t>7</w:t>
      </w:r>
      <w:r w:rsidR="006F3A12" w:rsidRPr="00B6647E">
        <w:rPr>
          <w:rFonts w:ascii="Arial" w:hAnsi="Arial" w:cs="Arial"/>
        </w:rPr>
        <w:t> : Proportion des ménages possédant au moins un ovin</w:t>
      </w:r>
    </w:p>
    <w:p w:rsidR="006F3A12" w:rsidRPr="00B6647E" w:rsidRDefault="006F3A12" w:rsidP="00E51ED6">
      <w:pPr>
        <w:spacing w:line="240" w:lineRule="auto"/>
        <w:rPr>
          <w:rFonts w:ascii="Arial" w:hAnsi="Arial" w:cs="Arial"/>
        </w:rPr>
      </w:pPr>
    </w:p>
    <w:p w:rsidR="006F3A12" w:rsidRPr="00B6647E" w:rsidRDefault="006F3A12" w:rsidP="00E51ED6">
      <w:pPr>
        <w:spacing w:line="240" w:lineRule="auto"/>
        <w:rPr>
          <w:rFonts w:ascii="Arial" w:hAnsi="Arial" w:cs="Arial"/>
        </w:rPr>
      </w:pPr>
      <w:r w:rsidRPr="00B6647E">
        <w:rPr>
          <w:rFonts w:ascii="Arial" w:hAnsi="Arial" w:cs="Arial"/>
          <w:noProof/>
          <w:lang w:val="fr-FR" w:eastAsia="fr-FR"/>
        </w:rPr>
        <w:drawing>
          <wp:inline distT="0" distB="0" distL="0" distR="0">
            <wp:extent cx="5400675" cy="3143250"/>
            <wp:effectExtent l="19050" t="0" r="9525" b="0"/>
            <wp:docPr id="9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9" cstate="print"/>
                    <a:srcRect/>
                    <a:stretch>
                      <a:fillRect/>
                    </a:stretch>
                  </pic:blipFill>
                  <pic:spPr bwMode="auto">
                    <a:xfrm>
                      <a:off x="0" y="0"/>
                      <a:ext cx="5400675" cy="3143250"/>
                    </a:xfrm>
                    <a:prstGeom prst="rect">
                      <a:avLst/>
                    </a:prstGeom>
                    <a:noFill/>
                    <a:ln w="9525">
                      <a:noFill/>
                      <a:miter lim="800000"/>
                      <a:headEnd/>
                      <a:tailEnd/>
                    </a:ln>
                  </pic:spPr>
                </pic:pic>
              </a:graphicData>
            </a:graphic>
          </wp:inline>
        </w:drawing>
      </w:r>
    </w:p>
    <w:p w:rsidR="006F3A12" w:rsidRPr="00B6647E" w:rsidRDefault="006F3A12" w:rsidP="00E51ED6">
      <w:pPr>
        <w:pStyle w:val="Lgende"/>
        <w:rPr>
          <w:rFonts w:ascii="Arial" w:hAnsi="Arial" w:cs="Arial"/>
          <w:b w:val="0"/>
          <w:sz w:val="22"/>
          <w:szCs w:val="22"/>
        </w:rPr>
      </w:pPr>
    </w:p>
    <w:p w:rsidR="006F3A12" w:rsidRPr="00B6647E" w:rsidRDefault="006F3A12" w:rsidP="00BA1D5C">
      <w:pPr>
        <w:pStyle w:val="Titre3"/>
        <w:keepNext w:val="0"/>
        <w:numPr>
          <w:ilvl w:val="2"/>
          <w:numId w:val="1"/>
        </w:numPr>
        <w:spacing w:before="200" w:after="120"/>
        <w:ind w:left="0" w:firstLine="0"/>
        <w:rPr>
          <w:rFonts w:cs="Arial"/>
          <w:szCs w:val="20"/>
        </w:rPr>
      </w:pPr>
      <w:bookmarkStart w:id="293" w:name="_Toc61987326"/>
      <w:bookmarkStart w:id="294" w:name="_Toc62035296"/>
      <w:bookmarkStart w:id="295" w:name="_Toc62035479"/>
      <w:bookmarkStart w:id="296" w:name="_Toc62035562"/>
      <w:bookmarkStart w:id="297" w:name="_Toc244513815"/>
      <w:bookmarkStart w:id="298" w:name="_Toc244516127"/>
      <w:bookmarkStart w:id="299" w:name="_Toc244593162"/>
      <w:bookmarkStart w:id="300" w:name="_Toc244669996"/>
      <w:bookmarkStart w:id="301" w:name="_Toc244752284"/>
      <w:bookmarkStart w:id="302" w:name="_Toc336692155"/>
      <w:bookmarkStart w:id="303" w:name="_Toc354313902"/>
      <w:bookmarkEnd w:id="290"/>
      <w:bookmarkEnd w:id="291"/>
      <w:bookmarkEnd w:id="292"/>
      <w:r w:rsidRPr="00B6647E">
        <w:rPr>
          <w:rFonts w:cs="Arial"/>
          <w:szCs w:val="20"/>
        </w:rPr>
        <w:t>Porcins</w:t>
      </w:r>
      <w:bookmarkEnd w:id="293"/>
      <w:bookmarkEnd w:id="294"/>
      <w:bookmarkEnd w:id="295"/>
      <w:bookmarkEnd w:id="296"/>
      <w:bookmarkEnd w:id="297"/>
      <w:bookmarkEnd w:id="298"/>
      <w:bookmarkEnd w:id="299"/>
      <w:bookmarkEnd w:id="300"/>
      <w:bookmarkEnd w:id="301"/>
      <w:bookmarkEnd w:id="302"/>
      <w:bookmarkEnd w:id="303"/>
      <w:r w:rsidRPr="00B6647E">
        <w:rPr>
          <w:rFonts w:cs="Arial"/>
          <w:szCs w:val="20"/>
        </w:rPr>
        <w:t xml:space="preserve"> </w:t>
      </w:r>
    </w:p>
    <w:p w:rsidR="006F3A12" w:rsidRPr="00B6647E" w:rsidRDefault="006F3A12" w:rsidP="00E51ED6">
      <w:pPr>
        <w:pStyle w:val="textedebase"/>
        <w:rPr>
          <w:rFonts w:cs="Arial"/>
          <w:sz w:val="20"/>
          <w:szCs w:val="20"/>
        </w:rPr>
      </w:pPr>
      <w:r w:rsidRPr="00B6647E">
        <w:rPr>
          <w:rFonts w:cs="Arial"/>
          <w:sz w:val="20"/>
          <w:szCs w:val="20"/>
        </w:rPr>
        <w:t>Il y</w:t>
      </w:r>
      <w:r w:rsidR="00365CC9">
        <w:rPr>
          <w:rFonts w:cs="Arial"/>
          <w:sz w:val="20"/>
          <w:szCs w:val="20"/>
        </w:rPr>
        <w:t xml:space="preserve"> </w:t>
      </w:r>
      <w:r w:rsidRPr="00B6647E">
        <w:rPr>
          <w:rFonts w:cs="Arial"/>
          <w:sz w:val="20"/>
          <w:szCs w:val="20"/>
        </w:rPr>
        <w:t xml:space="preserve">a 16,7% des ménages agricoles qui pratiquent l’élevage des porcs. Parmi ces ménages, 89,1% ont une ou deux têtes et seulement 0,05% possèdent des troupeaux de dix têtes et plus principalement dans les provinces de Kirundo et Muramvya. </w:t>
      </w:r>
    </w:p>
    <w:p w:rsidR="006F3A12" w:rsidRPr="00B6647E" w:rsidRDefault="006F3A12" w:rsidP="00E51ED6">
      <w:pPr>
        <w:keepNext/>
        <w:spacing w:line="240" w:lineRule="auto"/>
        <w:jc w:val="both"/>
        <w:rPr>
          <w:rFonts w:ascii="Arial" w:hAnsi="Arial" w:cs="Arial"/>
          <w:b/>
          <w:sz w:val="20"/>
          <w:szCs w:val="20"/>
        </w:rPr>
      </w:pPr>
      <w:r w:rsidRPr="00B6647E">
        <w:rPr>
          <w:rFonts w:ascii="Arial" w:hAnsi="Arial" w:cs="Arial"/>
          <w:b/>
          <w:sz w:val="20"/>
          <w:szCs w:val="20"/>
        </w:rPr>
        <w:lastRenderedPageBreak/>
        <w:t xml:space="preserve">Tableau </w:t>
      </w:r>
      <w:r w:rsidR="007602F3">
        <w:rPr>
          <w:rFonts w:ascii="Arial" w:hAnsi="Arial" w:cs="Arial"/>
          <w:b/>
          <w:sz w:val="20"/>
          <w:szCs w:val="20"/>
        </w:rPr>
        <w:t>22</w:t>
      </w:r>
      <w:r w:rsidR="00F77320" w:rsidRPr="00B6647E">
        <w:rPr>
          <w:rFonts w:ascii="Arial" w:hAnsi="Arial" w:cs="Arial"/>
          <w:b/>
          <w:sz w:val="20"/>
          <w:szCs w:val="20"/>
        </w:rPr>
        <w:t>6</w:t>
      </w:r>
      <w:r w:rsidRPr="00B6647E">
        <w:rPr>
          <w:rFonts w:ascii="Arial" w:hAnsi="Arial" w:cs="Arial"/>
          <w:b/>
          <w:sz w:val="20"/>
          <w:szCs w:val="20"/>
        </w:rPr>
        <w:t> : Pourcentage de ménages par province selon le nombre de porcins possédés</w:t>
      </w:r>
    </w:p>
    <w:p w:rsidR="006F3A12" w:rsidRPr="00B6647E" w:rsidRDefault="006F3A12" w:rsidP="00E51ED6">
      <w:pPr>
        <w:keepNext/>
        <w:spacing w:line="240" w:lineRule="auto"/>
        <w:jc w:val="both"/>
        <w:rPr>
          <w:rFonts w:ascii="Arial" w:hAnsi="Arial" w:cs="Arial"/>
          <w:sz w:val="20"/>
          <w:szCs w:val="20"/>
        </w:rPr>
      </w:pPr>
      <w:r w:rsidRPr="00B6647E">
        <w:rPr>
          <w:rFonts w:ascii="Arial" w:hAnsi="Arial" w:cs="Arial"/>
          <w:noProof/>
          <w:szCs w:val="20"/>
          <w:lang w:val="fr-FR" w:eastAsia="fr-FR"/>
        </w:rPr>
        <w:drawing>
          <wp:inline distT="0" distB="0" distL="0" distR="0">
            <wp:extent cx="5731510" cy="2916899"/>
            <wp:effectExtent l="19050" t="0" r="2540" b="0"/>
            <wp:docPr id="14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0" cstate="print"/>
                    <a:srcRect/>
                    <a:stretch>
                      <a:fillRect/>
                    </a:stretch>
                  </pic:blipFill>
                  <pic:spPr bwMode="auto">
                    <a:xfrm>
                      <a:off x="0" y="0"/>
                      <a:ext cx="5731510" cy="2916899"/>
                    </a:xfrm>
                    <a:prstGeom prst="rect">
                      <a:avLst/>
                    </a:prstGeom>
                    <a:noFill/>
                    <a:ln w="9525">
                      <a:noFill/>
                      <a:miter lim="800000"/>
                      <a:headEnd/>
                      <a:tailEnd/>
                    </a:ln>
                  </pic:spPr>
                </pic:pic>
              </a:graphicData>
            </a:graphic>
          </wp:inline>
        </w:drawing>
      </w:r>
    </w:p>
    <w:p w:rsidR="006F3A12" w:rsidRPr="00B6647E" w:rsidRDefault="006F3A12" w:rsidP="00E51ED6">
      <w:pPr>
        <w:pStyle w:val="textedebase"/>
        <w:rPr>
          <w:rFonts w:cs="Arial"/>
          <w:sz w:val="20"/>
          <w:szCs w:val="20"/>
        </w:rPr>
      </w:pPr>
      <w:bookmarkStart w:id="304" w:name="_Toc61987327"/>
      <w:bookmarkStart w:id="305" w:name="_Toc62035297"/>
      <w:bookmarkStart w:id="306" w:name="_Toc62035481"/>
      <w:bookmarkStart w:id="307" w:name="_Toc62035563"/>
      <w:r w:rsidRPr="00B6647E">
        <w:rPr>
          <w:rFonts w:cs="Arial"/>
          <w:sz w:val="20"/>
          <w:szCs w:val="20"/>
        </w:rPr>
        <w:t>Les principales provinces d’élevage de porcs sont Gitega (15,7%), Kirundo (11,6%), Ngozi (10,6%) et Kayanza (8,6%) qui regroupent 46,10% de l’effectif total. Avec près de 95% de ses ménages agricoles qui ne pratiquent pas l’élevage des porcs, Cankuzo apparaît comme la province qui élève le moins de porcs</w:t>
      </w:r>
      <w:r w:rsidRPr="00B6647E">
        <w:rPr>
          <w:rFonts w:cs="Arial"/>
          <w:color w:val="FFFF00"/>
          <w:sz w:val="20"/>
          <w:szCs w:val="20"/>
        </w:rPr>
        <w:t xml:space="preserve"> </w:t>
      </w:r>
      <w:r w:rsidRPr="00B6647E">
        <w:rPr>
          <w:rFonts w:cs="Arial"/>
          <w:sz w:val="20"/>
          <w:szCs w:val="20"/>
        </w:rPr>
        <w:t>avec 0,8% du total national des porcs.</w:t>
      </w:r>
    </w:p>
    <w:p w:rsidR="006F3A12" w:rsidRPr="00B6647E" w:rsidRDefault="006F3A12" w:rsidP="00BA1D5C">
      <w:pPr>
        <w:pStyle w:val="Titre3"/>
        <w:keepNext w:val="0"/>
        <w:numPr>
          <w:ilvl w:val="2"/>
          <w:numId w:val="1"/>
        </w:numPr>
        <w:spacing w:before="200" w:after="120"/>
        <w:ind w:left="0" w:firstLine="0"/>
        <w:rPr>
          <w:rFonts w:cs="Arial"/>
          <w:szCs w:val="20"/>
        </w:rPr>
      </w:pPr>
      <w:bookmarkStart w:id="308" w:name="_Toc336692156"/>
      <w:bookmarkStart w:id="309" w:name="_Toc354313903"/>
      <w:bookmarkStart w:id="310" w:name="_Toc244513816"/>
      <w:bookmarkStart w:id="311" w:name="_Toc244516128"/>
      <w:bookmarkStart w:id="312" w:name="_Toc244593163"/>
      <w:bookmarkStart w:id="313" w:name="_Toc244669997"/>
      <w:bookmarkStart w:id="314" w:name="_Toc244752285"/>
      <w:r w:rsidRPr="00B6647E">
        <w:rPr>
          <w:rFonts w:cs="Arial"/>
          <w:szCs w:val="20"/>
        </w:rPr>
        <w:t>Lapins et cobayes</w:t>
      </w:r>
      <w:bookmarkEnd w:id="308"/>
      <w:bookmarkEnd w:id="309"/>
      <w:r w:rsidRPr="00B6647E">
        <w:rPr>
          <w:rFonts w:cs="Arial"/>
          <w:szCs w:val="20"/>
        </w:rPr>
        <w:t xml:space="preserve"> </w:t>
      </w:r>
    </w:p>
    <w:p w:rsidR="006F3A12" w:rsidRPr="00B6647E" w:rsidRDefault="006F3A12" w:rsidP="00E51ED6">
      <w:pPr>
        <w:spacing w:line="240" w:lineRule="auto"/>
        <w:rPr>
          <w:rFonts w:ascii="Arial" w:hAnsi="Arial" w:cs="Arial"/>
          <w:sz w:val="20"/>
          <w:szCs w:val="20"/>
        </w:rPr>
      </w:pPr>
      <w:r w:rsidRPr="00B6647E">
        <w:rPr>
          <w:rFonts w:ascii="Arial" w:hAnsi="Arial" w:cs="Arial"/>
          <w:sz w:val="20"/>
          <w:szCs w:val="20"/>
        </w:rPr>
        <w:t>Les ménages agricoles qui ont des lapins ne représentent que 1,1% de l’ensemble des ménages agricoles du pays et dont la moitié ne possède qu’un lapin.</w:t>
      </w:r>
    </w:p>
    <w:p w:rsidR="006F3A12" w:rsidRPr="00B6647E" w:rsidRDefault="007602F3" w:rsidP="00E51ED6">
      <w:pPr>
        <w:keepNext/>
        <w:spacing w:line="240" w:lineRule="auto"/>
        <w:jc w:val="both"/>
        <w:rPr>
          <w:rFonts w:ascii="Arial" w:hAnsi="Arial" w:cs="Arial"/>
          <w:b/>
          <w:sz w:val="20"/>
          <w:szCs w:val="20"/>
        </w:rPr>
      </w:pPr>
      <w:r>
        <w:rPr>
          <w:rFonts w:ascii="Arial" w:hAnsi="Arial" w:cs="Arial"/>
          <w:b/>
          <w:sz w:val="20"/>
          <w:szCs w:val="20"/>
        </w:rPr>
        <w:t>Tableau 22</w:t>
      </w:r>
      <w:r w:rsidR="00F77320" w:rsidRPr="00B6647E">
        <w:rPr>
          <w:rFonts w:ascii="Arial" w:hAnsi="Arial" w:cs="Arial"/>
          <w:b/>
          <w:sz w:val="20"/>
          <w:szCs w:val="20"/>
        </w:rPr>
        <w:t>7</w:t>
      </w:r>
      <w:r w:rsidR="006F3A12" w:rsidRPr="00B6647E">
        <w:rPr>
          <w:rFonts w:ascii="Arial" w:hAnsi="Arial" w:cs="Arial"/>
          <w:b/>
          <w:sz w:val="20"/>
          <w:szCs w:val="20"/>
        </w:rPr>
        <w:t> : Pourcentage de ménages par province selon le nombre de lapins possédés</w:t>
      </w:r>
    </w:p>
    <w:p w:rsidR="006F3A12" w:rsidRPr="00B6647E" w:rsidRDefault="006F3A12" w:rsidP="00E51ED6">
      <w:pPr>
        <w:keepNext/>
        <w:spacing w:line="240" w:lineRule="auto"/>
        <w:jc w:val="both"/>
        <w:rPr>
          <w:rFonts w:ascii="Arial" w:hAnsi="Arial" w:cs="Arial"/>
          <w:sz w:val="20"/>
          <w:szCs w:val="20"/>
        </w:rPr>
      </w:pPr>
      <w:r w:rsidRPr="00B6647E">
        <w:rPr>
          <w:rFonts w:ascii="Arial" w:hAnsi="Arial" w:cs="Arial"/>
          <w:noProof/>
          <w:szCs w:val="20"/>
          <w:lang w:val="fr-FR" w:eastAsia="fr-FR"/>
        </w:rPr>
        <w:drawing>
          <wp:inline distT="0" distB="0" distL="0" distR="0">
            <wp:extent cx="5731510" cy="3295285"/>
            <wp:effectExtent l="19050" t="0" r="2540" b="0"/>
            <wp:docPr id="15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1" cstate="print"/>
                    <a:srcRect/>
                    <a:stretch>
                      <a:fillRect/>
                    </a:stretch>
                  </pic:blipFill>
                  <pic:spPr bwMode="auto">
                    <a:xfrm>
                      <a:off x="0" y="0"/>
                      <a:ext cx="5731510" cy="3295285"/>
                    </a:xfrm>
                    <a:prstGeom prst="rect">
                      <a:avLst/>
                    </a:prstGeom>
                    <a:noFill/>
                    <a:ln w="9525">
                      <a:noFill/>
                      <a:miter lim="800000"/>
                      <a:headEnd/>
                      <a:tailEnd/>
                    </a:ln>
                  </pic:spPr>
                </pic:pic>
              </a:graphicData>
            </a:graphic>
          </wp:inline>
        </w:drawing>
      </w:r>
    </w:p>
    <w:p w:rsidR="006F3A12" w:rsidRPr="00B6647E" w:rsidRDefault="006F3A12" w:rsidP="00E51ED6">
      <w:pPr>
        <w:spacing w:line="240" w:lineRule="auto"/>
        <w:rPr>
          <w:rFonts w:ascii="Arial" w:hAnsi="Arial" w:cs="Arial"/>
          <w:sz w:val="20"/>
          <w:szCs w:val="20"/>
        </w:rPr>
      </w:pPr>
      <w:r w:rsidRPr="00B6647E">
        <w:rPr>
          <w:rFonts w:ascii="Arial" w:hAnsi="Arial" w:cs="Arial"/>
          <w:sz w:val="20"/>
          <w:szCs w:val="20"/>
        </w:rPr>
        <w:t>L’élevage des cobayes est effectué par 11% des  ménages agricoles. Un ménage sur trois environ (36,4%) parmi ces ménages possède de 3 à 5 têtes.</w:t>
      </w:r>
    </w:p>
    <w:p w:rsidR="006F3A12" w:rsidRPr="00B6647E" w:rsidRDefault="006F3A12" w:rsidP="00E51ED6">
      <w:pPr>
        <w:keepNext/>
        <w:spacing w:line="240" w:lineRule="auto"/>
        <w:jc w:val="both"/>
        <w:rPr>
          <w:rFonts w:ascii="Arial" w:hAnsi="Arial" w:cs="Arial"/>
          <w:b/>
          <w:sz w:val="20"/>
          <w:szCs w:val="20"/>
        </w:rPr>
      </w:pPr>
      <w:r w:rsidRPr="00B6647E">
        <w:rPr>
          <w:rFonts w:ascii="Arial" w:hAnsi="Arial" w:cs="Arial"/>
          <w:b/>
          <w:sz w:val="20"/>
          <w:szCs w:val="20"/>
        </w:rPr>
        <w:lastRenderedPageBreak/>
        <w:t xml:space="preserve">Tableau </w:t>
      </w:r>
      <w:r w:rsidR="007602F3">
        <w:rPr>
          <w:rFonts w:ascii="Arial" w:hAnsi="Arial" w:cs="Arial"/>
          <w:b/>
          <w:sz w:val="20"/>
          <w:szCs w:val="20"/>
        </w:rPr>
        <w:t>22</w:t>
      </w:r>
      <w:r w:rsidR="00F77320" w:rsidRPr="00B6647E">
        <w:rPr>
          <w:rFonts w:ascii="Arial" w:hAnsi="Arial" w:cs="Arial"/>
          <w:b/>
          <w:sz w:val="20"/>
          <w:szCs w:val="20"/>
        </w:rPr>
        <w:t>8</w:t>
      </w:r>
      <w:r w:rsidRPr="00B6647E">
        <w:rPr>
          <w:rFonts w:ascii="Arial" w:hAnsi="Arial" w:cs="Arial"/>
          <w:b/>
          <w:sz w:val="20"/>
          <w:szCs w:val="20"/>
        </w:rPr>
        <w:t> : Pourcentage de ménages par province selon le nombre de cobayes possédés</w:t>
      </w:r>
    </w:p>
    <w:p w:rsidR="006F3A12" w:rsidRPr="00B6647E" w:rsidRDefault="006F3A12" w:rsidP="00E51ED6">
      <w:pPr>
        <w:pStyle w:val="RGA3"/>
        <w:rPr>
          <w:rFonts w:cs="Arial"/>
          <w:b w:val="0"/>
          <w:sz w:val="20"/>
          <w:szCs w:val="20"/>
        </w:rPr>
      </w:pPr>
      <w:r w:rsidRPr="00B6647E">
        <w:rPr>
          <w:rFonts w:cs="Arial"/>
          <w:b w:val="0"/>
          <w:noProof/>
          <w:sz w:val="20"/>
          <w:szCs w:val="20"/>
        </w:rPr>
        <w:drawing>
          <wp:inline distT="0" distB="0" distL="0" distR="0">
            <wp:extent cx="5731510" cy="2904652"/>
            <wp:effectExtent l="19050" t="0" r="2540" b="0"/>
            <wp:docPr id="15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2" cstate="print"/>
                    <a:srcRect/>
                    <a:stretch>
                      <a:fillRect/>
                    </a:stretch>
                  </pic:blipFill>
                  <pic:spPr bwMode="auto">
                    <a:xfrm>
                      <a:off x="0" y="0"/>
                      <a:ext cx="5731510" cy="2904652"/>
                    </a:xfrm>
                    <a:prstGeom prst="rect">
                      <a:avLst/>
                    </a:prstGeom>
                    <a:noFill/>
                    <a:ln w="9525">
                      <a:noFill/>
                      <a:miter lim="800000"/>
                      <a:headEnd/>
                      <a:tailEnd/>
                    </a:ln>
                  </pic:spPr>
                </pic:pic>
              </a:graphicData>
            </a:graphic>
          </wp:inline>
        </w:drawing>
      </w:r>
    </w:p>
    <w:p w:rsidR="006F3A12" w:rsidRPr="00B6647E" w:rsidRDefault="006F3A12" w:rsidP="00BA1D5C">
      <w:pPr>
        <w:pStyle w:val="Titre3"/>
        <w:keepNext w:val="0"/>
        <w:numPr>
          <w:ilvl w:val="2"/>
          <w:numId w:val="1"/>
        </w:numPr>
        <w:spacing w:before="200" w:after="120"/>
        <w:ind w:left="0" w:firstLine="0"/>
        <w:rPr>
          <w:rFonts w:cs="Arial"/>
          <w:szCs w:val="20"/>
        </w:rPr>
      </w:pPr>
      <w:bookmarkStart w:id="315" w:name="_Toc336692157"/>
      <w:bookmarkStart w:id="316" w:name="_Toc354313904"/>
      <w:r w:rsidRPr="00B6647E">
        <w:rPr>
          <w:rFonts w:cs="Arial"/>
          <w:szCs w:val="20"/>
        </w:rPr>
        <w:t>Volaille (poules, autres volailles)</w:t>
      </w:r>
      <w:bookmarkEnd w:id="304"/>
      <w:bookmarkEnd w:id="305"/>
      <w:bookmarkEnd w:id="306"/>
      <w:bookmarkEnd w:id="307"/>
      <w:bookmarkEnd w:id="310"/>
      <w:bookmarkEnd w:id="311"/>
      <w:bookmarkEnd w:id="312"/>
      <w:bookmarkEnd w:id="313"/>
      <w:bookmarkEnd w:id="314"/>
      <w:bookmarkEnd w:id="315"/>
      <w:bookmarkEnd w:id="316"/>
    </w:p>
    <w:p w:rsidR="006F3A12" w:rsidRPr="00B6647E" w:rsidRDefault="006F3A12" w:rsidP="00E51ED6">
      <w:pPr>
        <w:pStyle w:val="Lgende"/>
        <w:jc w:val="both"/>
        <w:rPr>
          <w:rFonts w:ascii="Arial" w:hAnsi="Arial" w:cs="Arial"/>
          <w:b w:val="0"/>
        </w:rPr>
      </w:pPr>
      <w:r w:rsidRPr="00B6647E">
        <w:rPr>
          <w:rFonts w:ascii="Arial" w:hAnsi="Arial" w:cs="Arial"/>
          <w:b w:val="0"/>
        </w:rPr>
        <w:t xml:space="preserve">Sur un total d’environ 2.450.000 volailles, les poules représentent 96,2%, les canards 2,3%, les dindons  0,1% et les autres volailles (pigeons, pintades) 1,5%. L’élevage de la volaille est répandu sur toute l’étendue du territoire avec des proportions variant de Kayanza (1,3%) à Makamba (11,9%). La moitié de l’effectif national est concentré dans quatre provinces : Makamba (11,9%), Muyinga (11,7%), Kirundo et Bujumbura rural avec chacune 9,1% et Cibitoke (8,1%). </w:t>
      </w:r>
    </w:p>
    <w:p w:rsidR="006F3A12" w:rsidRPr="00B6647E" w:rsidRDefault="006F3A12" w:rsidP="00E51ED6">
      <w:pPr>
        <w:pStyle w:val="Lgende"/>
        <w:rPr>
          <w:rFonts w:ascii="Arial" w:hAnsi="Arial" w:cs="Arial"/>
          <w:b w:val="0"/>
        </w:rPr>
      </w:pPr>
    </w:p>
    <w:p w:rsidR="006F3A12" w:rsidRPr="00B6647E" w:rsidRDefault="006F3A12" w:rsidP="00E51ED6">
      <w:pPr>
        <w:pStyle w:val="Lgende"/>
        <w:rPr>
          <w:rFonts w:ascii="Arial" w:hAnsi="Arial" w:cs="Arial"/>
        </w:rPr>
      </w:pPr>
      <w:r w:rsidRPr="00B6647E">
        <w:rPr>
          <w:rFonts w:ascii="Arial" w:hAnsi="Arial" w:cs="Arial"/>
        </w:rPr>
        <w:t xml:space="preserve">Tableau </w:t>
      </w:r>
      <w:r w:rsidR="007602F3">
        <w:rPr>
          <w:rFonts w:ascii="Arial" w:hAnsi="Arial" w:cs="Arial"/>
        </w:rPr>
        <w:t>22</w:t>
      </w:r>
      <w:r w:rsidR="00F77320" w:rsidRPr="00B6647E">
        <w:rPr>
          <w:rFonts w:ascii="Arial" w:hAnsi="Arial" w:cs="Arial"/>
        </w:rPr>
        <w:t>9</w:t>
      </w:r>
      <w:r w:rsidRPr="00B6647E">
        <w:rPr>
          <w:rFonts w:ascii="Arial" w:hAnsi="Arial" w:cs="Arial"/>
        </w:rPr>
        <w:t> : Pourcentage des ménages agricoles selon le nombre de poules</w:t>
      </w:r>
    </w:p>
    <w:p w:rsidR="006F3A12" w:rsidRPr="00B6647E" w:rsidRDefault="006F3A12" w:rsidP="00E51ED6">
      <w:pPr>
        <w:pStyle w:val="textedebase"/>
        <w:rPr>
          <w:rFonts w:cs="Arial"/>
          <w:sz w:val="20"/>
          <w:szCs w:val="20"/>
        </w:rPr>
      </w:pPr>
      <w:r w:rsidRPr="00B6647E">
        <w:rPr>
          <w:rFonts w:cs="Arial"/>
          <w:noProof/>
          <w:sz w:val="20"/>
          <w:szCs w:val="20"/>
        </w:rPr>
        <w:drawing>
          <wp:inline distT="0" distB="0" distL="0" distR="0">
            <wp:extent cx="5731510" cy="2941707"/>
            <wp:effectExtent l="19050" t="0" r="2540" b="0"/>
            <wp:docPr id="155"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3" cstate="print"/>
                    <a:srcRect/>
                    <a:stretch>
                      <a:fillRect/>
                    </a:stretch>
                  </pic:blipFill>
                  <pic:spPr bwMode="auto">
                    <a:xfrm>
                      <a:off x="0" y="0"/>
                      <a:ext cx="5731510" cy="2941707"/>
                    </a:xfrm>
                    <a:prstGeom prst="rect">
                      <a:avLst/>
                    </a:prstGeom>
                    <a:noFill/>
                    <a:ln w="9525">
                      <a:noFill/>
                      <a:miter lim="800000"/>
                      <a:headEnd/>
                      <a:tailEnd/>
                    </a:ln>
                  </pic:spPr>
                </pic:pic>
              </a:graphicData>
            </a:graphic>
          </wp:inline>
        </w:drawing>
      </w:r>
    </w:p>
    <w:p w:rsidR="006F3A12" w:rsidRPr="00B6647E" w:rsidRDefault="006F3A12" w:rsidP="00E51ED6">
      <w:pPr>
        <w:pStyle w:val="textedebase"/>
        <w:rPr>
          <w:rFonts w:cs="Arial"/>
          <w:sz w:val="20"/>
          <w:szCs w:val="20"/>
        </w:rPr>
      </w:pPr>
      <w:r w:rsidRPr="00B6647E">
        <w:rPr>
          <w:rFonts w:cs="Arial"/>
          <w:sz w:val="20"/>
          <w:szCs w:val="20"/>
        </w:rPr>
        <w:t>Environ un ménage sur quatre (28,1%) possède au moins une tête de poule. Parmi ces ménages, les plus nombreux sont ceux qui ont de 3 à 5 têtes (35,6 %).</w:t>
      </w:r>
    </w:p>
    <w:p w:rsidR="0091226E" w:rsidRPr="00B6647E" w:rsidRDefault="0091226E">
      <w:pPr>
        <w:rPr>
          <w:rFonts w:ascii="Arial" w:hAnsi="Arial" w:cs="Arial"/>
          <w:sz w:val="20"/>
          <w:szCs w:val="20"/>
        </w:rPr>
      </w:pPr>
      <w:r w:rsidRPr="00B6647E">
        <w:rPr>
          <w:rFonts w:ascii="Arial" w:hAnsi="Arial" w:cs="Arial"/>
          <w:sz w:val="20"/>
          <w:szCs w:val="20"/>
        </w:rPr>
        <w:br w:type="page"/>
      </w:r>
    </w:p>
    <w:p w:rsidR="006F3A12" w:rsidRPr="00B6647E" w:rsidRDefault="006F3A12" w:rsidP="00E51ED6">
      <w:pPr>
        <w:spacing w:line="240" w:lineRule="auto"/>
        <w:jc w:val="both"/>
        <w:rPr>
          <w:rFonts w:ascii="Arial" w:hAnsi="Arial" w:cs="Arial"/>
          <w:sz w:val="20"/>
          <w:szCs w:val="20"/>
        </w:rPr>
      </w:pPr>
      <w:r w:rsidRPr="00B6647E">
        <w:rPr>
          <w:rFonts w:ascii="Arial" w:hAnsi="Arial" w:cs="Arial"/>
          <w:sz w:val="20"/>
          <w:szCs w:val="20"/>
        </w:rPr>
        <w:lastRenderedPageBreak/>
        <w:t>La structure des ménages agricoles selon la possession des animaux, nous montre que :</w:t>
      </w:r>
    </w:p>
    <w:p w:rsidR="006F3A12" w:rsidRPr="00B6647E" w:rsidRDefault="006F3A12" w:rsidP="008D536E">
      <w:pPr>
        <w:pStyle w:val="Paragraphedeliste"/>
        <w:numPr>
          <w:ilvl w:val="0"/>
          <w:numId w:val="5"/>
        </w:numPr>
        <w:spacing w:after="240" w:line="240" w:lineRule="auto"/>
        <w:jc w:val="both"/>
        <w:rPr>
          <w:rFonts w:ascii="Arial" w:hAnsi="Arial" w:cs="Arial"/>
          <w:sz w:val="20"/>
          <w:szCs w:val="20"/>
        </w:rPr>
      </w:pPr>
      <w:r w:rsidRPr="00B6647E">
        <w:rPr>
          <w:rFonts w:ascii="Arial" w:hAnsi="Arial" w:cs="Arial"/>
          <w:sz w:val="20"/>
          <w:szCs w:val="20"/>
        </w:rPr>
        <w:t>35,9% des ménages agricoles ne possèdent ni bovin, ni caprins, ni ovin et ni porcin ;</w:t>
      </w:r>
    </w:p>
    <w:p w:rsidR="006F3A12" w:rsidRPr="00B6647E" w:rsidRDefault="006F3A12" w:rsidP="00E51ED6">
      <w:pPr>
        <w:pStyle w:val="Paragraphedeliste"/>
        <w:spacing w:after="240" w:line="240" w:lineRule="auto"/>
        <w:ind w:left="360"/>
        <w:jc w:val="both"/>
        <w:rPr>
          <w:rFonts w:ascii="Arial" w:hAnsi="Arial" w:cs="Arial"/>
          <w:sz w:val="20"/>
          <w:szCs w:val="20"/>
        </w:rPr>
      </w:pPr>
    </w:p>
    <w:p w:rsidR="006F3A12" w:rsidRPr="00B6647E" w:rsidRDefault="006F3A12" w:rsidP="008D536E">
      <w:pPr>
        <w:pStyle w:val="Paragraphedeliste"/>
        <w:numPr>
          <w:ilvl w:val="0"/>
          <w:numId w:val="5"/>
        </w:numPr>
        <w:spacing w:after="240" w:line="240" w:lineRule="auto"/>
        <w:jc w:val="both"/>
        <w:rPr>
          <w:rFonts w:ascii="Arial" w:hAnsi="Arial" w:cs="Arial"/>
          <w:sz w:val="20"/>
          <w:szCs w:val="20"/>
        </w:rPr>
      </w:pPr>
      <w:r w:rsidRPr="00B6647E">
        <w:rPr>
          <w:rFonts w:ascii="Arial" w:hAnsi="Arial" w:cs="Arial"/>
          <w:sz w:val="20"/>
          <w:szCs w:val="20"/>
        </w:rPr>
        <w:t>31,5% des ménages agricoles ne possèdent ni bovin, ni caprin, ni ovin, ni porcin, ni lapin et ni cobaye ;</w:t>
      </w:r>
    </w:p>
    <w:p w:rsidR="006F3A12" w:rsidRPr="00B6647E" w:rsidRDefault="006F3A12" w:rsidP="00E51ED6">
      <w:pPr>
        <w:pStyle w:val="Paragraphedeliste"/>
        <w:spacing w:after="240" w:line="240" w:lineRule="auto"/>
        <w:ind w:left="360"/>
        <w:jc w:val="both"/>
        <w:rPr>
          <w:rFonts w:ascii="Arial" w:hAnsi="Arial" w:cs="Arial"/>
          <w:sz w:val="20"/>
          <w:szCs w:val="20"/>
        </w:rPr>
      </w:pPr>
    </w:p>
    <w:p w:rsidR="006F3A12" w:rsidRPr="00B6647E" w:rsidRDefault="006F3A12" w:rsidP="008D536E">
      <w:pPr>
        <w:pStyle w:val="Paragraphedeliste"/>
        <w:numPr>
          <w:ilvl w:val="0"/>
          <w:numId w:val="5"/>
        </w:numPr>
        <w:spacing w:after="240" w:line="240" w:lineRule="auto"/>
        <w:jc w:val="both"/>
        <w:rPr>
          <w:rFonts w:ascii="Arial" w:hAnsi="Arial" w:cs="Arial"/>
          <w:sz w:val="20"/>
          <w:szCs w:val="20"/>
        </w:rPr>
      </w:pPr>
      <w:r w:rsidRPr="00B6647E">
        <w:rPr>
          <w:rFonts w:ascii="Arial" w:hAnsi="Arial" w:cs="Arial"/>
          <w:sz w:val="20"/>
          <w:szCs w:val="20"/>
        </w:rPr>
        <w:t>5,8% des ménages agricoles ne possèdent que quelques têtes de volaille ;</w:t>
      </w:r>
    </w:p>
    <w:p w:rsidR="006F3A12" w:rsidRPr="00B6647E" w:rsidRDefault="006F3A12" w:rsidP="00E51ED6">
      <w:pPr>
        <w:pStyle w:val="Paragraphedeliste"/>
        <w:spacing w:after="240" w:line="240" w:lineRule="auto"/>
        <w:ind w:left="360"/>
        <w:jc w:val="both"/>
        <w:rPr>
          <w:rFonts w:ascii="Arial" w:hAnsi="Arial" w:cs="Arial"/>
          <w:sz w:val="20"/>
          <w:szCs w:val="20"/>
        </w:rPr>
      </w:pPr>
    </w:p>
    <w:p w:rsidR="006F3A12" w:rsidRPr="00B6647E" w:rsidRDefault="006F3A12" w:rsidP="008D536E">
      <w:pPr>
        <w:pStyle w:val="Paragraphedeliste"/>
        <w:numPr>
          <w:ilvl w:val="0"/>
          <w:numId w:val="5"/>
        </w:numPr>
        <w:spacing w:after="240" w:line="240" w:lineRule="auto"/>
        <w:jc w:val="both"/>
        <w:rPr>
          <w:rFonts w:ascii="Arial" w:hAnsi="Arial" w:cs="Arial"/>
          <w:sz w:val="20"/>
          <w:szCs w:val="20"/>
        </w:rPr>
      </w:pPr>
      <w:r w:rsidRPr="00B6647E">
        <w:rPr>
          <w:rFonts w:ascii="Arial" w:hAnsi="Arial" w:cs="Arial"/>
          <w:sz w:val="20"/>
          <w:szCs w:val="20"/>
        </w:rPr>
        <w:t>25,7% des ménages agricoles ne possèdent aucun animal (y compris la volaille).</w:t>
      </w:r>
    </w:p>
    <w:p w:rsidR="006F3A12" w:rsidRPr="00B6647E" w:rsidRDefault="006F3A12" w:rsidP="00E51ED6">
      <w:pPr>
        <w:spacing w:after="120" w:line="240" w:lineRule="auto"/>
        <w:ind w:left="360"/>
        <w:rPr>
          <w:rFonts w:ascii="Arial" w:hAnsi="Arial" w:cs="Arial"/>
          <w:sz w:val="20"/>
          <w:szCs w:val="20"/>
        </w:rPr>
      </w:pPr>
    </w:p>
    <w:p w:rsidR="006F3A12" w:rsidRPr="00365CC9" w:rsidRDefault="006F3A12" w:rsidP="00E51ED6">
      <w:pPr>
        <w:keepNext/>
        <w:spacing w:line="240" w:lineRule="auto"/>
        <w:rPr>
          <w:rFonts w:ascii="Arial" w:hAnsi="Arial" w:cs="Arial"/>
          <w:b/>
          <w:sz w:val="20"/>
          <w:szCs w:val="20"/>
        </w:rPr>
      </w:pPr>
      <w:r w:rsidRPr="00365CC9">
        <w:rPr>
          <w:rFonts w:ascii="Arial" w:hAnsi="Arial" w:cs="Arial"/>
          <w:b/>
          <w:sz w:val="20"/>
          <w:szCs w:val="20"/>
        </w:rPr>
        <w:t xml:space="preserve">Tableau </w:t>
      </w:r>
      <w:r w:rsidR="007602F3" w:rsidRPr="00365CC9">
        <w:rPr>
          <w:rFonts w:ascii="Arial" w:hAnsi="Arial" w:cs="Arial"/>
          <w:b/>
          <w:sz w:val="20"/>
          <w:szCs w:val="20"/>
        </w:rPr>
        <w:t>23</w:t>
      </w:r>
      <w:r w:rsidR="00F77320" w:rsidRPr="00365CC9">
        <w:rPr>
          <w:rFonts w:ascii="Arial" w:hAnsi="Arial" w:cs="Arial"/>
          <w:b/>
          <w:sz w:val="20"/>
          <w:szCs w:val="20"/>
        </w:rPr>
        <w:t>0</w:t>
      </w:r>
      <w:r w:rsidRPr="00365CC9">
        <w:rPr>
          <w:rFonts w:ascii="Arial" w:hAnsi="Arial" w:cs="Arial"/>
          <w:b/>
          <w:sz w:val="20"/>
          <w:szCs w:val="20"/>
        </w:rPr>
        <w:t xml:space="preserve"> : Pourcentage des ménages agricoles selon le groupe d’animaux possédés </w:t>
      </w:r>
    </w:p>
    <w:p w:rsidR="006F3A12" w:rsidRPr="00B6647E" w:rsidRDefault="006F3A12" w:rsidP="00E51ED6">
      <w:pPr>
        <w:spacing w:line="240" w:lineRule="auto"/>
        <w:rPr>
          <w:rFonts w:ascii="Arial" w:hAnsi="Arial" w:cs="Arial"/>
        </w:rPr>
      </w:pPr>
      <w:r w:rsidRPr="00B6647E">
        <w:rPr>
          <w:rFonts w:ascii="Arial" w:hAnsi="Arial" w:cs="Arial"/>
          <w:noProof/>
          <w:lang w:val="fr-FR" w:eastAsia="fr-FR"/>
        </w:rPr>
        <w:drawing>
          <wp:inline distT="0" distB="0" distL="0" distR="0">
            <wp:extent cx="4981575" cy="3780155"/>
            <wp:effectExtent l="19050" t="0" r="9525" b="0"/>
            <wp:docPr id="15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4" cstate="print"/>
                    <a:srcRect/>
                    <a:stretch>
                      <a:fillRect/>
                    </a:stretch>
                  </pic:blipFill>
                  <pic:spPr bwMode="auto">
                    <a:xfrm>
                      <a:off x="0" y="0"/>
                      <a:ext cx="4981575" cy="3780155"/>
                    </a:xfrm>
                    <a:prstGeom prst="rect">
                      <a:avLst/>
                    </a:prstGeom>
                    <a:noFill/>
                    <a:ln w="9525">
                      <a:noFill/>
                      <a:miter lim="800000"/>
                      <a:headEnd/>
                      <a:tailEnd/>
                    </a:ln>
                  </pic:spPr>
                </pic:pic>
              </a:graphicData>
            </a:graphic>
          </wp:inline>
        </w:drawing>
      </w:r>
    </w:p>
    <w:p w:rsidR="000552AE" w:rsidRPr="00B6647E" w:rsidRDefault="000552AE" w:rsidP="00E51ED6">
      <w:pPr>
        <w:pStyle w:val="Paragraphedeliste"/>
        <w:spacing w:after="0" w:line="240" w:lineRule="auto"/>
        <w:ind w:left="0"/>
        <w:rPr>
          <w:rFonts w:ascii="Arial" w:hAnsi="Arial" w:cs="Arial"/>
          <w:sz w:val="20"/>
          <w:szCs w:val="20"/>
        </w:rPr>
      </w:pPr>
    </w:p>
    <w:p w:rsidR="000079F6" w:rsidRPr="00B6647E" w:rsidRDefault="000079F6">
      <w:pPr>
        <w:rPr>
          <w:rFonts w:ascii="Arial" w:eastAsia="Times New Roman" w:hAnsi="Arial" w:cs="Arial"/>
          <w:color w:val="365F91"/>
          <w:sz w:val="24"/>
          <w:szCs w:val="24"/>
          <w:lang w:eastAsia="fr-FR"/>
        </w:rPr>
      </w:pPr>
      <w:r w:rsidRPr="00B6647E">
        <w:rPr>
          <w:rFonts w:ascii="Arial" w:hAnsi="Arial" w:cs="Arial"/>
          <w:color w:val="365F91"/>
        </w:rPr>
        <w:br w:type="page"/>
      </w:r>
    </w:p>
    <w:p w:rsidR="001A3AEF" w:rsidRPr="00B6647E" w:rsidRDefault="000552AE" w:rsidP="00E51ED6">
      <w:pPr>
        <w:pStyle w:val="Titre1"/>
        <w:keepNext w:val="0"/>
        <w:numPr>
          <w:ilvl w:val="0"/>
          <w:numId w:val="1"/>
        </w:numPr>
        <w:tabs>
          <w:tab w:val="num" w:pos="432"/>
        </w:tabs>
        <w:ind w:left="432" w:hanging="432"/>
        <w:rPr>
          <w:rFonts w:cs="Arial"/>
          <w:color w:val="365F91"/>
        </w:rPr>
      </w:pPr>
      <w:bookmarkStart w:id="317" w:name="_Toc354313905"/>
      <w:r w:rsidRPr="00B6647E">
        <w:rPr>
          <w:rFonts w:cs="Arial"/>
          <w:color w:val="365F91"/>
        </w:rPr>
        <w:lastRenderedPageBreak/>
        <w:t>Pêche</w:t>
      </w:r>
      <w:bookmarkEnd w:id="317"/>
      <w:r w:rsidRPr="00B6647E">
        <w:rPr>
          <w:rFonts w:cs="Arial"/>
          <w:color w:val="365F91"/>
        </w:rPr>
        <w:t xml:space="preserve"> </w:t>
      </w:r>
    </w:p>
    <w:p w:rsidR="001A3AEF" w:rsidRPr="00B6647E" w:rsidRDefault="00DF50D8" w:rsidP="00E51ED6">
      <w:pPr>
        <w:pStyle w:val="Paragraphedeliste"/>
        <w:spacing w:after="0" w:line="240" w:lineRule="auto"/>
        <w:rPr>
          <w:rFonts w:ascii="Arial" w:hAnsi="Arial" w:cs="Arial"/>
          <w:b/>
          <w:sz w:val="20"/>
          <w:szCs w:val="20"/>
        </w:rPr>
      </w:pPr>
      <w:r w:rsidRPr="00DF50D8">
        <w:rPr>
          <w:rFonts w:ascii="Arial" w:hAnsi="Arial" w:cs="Arial"/>
          <w:b/>
          <w:noProof/>
        </w:rPr>
        <w:pict>
          <v:shape id="_x0000_s1037" type="#_x0000_t32" style="position:absolute;left:0;text-align:left;margin-left:1.15pt;margin-top:4.8pt;width:453.55pt;height:0;z-index:25168281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4ufrAIAAJcFAAAOAAAAZHJzL2Uyb0RvYy54bWysVE2PmzAQvVfqf7B8Z4FACEFLVlkCvWzb&#10;lXarnh1sglWwke18rKr+945NQjfbS1UtB+SPmTdvZt749u7Ud+jAlOZS5Di8CTBiopaUi12Ovz1X&#10;XoqRNkRQ0knBcvzCNL5bffxwexwyNpOt7ChTCECEzo5Djltjhsz3dd2ynugbOTABl41UPTGwVTuf&#10;KnIE9L7zZ0GQ+Eep6KBkzbSG0814iVcOv2lYbb42jWYGdTkGbsb9lftv7d9f3ZJsp8jQ8vpMg/wH&#10;i55wAUEnqA0xBO0V/wuq57WSWjbmppa9L5uG18zlANmEwZtsnloyMJcLFEcPU5n0+8HWXw6PCnGa&#10;42WCkSA99Gi9N9KFRjNbn+OgMzArxKOyGdYn8TQ8yPqHRkIWLRE75oyfXwbwDa2Hf+ViN3qAKNvj&#10;Z0nBhgC+K9apUb2FhDKgk+vJy9QTdjKohsP5IgmCdI5RfbnzSXZxHJQ2n5jskV3kWBtF+K41hRQC&#10;Oi9V6MKQw4M2lhbJLg42qpAV7zongE6gY46jNAwC56Flx6m9tXZa7bZFp9CBgIaiZF4txyTh5rWZ&#10;kntBHVrLCC3Pa0N4N64heicsHnOyHCnB7mRg6c4hYyeZn8tgWaZlGnvxLCm9ONhsvHVVxF5ShYv5&#10;JtoUxSb8ZYmGcdZySpmwXC/yDeN/k8d5kEbhTQKequJfo7vyAdlrputqHiziKPUWi3nkxVEZePdp&#10;VXjrIkySRXlf3JdvmJYue/0+ZKdSWlZyb5h6aukRUW7VMEujJbw+lMO4R2mQBMsFRqTbwTtVG4WR&#10;kuY7N60Tr5Wdxbjq9SyOqmQ8J93QklEB8wA+p/LJ3NVmCj9W6tJku5vadE7+Ty1BFBcBuKGxczJO&#10;3FbSl0d1GSaYfud0fqns8/J6D+vX7+nqNwAAAP//AwBQSwMEFAAGAAgAAAAhABLqZCjcAAAABQEA&#10;AA8AAABkcnMvZG93bnJldi54bWxMjlFLwzAUhd+F/YdwB76ISzdLWWvTMRRxDBGs/oC0uTbF5qY0&#10;Wdv564170cfDOXzny3ez6diIg2stCVivImBItVUtNQI+3p9ut8Ccl6RkZwkFnNHBrlhc5TJTdqI3&#10;HEvfsAAhl0kB2vs+49zVGo10K9sjhe7TDkb6EIeGq0FOAW46vomihBvZUnjQsscHjfVXeTICpjE5&#10;vtxs+fx9fC3PTRUfHvVzLMT1ct7fA/M4+78x/OoHdSiCU2VPpBzrBGzuwlBAmgALbRqlMbDqknmR&#10;8//2xQ8AAAD//wMAUEsBAi0AFAAGAAgAAAAhALaDOJL+AAAA4QEAABMAAAAAAAAAAAAAAAAAAAAA&#10;AFtDb250ZW50X1R5cGVzXS54bWxQSwECLQAUAAYACAAAACEAOP0h/9YAAACUAQAACwAAAAAAAAAA&#10;AAAAAAAvAQAAX3JlbHMvLnJlbHNQSwECLQAUAAYACAAAACEAJvOLn6wCAACXBQAADgAAAAAAAAAA&#10;AAAAAAAuAgAAZHJzL2Uyb0RvYy54bWxQSwECLQAUAAYACAAAACEAEupkKNwAAAAFAQAADwAAAAAA&#10;AAAAAAAAAAAGBQAAZHJzL2Rvd25yZXYueG1sUEsFBgAAAAAEAAQA8wAAAA8GAAAAAA==&#10;" strokecolor="#365f91" strokeweight="3pt">
            <v:shadow color="#243f60" opacity=".5" offset="1pt"/>
          </v:shape>
        </w:pict>
      </w:r>
    </w:p>
    <w:p w:rsidR="00E819CC" w:rsidRPr="00B6647E" w:rsidRDefault="00E819CC" w:rsidP="00922BF0">
      <w:pPr>
        <w:spacing w:after="0" w:line="240" w:lineRule="auto"/>
        <w:jc w:val="both"/>
        <w:rPr>
          <w:rFonts w:ascii="Arial" w:hAnsi="Arial" w:cs="Arial"/>
          <w:sz w:val="20"/>
          <w:szCs w:val="20"/>
        </w:rPr>
      </w:pPr>
    </w:p>
    <w:p w:rsidR="001172EE" w:rsidRPr="00B6647E" w:rsidRDefault="001172EE" w:rsidP="00922BF0">
      <w:pPr>
        <w:spacing w:after="0" w:line="240" w:lineRule="auto"/>
        <w:jc w:val="both"/>
        <w:rPr>
          <w:rFonts w:ascii="Arial" w:hAnsi="Arial" w:cs="Arial"/>
          <w:i/>
          <w:sz w:val="20"/>
          <w:szCs w:val="20"/>
        </w:rPr>
      </w:pPr>
      <w:r w:rsidRPr="00B6647E">
        <w:rPr>
          <w:rFonts w:ascii="Arial" w:hAnsi="Arial" w:cs="Arial"/>
          <w:b/>
          <w:i/>
          <w:sz w:val="20"/>
          <w:szCs w:val="20"/>
        </w:rPr>
        <w:t>NB :</w:t>
      </w:r>
      <w:r w:rsidRPr="00B6647E">
        <w:rPr>
          <w:rFonts w:ascii="Arial" w:hAnsi="Arial" w:cs="Arial"/>
          <w:i/>
          <w:sz w:val="20"/>
          <w:szCs w:val="20"/>
        </w:rPr>
        <w:t xml:space="preserve"> </w:t>
      </w:r>
      <w:r w:rsidR="00321139" w:rsidRPr="00B6647E">
        <w:rPr>
          <w:rFonts w:ascii="Arial" w:hAnsi="Arial" w:cs="Arial"/>
          <w:i/>
          <w:sz w:val="20"/>
          <w:szCs w:val="20"/>
        </w:rPr>
        <w:t xml:space="preserve">Il ne s’agit pas dans ce </w:t>
      </w:r>
      <w:r w:rsidRPr="00B6647E">
        <w:rPr>
          <w:rFonts w:ascii="Arial" w:hAnsi="Arial" w:cs="Arial"/>
          <w:i/>
          <w:sz w:val="20"/>
          <w:szCs w:val="20"/>
        </w:rPr>
        <w:t xml:space="preserve">chapitre de </w:t>
      </w:r>
      <w:r w:rsidR="00321139" w:rsidRPr="00B6647E">
        <w:rPr>
          <w:rFonts w:ascii="Arial" w:hAnsi="Arial" w:cs="Arial"/>
          <w:i/>
          <w:sz w:val="20"/>
          <w:szCs w:val="20"/>
        </w:rPr>
        <w:t xml:space="preserve">vrais </w:t>
      </w:r>
      <w:r w:rsidRPr="00B6647E">
        <w:rPr>
          <w:rFonts w:ascii="Arial" w:hAnsi="Arial" w:cs="Arial"/>
          <w:i/>
          <w:sz w:val="20"/>
          <w:szCs w:val="20"/>
        </w:rPr>
        <w:t xml:space="preserve">ménages </w:t>
      </w:r>
      <w:r w:rsidR="0003501D" w:rsidRPr="00B6647E">
        <w:rPr>
          <w:rFonts w:ascii="Arial" w:hAnsi="Arial" w:cs="Arial"/>
          <w:i/>
          <w:sz w:val="20"/>
          <w:szCs w:val="20"/>
        </w:rPr>
        <w:t>pêcheurs</w:t>
      </w:r>
      <w:r w:rsidRPr="00B6647E">
        <w:rPr>
          <w:rFonts w:ascii="Arial" w:hAnsi="Arial" w:cs="Arial"/>
          <w:i/>
          <w:sz w:val="20"/>
          <w:szCs w:val="20"/>
        </w:rPr>
        <w:t xml:space="preserve">, mais de ménages agricoles dans lesquels au moins un membre pratique </w:t>
      </w:r>
      <w:r w:rsidR="0003501D" w:rsidRPr="00B6647E">
        <w:rPr>
          <w:rFonts w:ascii="Arial" w:hAnsi="Arial" w:cs="Arial"/>
          <w:i/>
          <w:sz w:val="20"/>
          <w:szCs w:val="20"/>
        </w:rPr>
        <w:t>la pêche</w:t>
      </w:r>
      <w:r w:rsidRPr="00B6647E">
        <w:rPr>
          <w:rFonts w:ascii="Arial" w:hAnsi="Arial" w:cs="Arial"/>
          <w:i/>
          <w:sz w:val="20"/>
          <w:szCs w:val="20"/>
        </w:rPr>
        <w:t>.</w:t>
      </w:r>
    </w:p>
    <w:p w:rsidR="001172EE" w:rsidRPr="00B6647E" w:rsidRDefault="001172EE" w:rsidP="00922BF0">
      <w:pPr>
        <w:spacing w:after="0" w:line="240" w:lineRule="auto"/>
        <w:jc w:val="both"/>
        <w:rPr>
          <w:rFonts w:ascii="Arial" w:hAnsi="Arial" w:cs="Arial"/>
          <w:sz w:val="20"/>
          <w:szCs w:val="20"/>
        </w:rPr>
      </w:pPr>
    </w:p>
    <w:p w:rsidR="00922BF0" w:rsidRPr="00B6647E" w:rsidRDefault="00922BF0" w:rsidP="00922BF0">
      <w:pPr>
        <w:spacing w:after="0" w:line="240" w:lineRule="auto"/>
        <w:jc w:val="both"/>
        <w:rPr>
          <w:rFonts w:ascii="Arial" w:hAnsi="Arial" w:cs="Arial"/>
          <w:sz w:val="20"/>
          <w:szCs w:val="20"/>
        </w:rPr>
      </w:pPr>
      <w:r w:rsidRPr="00B6647E">
        <w:rPr>
          <w:rFonts w:ascii="Arial" w:hAnsi="Arial" w:cs="Arial"/>
          <w:sz w:val="20"/>
          <w:szCs w:val="20"/>
        </w:rPr>
        <w:t xml:space="preserve">Au cours de la saison A, la pêche concerne 35.432 ménages pêcheurs, 2,3% de l’ensemble des ménages agricoles. Ces ménages pêcheurs sont répartis dans neuf provinces. Au total 42.163 personnes pratiquent la pêche parmi lesquelles 2,2% seulement sont des femmes enregistrées dans la seule province de Kirundo. Toutes ces femmes ont un statut d’indépendantes dans cette activité de pêche tandis que, parmi les hommes il y a 83,7% d’indépendants contre 16,3% d’employés. Les pirogues motorisées et non motorisées sont utilisées uniquement pour la pêche lacustre par 14% des pêcheurs. Les filets sont utilisés par 35,1% des pêcheurs et les hameçons par 67,9% d’entre eux. Ces deux équipements sont utilisés dans tous les types de pêche (lacustre, étang, rivière). La quantité moyenne de poissons pêchés au cours de la saison A est de 120 kg par ménage pratiquant cette activité. La pêche rapporte à ces ménages un revenu moyen d’environ 300.000 FBu. </w:t>
      </w:r>
    </w:p>
    <w:p w:rsidR="00922BF0" w:rsidRPr="00B6647E" w:rsidRDefault="00922BF0" w:rsidP="00922BF0">
      <w:pPr>
        <w:jc w:val="both"/>
        <w:rPr>
          <w:rFonts w:ascii="Arial" w:hAnsi="Arial" w:cs="Arial"/>
          <w:sz w:val="20"/>
          <w:szCs w:val="20"/>
        </w:rPr>
      </w:pPr>
    </w:p>
    <w:p w:rsidR="00A67447" w:rsidRPr="00B6647E" w:rsidRDefault="007602F3" w:rsidP="00AD6298">
      <w:pPr>
        <w:pStyle w:val="Paragraphedeliste"/>
        <w:spacing w:after="120" w:line="240" w:lineRule="auto"/>
        <w:ind w:left="0"/>
        <w:rPr>
          <w:rFonts w:ascii="Arial" w:hAnsi="Arial" w:cs="Arial"/>
          <w:b/>
          <w:sz w:val="20"/>
          <w:szCs w:val="20"/>
        </w:rPr>
      </w:pPr>
      <w:r>
        <w:rPr>
          <w:rFonts w:ascii="Arial" w:hAnsi="Arial" w:cs="Arial"/>
          <w:b/>
          <w:sz w:val="20"/>
          <w:szCs w:val="20"/>
        </w:rPr>
        <w:t>Tableau 23</w:t>
      </w:r>
      <w:r w:rsidR="00F75E61" w:rsidRPr="00B6647E">
        <w:rPr>
          <w:rFonts w:ascii="Arial" w:hAnsi="Arial" w:cs="Arial"/>
          <w:b/>
          <w:sz w:val="20"/>
          <w:szCs w:val="20"/>
        </w:rPr>
        <w:t>1</w:t>
      </w:r>
      <w:r w:rsidR="00A67447" w:rsidRPr="00B6647E">
        <w:rPr>
          <w:rFonts w:ascii="Arial" w:hAnsi="Arial" w:cs="Arial"/>
          <w:b/>
          <w:sz w:val="20"/>
          <w:szCs w:val="20"/>
        </w:rPr>
        <w:t> : Nombre de ménages pêcheurs par saison</w:t>
      </w:r>
    </w:p>
    <w:p w:rsidR="00AD6298" w:rsidRPr="00B6647E" w:rsidRDefault="00AD6298" w:rsidP="00E51ED6">
      <w:pPr>
        <w:pStyle w:val="Paragraphedeliste"/>
        <w:spacing w:after="0" w:line="240" w:lineRule="auto"/>
        <w:ind w:left="0"/>
        <w:rPr>
          <w:rFonts w:ascii="Arial" w:hAnsi="Arial" w:cs="Arial"/>
          <w:b/>
          <w:sz w:val="20"/>
          <w:szCs w:val="20"/>
        </w:rPr>
      </w:pPr>
      <w:r w:rsidRPr="00B6647E">
        <w:rPr>
          <w:noProof/>
          <w:szCs w:val="20"/>
          <w:lang w:val="fr-FR" w:eastAsia="fr-FR"/>
        </w:rPr>
        <w:drawing>
          <wp:inline distT="0" distB="0" distL="0" distR="0">
            <wp:extent cx="5731510" cy="3366567"/>
            <wp:effectExtent l="19050" t="0" r="2540" b="0"/>
            <wp:docPr id="17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5" cstate="print"/>
                    <a:srcRect/>
                    <a:stretch>
                      <a:fillRect/>
                    </a:stretch>
                  </pic:blipFill>
                  <pic:spPr bwMode="auto">
                    <a:xfrm>
                      <a:off x="0" y="0"/>
                      <a:ext cx="5731510" cy="3366567"/>
                    </a:xfrm>
                    <a:prstGeom prst="rect">
                      <a:avLst/>
                    </a:prstGeom>
                    <a:noFill/>
                    <a:ln w="9525">
                      <a:noFill/>
                      <a:miter lim="800000"/>
                      <a:headEnd/>
                      <a:tailEnd/>
                    </a:ln>
                  </pic:spPr>
                </pic:pic>
              </a:graphicData>
            </a:graphic>
          </wp:inline>
        </w:drawing>
      </w:r>
    </w:p>
    <w:p w:rsidR="002769E3" w:rsidRPr="00B6647E" w:rsidRDefault="007648B0" w:rsidP="00922BF0">
      <w:pPr>
        <w:spacing w:after="120" w:line="240" w:lineRule="auto"/>
        <w:jc w:val="both"/>
        <w:rPr>
          <w:rFonts w:ascii="Arial" w:hAnsi="Arial" w:cs="Arial"/>
          <w:sz w:val="20"/>
          <w:szCs w:val="20"/>
        </w:rPr>
      </w:pPr>
      <w:r w:rsidRPr="00B6647E">
        <w:rPr>
          <w:rFonts w:ascii="Arial" w:hAnsi="Arial" w:cs="Arial"/>
          <w:sz w:val="20"/>
          <w:szCs w:val="20"/>
        </w:rPr>
        <w:t>Pendant</w:t>
      </w:r>
      <w:r w:rsidR="002769E3" w:rsidRPr="00B6647E">
        <w:rPr>
          <w:rFonts w:ascii="Arial" w:hAnsi="Arial" w:cs="Arial"/>
          <w:sz w:val="20"/>
          <w:szCs w:val="20"/>
        </w:rPr>
        <w:t xml:space="preserve"> la saison B, la proportion de ménages pêche</w:t>
      </w:r>
      <w:r w:rsidRPr="00B6647E">
        <w:rPr>
          <w:rFonts w:ascii="Arial" w:hAnsi="Arial" w:cs="Arial"/>
          <w:sz w:val="20"/>
          <w:szCs w:val="20"/>
        </w:rPr>
        <w:t>urs</w:t>
      </w:r>
      <w:r w:rsidR="002769E3" w:rsidRPr="00B6647E">
        <w:rPr>
          <w:rFonts w:ascii="Arial" w:hAnsi="Arial" w:cs="Arial"/>
          <w:sz w:val="20"/>
          <w:szCs w:val="20"/>
        </w:rPr>
        <w:t xml:space="preserve"> est estimée à 2,6%</w:t>
      </w:r>
      <w:r w:rsidRPr="00B6647E">
        <w:rPr>
          <w:rFonts w:ascii="Arial" w:hAnsi="Arial" w:cs="Arial"/>
          <w:sz w:val="20"/>
          <w:szCs w:val="20"/>
        </w:rPr>
        <w:t xml:space="preserve"> totalisant</w:t>
      </w:r>
      <w:r w:rsidR="002769E3" w:rsidRPr="00B6647E">
        <w:rPr>
          <w:rFonts w:ascii="Arial" w:hAnsi="Arial" w:cs="Arial"/>
          <w:sz w:val="20"/>
          <w:szCs w:val="20"/>
        </w:rPr>
        <w:t xml:space="preserve"> 40.163 </w:t>
      </w:r>
      <w:r w:rsidR="00D12E3D" w:rsidRPr="00B6647E">
        <w:rPr>
          <w:rFonts w:ascii="Arial" w:hAnsi="Arial" w:cs="Arial"/>
          <w:sz w:val="20"/>
          <w:szCs w:val="20"/>
        </w:rPr>
        <w:t xml:space="preserve">ménages </w:t>
      </w:r>
      <w:r w:rsidR="00C45FBD" w:rsidRPr="00B6647E">
        <w:rPr>
          <w:rFonts w:ascii="Arial" w:hAnsi="Arial" w:cs="Arial"/>
          <w:sz w:val="20"/>
          <w:szCs w:val="20"/>
        </w:rPr>
        <w:t>pêcheurs</w:t>
      </w:r>
      <w:r w:rsidRPr="00B6647E">
        <w:rPr>
          <w:rFonts w:ascii="Arial" w:hAnsi="Arial" w:cs="Arial"/>
          <w:sz w:val="20"/>
          <w:szCs w:val="20"/>
        </w:rPr>
        <w:t xml:space="preserve"> </w:t>
      </w:r>
      <w:r w:rsidR="002769E3" w:rsidRPr="00B6647E">
        <w:rPr>
          <w:rFonts w:ascii="Arial" w:hAnsi="Arial" w:cs="Arial"/>
          <w:sz w:val="20"/>
          <w:szCs w:val="20"/>
        </w:rPr>
        <w:t>répartis dans dix provinces.</w:t>
      </w:r>
      <w:r w:rsidR="00C45FBD" w:rsidRPr="00B6647E">
        <w:rPr>
          <w:rFonts w:ascii="Arial" w:hAnsi="Arial" w:cs="Arial"/>
          <w:sz w:val="20"/>
          <w:szCs w:val="20"/>
        </w:rPr>
        <w:t xml:space="preserve"> </w:t>
      </w:r>
      <w:r w:rsidR="00D12E3D" w:rsidRPr="00B6647E">
        <w:rPr>
          <w:rFonts w:ascii="Arial" w:hAnsi="Arial" w:cs="Arial"/>
          <w:sz w:val="20"/>
          <w:szCs w:val="20"/>
        </w:rPr>
        <w:t xml:space="preserve">Ces ménages comportent </w:t>
      </w:r>
      <w:r w:rsidR="002769E3" w:rsidRPr="00B6647E">
        <w:rPr>
          <w:rFonts w:ascii="Arial" w:hAnsi="Arial" w:cs="Arial"/>
          <w:sz w:val="20"/>
          <w:szCs w:val="20"/>
        </w:rPr>
        <w:t>43.785 personnes (uniquement des hommes)</w:t>
      </w:r>
      <w:r w:rsidR="00D12E3D" w:rsidRPr="00B6647E">
        <w:rPr>
          <w:rFonts w:ascii="Arial" w:hAnsi="Arial" w:cs="Arial"/>
          <w:sz w:val="20"/>
          <w:szCs w:val="20"/>
        </w:rPr>
        <w:t xml:space="preserve"> qui </w:t>
      </w:r>
      <w:r w:rsidR="002769E3" w:rsidRPr="00B6647E">
        <w:rPr>
          <w:rFonts w:ascii="Arial" w:hAnsi="Arial" w:cs="Arial"/>
          <w:sz w:val="20"/>
          <w:szCs w:val="20"/>
        </w:rPr>
        <w:t>pratiquent la pêche. Parmi ceux-ci, 67,4% la pratique comme indépendants contre 28% comme employés et 4,6% dans des associations de pêche.</w:t>
      </w:r>
      <w:r w:rsidR="00D12E3D" w:rsidRPr="00B6647E">
        <w:rPr>
          <w:rFonts w:ascii="Arial" w:hAnsi="Arial" w:cs="Arial"/>
          <w:sz w:val="20"/>
          <w:szCs w:val="20"/>
        </w:rPr>
        <w:t xml:space="preserve"> </w:t>
      </w:r>
      <w:r w:rsidR="002769E3" w:rsidRPr="00B6647E">
        <w:rPr>
          <w:rFonts w:ascii="Arial" w:hAnsi="Arial" w:cs="Arial"/>
          <w:sz w:val="20"/>
          <w:szCs w:val="20"/>
        </w:rPr>
        <w:t xml:space="preserve">La quantité moyenne de poissons pêchés au cours de la saison B est de 49,4 kg par ménage pratiquant cette activité qui rapporte à ces ménages un revenu moyen d’environ 92.712 FBu. </w:t>
      </w:r>
    </w:p>
    <w:p w:rsidR="00FA2743" w:rsidRPr="00B6647E" w:rsidRDefault="00D12E3D" w:rsidP="00922BF0">
      <w:pPr>
        <w:spacing w:line="240" w:lineRule="auto"/>
        <w:jc w:val="both"/>
        <w:rPr>
          <w:rFonts w:ascii="Arial" w:hAnsi="Arial" w:cs="Arial"/>
          <w:sz w:val="20"/>
          <w:szCs w:val="20"/>
        </w:rPr>
      </w:pPr>
      <w:r w:rsidRPr="00B6647E">
        <w:rPr>
          <w:rFonts w:ascii="Arial" w:hAnsi="Arial" w:cs="Arial"/>
          <w:sz w:val="20"/>
          <w:szCs w:val="20"/>
        </w:rPr>
        <w:t xml:space="preserve">En </w:t>
      </w:r>
      <w:r w:rsidR="002769E3" w:rsidRPr="00B6647E">
        <w:rPr>
          <w:rFonts w:ascii="Arial" w:hAnsi="Arial" w:cs="Arial"/>
          <w:sz w:val="20"/>
          <w:szCs w:val="20"/>
        </w:rPr>
        <w:t>saison C, la proportion de ména</w:t>
      </w:r>
      <w:r w:rsidR="00922BF0" w:rsidRPr="00B6647E">
        <w:rPr>
          <w:rFonts w:ascii="Arial" w:hAnsi="Arial" w:cs="Arial"/>
          <w:sz w:val="20"/>
          <w:szCs w:val="20"/>
        </w:rPr>
        <w:t>ges pêcheurs est estimée à 2,2%, soit</w:t>
      </w:r>
      <w:r w:rsidR="002769E3" w:rsidRPr="00B6647E">
        <w:rPr>
          <w:rFonts w:ascii="Arial" w:hAnsi="Arial" w:cs="Arial"/>
          <w:sz w:val="20"/>
          <w:szCs w:val="20"/>
        </w:rPr>
        <w:t xml:space="preserve"> 34.490 ménages répartis dans neuf provinces</w:t>
      </w:r>
      <w:r w:rsidR="00C45FBD" w:rsidRPr="00B6647E">
        <w:rPr>
          <w:rFonts w:ascii="Arial" w:hAnsi="Arial" w:cs="Arial"/>
          <w:sz w:val="20"/>
          <w:szCs w:val="20"/>
        </w:rPr>
        <w:t xml:space="preserve">. </w:t>
      </w:r>
      <w:r w:rsidR="00FA2743" w:rsidRPr="00B6647E">
        <w:rPr>
          <w:rFonts w:ascii="Arial" w:hAnsi="Arial" w:cs="Arial"/>
          <w:sz w:val="20"/>
          <w:szCs w:val="20"/>
        </w:rPr>
        <w:t xml:space="preserve">Au total 36.417 personnes (uniquement des hommes) pratiquent la pêche. </w:t>
      </w:r>
      <w:r w:rsidR="00922BF0" w:rsidRPr="00B6647E">
        <w:rPr>
          <w:rFonts w:ascii="Arial" w:hAnsi="Arial" w:cs="Arial"/>
          <w:sz w:val="20"/>
          <w:szCs w:val="20"/>
        </w:rPr>
        <w:t xml:space="preserve">Dans ces ménages. </w:t>
      </w:r>
      <w:r w:rsidR="00FA2743" w:rsidRPr="00B6647E">
        <w:rPr>
          <w:rFonts w:ascii="Arial" w:hAnsi="Arial" w:cs="Arial"/>
          <w:sz w:val="20"/>
          <w:szCs w:val="20"/>
        </w:rPr>
        <w:t>Parmi ceux-ci, 65,1% la pratique comme indépendants contre 29,4% comme employés et 5,5% dans des associations de pêche.</w:t>
      </w:r>
      <w:r w:rsidR="00922BF0" w:rsidRPr="00B6647E">
        <w:rPr>
          <w:rFonts w:ascii="Arial" w:hAnsi="Arial" w:cs="Arial"/>
          <w:sz w:val="20"/>
          <w:szCs w:val="20"/>
        </w:rPr>
        <w:t xml:space="preserve"> </w:t>
      </w:r>
      <w:r w:rsidR="00FA2743" w:rsidRPr="00B6647E">
        <w:rPr>
          <w:rFonts w:ascii="Arial" w:hAnsi="Arial" w:cs="Arial"/>
          <w:sz w:val="20"/>
          <w:szCs w:val="20"/>
        </w:rPr>
        <w:t>La quantité moyenne de poissons pêchés au cours de la saison C est de 88,7 kg par ménage pratiquant cette activité qui rapporte à ces ménages un revenu moyen d’environ 137.500 FBu.</w:t>
      </w:r>
    </w:p>
    <w:p w:rsidR="00E819CC" w:rsidRPr="00B6647E" w:rsidRDefault="00E819CC">
      <w:pPr>
        <w:rPr>
          <w:rFonts w:ascii="Arial" w:eastAsia="Times New Roman" w:hAnsi="Arial" w:cs="Arial"/>
          <w:color w:val="365F91"/>
          <w:sz w:val="24"/>
          <w:szCs w:val="24"/>
          <w:lang w:eastAsia="fr-FR"/>
        </w:rPr>
      </w:pPr>
      <w:r w:rsidRPr="00B6647E">
        <w:rPr>
          <w:rFonts w:cs="Arial"/>
          <w:color w:val="365F91"/>
        </w:rPr>
        <w:br w:type="page"/>
      </w:r>
    </w:p>
    <w:p w:rsidR="001A3AEF" w:rsidRPr="00B6647E" w:rsidRDefault="000552AE" w:rsidP="00E51ED6">
      <w:pPr>
        <w:pStyle w:val="Titre1"/>
        <w:keepNext w:val="0"/>
        <w:numPr>
          <w:ilvl w:val="0"/>
          <w:numId w:val="1"/>
        </w:numPr>
        <w:tabs>
          <w:tab w:val="num" w:pos="432"/>
        </w:tabs>
        <w:ind w:left="432" w:hanging="432"/>
        <w:rPr>
          <w:rFonts w:cs="Arial"/>
          <w:color w:val="365F91"/>
        </w:rPr>
      </w:pPr>
      <w:bookmarkStart w:id="318" w:name="_Toc354313906"/>
      <w:r w:rsidRPr="00B6647E">
        <w:rPr>
          <w:rFonts w:cs="Arial"/>
          <w:color w:val="365F91"/>
        </w:rPr>
        <w:lastRenderedPageBreak/>
        <w:t>Apiculture</w:t>
      </w:r>
      <w:bookmarkEnd w:id="318"/>
      <w:r w:rsidRPr="00B6647E">
        <w:rPr>
          <w:rFonts w:cs="Arial"/>
          <w:color w:val="365F91"/>
        </w:rPr>
        <w:t xml:space="preserve"> </w:t>
      </w:r>
    </w:p>
    <w:p w:rsidR="001A3AEF" w:rsidRPr="00B6647E" w:rsidRDefault="00DF50D8" w:rsidP="00E51ED6">
      <w:pPr>
        <w:pStyle w:val="Paragraphedeliste"/>
        <w:spacing w:after="0" w:line="240" w:lineRule="auto"/>
        <w:rPr>
          <w:rFonts w:ascii="Arial" w:hAnsi="Arial" w:cs="Arial"/>
          <w:sz w:val="20"/>
          <w:szCs w:val="20"/>
        </w:rPr>
      </w:pPr>
      <w:r w:rsidRPr="00DF50D8">
        <w:rPr>
          <w:rFonts w:ascii="Arial" w:hAnsi="Arial" w:cs="Arial"/>
          <w:noProof/>
        </w:rPr>
        <w:pict>
          <v:shape id="_x0000_s1038" type="#_x0000_t32" style="position:absolute;left:0;text-align:left;margin-left:1.15pt;margin-top:4.8pt;width:453.55pt;height:0;z-index:25168486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4ufrAIAAJcFAAAOAAAAZHJzL2Uyb0RvYy54bWysVE2PmzAQvVfqf7B8Z4FACEFLVlkCvWzb&#10;lXarnh1sglWwke18rKr+945NQjfbS1UtB+SPmTdvZt749u7Ud+jAlOZS5Di8CTBiopaUi12Ovz1X&#10;XoqRNkRQ0knBcvzCNL5bffxwexwyNpOt7ChTCECEzo5Djltjhsz3dd2ynugbOTABl41UPTGwVTuf&#10;KnIE9L7zZ0GQ+Eep6KBkzbSG0814iVcOv2lYbb42jWYGdTkGbsb9lftv7d9f3ZJsp8jQ8vpMg/wH&#10;i55wAUEnqA0xBO0V/wuq57WSWjbmppa9L5uG18zlANmEwZtsnloyMJcLFEcPU5n0+8HWXw6PCnGa&#10;42WCkSA99Gi9N9KFRjNbn+OgMzArxKOyGdYn8TQ8yPqHRkIWLRE75oyfXwbwDa2Hf+ViN3qAKNvj&#10;Z0nBhgC+K9apUb2FhDKgk+vJy9QTdjKohsP5IgmCdI5RfbnzSXZxHJQ2n5jskV3kWBtF+K41hRQC&#10;Oi9V6MKQw4M2lhbJLg42qpAV7zongE6gY46jNAwC56Flx6m9tXZa7bZFp9CBgIaiZF4txyTh5rWZ&#10;kntBHVrLCC3Pa0N4N64heicsHnOyHCnB7mRg6c4hYyeZn8tgWaZlGnvxLCm9ONhsvHVVxF5ShYv5&#10;JtoUxSb8ZYmGcdZySpmwXC/yDeN/k8d5kEbhTQKequJfo7vyAdlrputqHiziKPUWi3nkxVEZePdp&#10;VXjrIkySRXlf3JdvmJYue/0+ZKdSWlZyb5h6aukRUW7VMEujJbw+lMO4R2mQBMsFRqTbwTtVG4WR&#10;kuY7N60Tr5Wdxbjq9SyOqmQ8J93QklEB8wA+p/LJ3NVmCj9W6tJku5vadE7+Ty1BFBcBuKGxczJO&#10;3FbSl0d1GSaYfud0fqns8/J6D+vX7+nqNwAAAP//AwBQSwMEFAAGAAgAAAAhABLqZCjcAAAABQEA&#10;AA8AAABkcnMvZG93bnJldi54bWxMjlFLwzAUhd+F/YdwB76ISzdLWWvTMRRxDBGs/oC0uTbF5qY0&#10;Wdv564170cfDOXzny3ez6diIg2stCVivImBItVUtNQI+3p9ut8Ccl6RkZwkFnNHBrlhc5TJTdqI3&#10;HEvfsAAhl0kB2vs+49zVGo10K9sjhe7TDkb6EIeGq0FOAW46vomihBvZUnjQsscHjfVXeTICpjE5&#10;vtxs+fx9fC3PTRUfHvVzLMT1ct7fA/M4+78x/OoHdSiCU2VPpBzrBGzuwlBAmgALbRqlMbDqknmR&#10;8//2xQ8AAAD//wMAUEsBAi0AFAAGAAgAAAAhALaDOJL+AAAA4QEAABMAAAAAAAAAAAAAAAAAAAAA&#10;AFtDb250ZW50X1R5cGVzXS54bWxQSwECLQAUAAYACAAAACEAOP0h/9YAAACUAQAACwAAAAAAAAAA&#10;AAAAAAAvAQAAX3JlbHMvLnJlbHNQSwECLQAUAAYACAAAACEAJvOLn6wCAACXBQAADgAAAAAAAAAA&#10;AAAAAAAuAgAAZHJzL2Uyb0RvYy54bWxQSwECLQAUAAYACAAAACEAEupkKNwAAAAFAQAADwAAAAAA&#10;AAAAAAAAAAAGBQAAZHJzL2Rvd25yZXYueG1sUEsFBgAAAAAEAAQA8wAAAA8GAAAAAA==&#10;" strokecolor="#365f91" strokeweight="3pt">
            <v:shadow color="#243f60" opacity=".5" offset="1pt"/>
          </v:shape>
        </w:pict>
      </w:r>
    </w:p>
    <w:p w:rsidR="00E819CC" w:rsidRPr="00B6647E" w:rsidRDefault="00E819CC" w:rsidP="00E819CC">
      <w:pPr>
        <w:pStyle w:val="Paragraphedeliste"/>
        <w:spacing w:after="0" w:line="240" w:lineRule="auto"/>
        <w:ind w:left="0"/>
        <w:rPr>
          <w:rFonts w:ascii="Arial" w:hAnsi="Arial" w:cs="Arial"/>
          <w:sz w:val="20"/>
          <w:szCs w:val="20"/>
        </w:rPr>
      </w:pPr>
    </w:p>
    <w:p w:rsidR="001172EE" w:rsidRPr="00B6647E" w:rsidRDefault="001172EE" w:rsidP="001172EE">
      <w:pPr>
        <w:spacing w:after="0" w:line="240" w:lineRule="auto"/>
        <w:jc w:val="both"/>
        <w:rPr>
          <w:rFonts w:ascii="Arial" w:hAnsi="Arial" w:cs="Arial"/>
          <w:i/>
          <w:sz w:val="20"/>
          <w:szCs w:val="20"/>
        </w:rPr>
      </w:pPr>
      <w:r w:rsidRPr="00B6647E">
        <w:rPr>
          <w:rFonts w:ascii="Arial" w:hAnsi="Arial" w:cs="Arial"/>
          <w:b/>
          <w:i/>
          <w:sz w:val="20"/>
          <w:szCs w:val="20"/>
        </w:rPr>
        <w:t>NB :</w:t>
      </w:r>
      <w:r w:rsidRPr="00B6647E">
        <w:rPr>
          <w:rFonts w:ascii="Arial" w:hAnsi="Arial" w:cs="Arial"/>
          <w:i/>
          <w:sz w:val="20"/>
          <w:szCs w:val="20"/>
        </w:rPr>
        <w:t xml:space="preserve"> </w:t>
      </w:r>
      <w:r w:rsidR="00321139" w:rsidRPr="00B6647E">
        <w:rPr>
          <w:rFonts w:ascii="Arial" w:hAnsi="Arial" w:cs="Arial"/>
          <w:i/>
          <w:sz w:val="20"/>
          <w:szCs w:val="20"/>
        </w:rPr>
        <w:t>Il ne s’agit pas dans ce</w:t>
      </w:r>
      <w:r w:rsidRPr="00B6647E">
        <w:rPr>
          <w:rFonts w:ascii="Arial" w:hAnsi="Arial" w:cs="Arial"/>
          <w:i/>
          <w:sz w:val="20"/>
          <w:szCs w:val="20"/>
        </w:rPr>
        <w:t xml:space="preserve"> chapitre de ménages véritablement </w:t>
      </w:r>
      <w:r w:rsidR="0003501D" w:rsidRPr="00B6647E">
        <w:rPr>
          <w:rFonts w:ascii="Arial" w:hAnsi="Arial" w:cs="Arial"/>
          <w:i/>
          <w:sz w:val="20"/>
          <w:szCs w:val="20"/>
        </w:rPr>
        <w:t>ap</w:t>
      </w:r>
      <w:r w:rsidR="00321139" w:rsidRPr="00B6647E">
        <w:rPr>
          <w:rFonts w:ascii="Arial" w:hAnsi="Arial" w:cs="Arial"/>
          <w:i/>
          <w:sz w:val="20"/>
          <w:szCs w:val="20"/>
        </w:rPr>
        <w:t>i</w:t>
      </w:r>
      <w:r w:rsidR="0003501D" w:rsidRPr="00B6647E">
        <w:rPr>
          <w:rFonts w:ascii="Arial" w:hAnsi="Arial" w:cs="Arial"/>
          <w:i/>
          <w:sz w:val="20"/>
          <w:szCs w:val="20"/>
        </w:rPr>
        <w:t>culteurs</w:t>
      </w:r>
      <w:r w:rsidRPr="00B6647E">
        <w:rPr>
          <w:rFonts w:ascii="Arial" w:hAnsi="Arial" w:cs="Arial"/>
          <w:i/>
          <w:sz w:val="20"/>
          <w:szCs w:val="20"/>
        </w:rPr>
        <w:t xml:space="preserve">, mais de ménages agricoles dans lesquels au moins un membre pratique </w:t>
      </w:r>
      <w:r w:rsidR="0003501D" w:rsidRPr="00B6647E">
        <w:rPr>
          <w:rFonts w:ascii="Arial" w:hAnsi="Arial" w:cs="Arial"/>
          <w:i/>
          <w:sz w:val="20"/>
          <w:szCs w:val="20"/>
        </w:rPr>
        <w:t>l’apiculture</w:t>
      </w:r>
      <w:r w:rsidRPr="00B6647E">
        <w:rPr>
          <w:rFonts w:ascii="Arial" w:hAnsi="Arial" w:cs="Arial"/>
          <w:i/>
          <w:sz w:val="20"/>
          <w:szCs w:val="20"/>
        </w:rPr>
        <w:t>.</w:t>
      </w:r>
    </w:p>
    <w:p w:rsidR="001172EE" w:rsidRPr="00B6647E" w:rsidRDefault="001172EE" w:rsidP="00E819CC">
      <w:pPr>
        <w:pStyle w:val="Lgende"/>
        <w:jc w:val="both"/>
        <w:rPr>
          <w:rFonts w:ascii="Arial" w:hAnsi="Arial" w:cs="Arial"/>
          <w:b w:val="0"/>
        </w:rPr>
      </w:pPr>
    </w:p>
    <w:p w:rsidR="00E819CC" w:rsidRPr="00B6647E" w:rsidRDefault="00E819CC" w:rsidP="00E819CC">
      <w:pPr>
        <w:pStyle w:val="Lgende"/>
        <w:jc w:val="both"/>
        <w:rPr>
          <w:rFonts w:ascii="Arial" w:hAnsi="Arial" w:cs="Arial"/>
          <w:b w:val="0"/>
        </w:rPr>
      </w:pPr>
      <w:r w:rsidRPr="00B6647E">
        <w:rPr>
          <w:rFonts w:ascii="Arial" w:hAnsi="Arial" w:cs="Arial"/>
          <w:b w:val="0"/>
        </w:rPr>
        <w:t>En saison A, l’enquête indique qu’il y a environ 73.861 ménages agricoles</w:t>
      </w:r>
      <w:r w:rsidR="001172EE" w:rsidRPr="00B6647E">
        <w:rPr>
          <w:rStyle w:val="Appelnotedebasdep"/>
          <w:rFonts w:ascii="Arial" w:hAnsi="Arial" w:cs="Arial"/>
          <w:b w:val="0"/>
        </w:rPr>
        <w:footnoteReference w:id="43"/>
      </w:r>
      <w:r w:rsidRPr="00B6647E">
        <w:rPr>
          <w:rFonts w:ascii="Arial" w:hAnsi="Arial" w:cs="Arial"/>
          <w:b w:val="0"/>
        </w:rPr>
        <w:t xml:space="preserve"> (4,7%) qui pratiquent l’apiculture</w:t>
      </w:r>
      <w:r w:rsidR="00126161" w:rsidRPr="00B6647E">
        <w:rPr>
          <w:rFonts w:ascii="Arial" w:hAnsi="Arial" w:cs="Arial"/>
          <w:b w:val="0"/>
        </w:rPr>
        <w:t xml:space="preserve">. </w:t>
      </w:r>
      <w:r w:rsidRPr="00B6647E">
        <w:rPr>
          <w:rFonts w:ascii="Arial" w:hAnsi="Arial" w:cs="Arial"/>
          <w:b w:val="0"/>
        </w:rPr>
        <w:t>Le nombre total de ruches a été estimé à environ 387.0</w:t>
      </w:r>
      <w:r w:rsidR="00126161" w:rsidRPr="00B6647E">
        <w:rPr>
          <w:rFonts w:ascii="Arial" w:hAnsi="Arial" w:cs="Arial"/>
          <w:b w:val="0"/>
        </w:rPr>
        <w:t>98</w:t>
      </w:r>
      <w:r w:rsidRPr="00B6647E">
        <w:rPr>
          <w:rFonts w:ascii="Arial" w:hAnsi="Arial" w:cs="Arial"/>
          <w:b w:val="0"/>
        </w:rPr>
        <w:t xml:space="preserve"> dont 8,5% seulement sont des ruches modernes</w:t>
      </w:r>
      <w:r w:rsidR="00126161" w:rsidRPr="00B6647E">
        <w:rPr>
          <w:rFonts w:ascii="Arial" w:hAnsi="Arial" w:cs="Arial"/>
          <w:b w:val="0"/>
        </w:rPr>
        <w:t xml:space="preserve">. </w:t>
      </w:r>
      <w:r w:rsidRPr="00B6647E">
        <w:rPr>
          <w:rFonts w:ascii="Arial" w:hAnsi="Arial" w:cs="Arial"/>
          <w:b w:val="0"/>
        </w:rPr>
        <w:t>La quantité totale du miel produite par les ménages agricoles au cours de la saison A est estimée à 590 tonnes dont 20,6% de cette quantité a été autoconsommée et 79,4% vendue. La vente a rapporté au total 1.300 millions de FBu, soit un prix moyen de 2.800 FBu/kg.</w:t>
      </w:r>
      <w:r w:rsidR="00126161" w:rsidRPr="00B6647E">
        <w:rPr>
          <w:rFonts w:ascii="Arial" w:hAnsi="Arial" w:cs="Arial"/>
          <w:b w:val="0"/>
        </w:rPr>
        <w:t xml:space="preserve"> </w:t>
      </w:r>
      <w:r w:rsidRPr="00B6647E">
        <w:rPr>
          <w:rFonts w:ascii="Arial" w:hAnsi="Arial" w:cs="Arial"/>
          <w:b w:val="0"/>
        </w:rPr>
        <w:t xml:space="preserve">Par ménage pratiquant l’apiculture, on a une production moyenne de 8 kg de miel (1,6 kg autoconsommé et 6,4 kg vendus) et un revenu moyen d’environ 17.600 FBu. </w:t>
      </w:r>
    </w:p>
    <w:p w:rsidR="00E819CC" w:rsidRPr="00B6647E" w:rsidRDefault="00E819CC" w:rsidP="00E819CC">
      <w:pPr>
        <w:pStyle w:val="Paragraphedeliste"/>
        <w:spacing w:after="0" w:line="240" w:lineRule="auto"/>
        <w:ind w:left="0"/>
        <w:rPr>
          <w:rFonts w:ascii="Arial" w:hAnsi="Arial" w:cs="Arial"/>
          <w:sz w:val="20"/>
          <w:szCs w:val="20"/>
        </w:rPr>
      </w:pPr>
    </w:p>
    <w:p w:rsidR="00E819CC" w:rsidRPr="00B6647E" w:rsidRDefault="00E819CC" w:rsidP="00E819CC">
      <w:pPr>
        <w:pStyle w:val="Paragraphedeliste"/>
        <w:spacing w:after="0" w:line="240" w:lineRule="auto"/>
        <w:ind w:left="0"/>
        <w:rPr>
          <w:rFonts w:ascii="Arial" w:hAnsi="Arial" w:cs="Arial"/>
          <w:b/>
          <w:sz w:val="20"/>
          <w:szCs w:val="20"/>
        </w:rPr>
      </w:pPr>
      <w:r w:rsidRPr="00B6647E">
        <w:rPr>
          <w:rFonts w:ascii="Arial" w:hAnsi="Arial" w:cs="Arial"/>
          <w:b/>
          <w:sz w:val="20"/>
          <w:szCs w:val="20"/>
        </w:rPr>
        <w:t xml:space="preserve">Tableau </w:t>
      </w:r>
      <w:r w:rsidR="007602F3">
        <w:rPr>
          <w:rFonts w:ascii="Arial" w:hAnsi="Arial" w:cs="Arial"/>
          <w:b/>
          <w:sz w:val="20"/>
          <w:szCs w:val="20"/>
        </w:rPr>
        <w:t>23</w:t>
      </w:r>
      <w:r w:rsidR="00F75E61" w:rsidRPr="00B6647E">
        <w:rPr>
          <w:rFonts w:ascii="Arial" w:hAnsi="Arial" w:cs="Arial"/>
          <w:b/>
          <w:sz w:val="20"/>
          <w:szCs w:val="20"/>
        </w:rPr>
        <w:t>2</w:t>
      </w:r>
      <w:r w:rsidRPr="00B6647E">
        <w:rPr>
          <w:rFonts w:ascii="Arial" w:hAnsi="Arial" w:cs="Arial"/>
          <w:b/>
          <w:sz w:val="20"/>
          <w:szCs w:val="20"/>
        </w:rPr>
        <w:t> : Nombre de ménages apiculteurs par saison</w:t>
      </w:r>
    </w:p>
    <w:p w:rsidR="00AD6298" w:rsidRPr="00B6647E" w:rsidRDefault="00AD6298" w:rsidP="00E819CC">
      <w:pPr>
        <w:pStyle w:val="Paragraphedeliste"/>
        <w:spacing w:after="0" w:line="240" w:lineRule="auto"/>
        <w:ind w:left="0"/>
        <w:rPr>
          <w:rFonts w:ascii="Arial" w:hAnsi="Arial" w:cs="Arial"/>
          <w:b/>
          <w:sz w:val="20"/>
          <w:szCs w:val="20"/>
        </w:rPr>
      </w:pPr>
    </w:p>
    <w:p w:rsidR="00AD6298" w:rsidRPr="00B6647E" w:rsidRDefault="00AD6298" w:rsidP="00E819CC">
      <w:pPr>
        <w:pStyle w:val="Paragraphedeliste"/>
        <w:spacing w:after="0" w:line="240" w:lineRule="auto"/>
        <w:ind w:left="0"/>
        <w:rPr>
          <w:rFonts w:ascii="Arial" w:hAnsi="Arial" w:cs="Arial"/>
          <w:b/>
          <w:sz w:val="20"/>
          <w:szCs w:val="20"/>
        </w:rPr>
      </w:pPr>
      <w:r w:rsidRPr="00B6647E">
        <w:rPr>
          <w:noProof/>
          <w:szCs w:val="20"/>
          <w:lang w:val="fr-FR" w:eastAsia="fr-FR"/>
        </w:rPr>
        <w:drawing>
          <wp:inline distT="0" distB="0" distL="0" distR="0">
            <wp:extent cx="5731510" cy="3394389"/>
            <wp:effectExtent l="19050" t="0" r="2540" b="0"/>
            <wp:docPr id="33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6" cstate="print"/>
                    <a:srcRect/>
                    <a:stretch>
                      <a:fillRect/>
                    </a:stretch>
                  </pic:blipFill>
                  <pic:spPr bwMode="auto">
                    <a:xfrm>
                      <a:off x="0" y="0"/>
                      <a:ext cx="5731510" cy="3394389"/>
                    </a:xfrm>
                    <a:prstGeom prst="rect">
                      <a:avLst/>
                    </a:prstGeom>
                    <a:noFill/>
                    <a:ln w="9525">
                      <a:noFill/>
                      <a:miter lim="800000"/>
                      <a:headEnd/>
                      <a:tailEnd/>
                    </a:ln>
                  </pic:spPr>
                </pic:pic>
              </a:graphicData>
            </a:graphic>
          </wp:inline>
        </w:drawing>
      </w:r>
    </w:p>
    <w:p w:rsidR="000552AE" w:rsidRPr="00B6647E" w:rsidRDefault="000552AE" w:rsidP="00E51ED6">
      <w:pPr>
        <w:pStyle w:val="Paragraphedeliste"/>
        <w:spacing w:after="0" w:line="240" w:lineRule="auto"/>
        <w:rPr>
          <w:rFonts w:ascii="Arial" w:hAnsi="Arial" w:cs="Arial"/>
          <w:sz w:val="20"/>
          <w:szCs w:val="20"/>
        </w:rPr>
      </w:pPr>
    </w:p>
    <w:p w:rsidR="003767EC" w:rsidRPr="00B6647E" w:rsidRDefault="00126161" w:rsidP="003767EC">
      <w:pPr>
        <w:pStyle w:val="Lgende"/>
        <w:jc w:val="both"/>
        <w:rPr>
          <w:rFonts w:ascii="Arial" w:hAnsi="Arial" w:cs="Arial"/>
          <w:b w:val="0"/>
        </w:rPr>
      </w:pPr>
      <w:r w:rsidRPr="00B6647E">
        <w:rPr>
          <w:rFonts w:ascii="Arial" w:hAnsi="Arial" w:cs="Arial"/>
          <w:b w:val="0"/>
        </w:rPr>
        <w:t>Pendant la saison B</w:t>
      </w:r>
      <w:r w:rsidR="003767EC" w:rsidRPr="00B6647E">
        <w:rPr>
          <w:rFonts w:ascii="Arial" w:hAnsi="Arial" w:cs="Arial"/>
          <w:b w:val="0"/>
        </w:rPr>
        <w:t xml:space="preserve">, </w:t>
      </w:r>
      <w:r w:rsidRPr="00B6647E">
        <w:rPr>
          <w:rFonts w:ascii="Arial" w:hAnsi="Arial" w:cs="Arial"/>
          <w:b w:val="0"/>
        </w:rPr>
        <w:t xml:space="preserve">le nombre de ménages apiculteurs a été estimé à </w:t>
      </w:r>
      <w:r w:rsidR="003767EC" w:rsidRPr="00B6647E">
        <w:rPr>
          <w:rFonts w:ascii="Arial" w:hAnsi="Arial" w:cs="Arial"/>
          <w:b w:val="0"/>
        </w:rPr>
        <w:t>7</w:t>
      </w:r>
      <w:r w:rsidRPr="00B6647E">
        <w:rPr>
          <w:rFonts w:ascii="Arial" w:hAnsi="Arial" w:cs="Arial"/>
          <w:b w:val="0"/>
        </w:rPr>
        <w:t>6</w:t>
      </w:r>
      <w:r w:rsidR="003767EC" w:rsidRPr="00B6647E">
        <w:rPr>
          <w:rFonts w:ascii="Arial" w:hAnsi="Arial" w:cs="Arial"/>
          <w:b w:val="0"/>
        </w:rPr>
        <w:t>.</w:t>
      </w:r>
      <w:r w:rsidRPr="00B6647E">
        <w:rPr>
          <w:rFonts w:ascii="Arial" w:hAnsi="Arial" w:cs="Arial"/>
          <w:b w:val="0"/>
        </w:rPr>
        <w:t>889</w:t>
      </w:r>
      <w:r w:rsidR="003767EC" w:rsidRPr="00B6647E">
        <w:rPr>
          <w:rFonts w:ascii="Arial" w:hAnsi="Arial" w:cs="Arial"/>
          <w:b w:val="0"/>
        </w:rPr>
        <w:t xml:space="preserve"> représentant </w:t>
      </w:r>
      <w:r w:rsidRPr="00B6647E">
        <w:rPr>
          <w:rFonts w:ascii="Arial" w:hAnsi="Arial" w:cs="Arial"/>
          <w:b w:val="0"/>
        </w:rPr>
        <w:t>4,9</w:t>
      </w:r>
      <w:r w:rsidR="003767EC" w:rsidRPr="00B6647E">
        <w:rPr>
          <w:rFonts w:ascii="Arial" w:hAnsi="Arial" w:cs="Arial"/>
          <w:b w:val="0"/>
        </w:rPr>
        <w:t xml:space="preserve">% de l’ensemble des ménages agricoles du pays. </w:t>
      </w:r>
      <w:r w:rsidR="00051A35" w:rsidRPr="00B6647E">
        <w:rPr>
          <w:rFonts w:ascii="Arial" w:hAnsi="Arial" w:cs="Arial"/>
          <w:b w:val="0"/>
        </w:rPr>
        <w:t xml:space="preserve">Ces ménages apiculteurs totalisent 86.725 personnes pratiquant l’apiculture. </w:t>
      </w:r>
      <w:r w:rsidR="003767EC" w:rsidRPr="00B6647E">
        <w:rPr>
          <w:rFonts w:ascii="Arial" w:hAnsi="Arial" w:cs="Arial"/>
          <w:b w:val="0"/>
        </w:rPr>
        <w:t>Le nombre total de ruches a été estimé à 287.738 dont 5% seulement sont des ruches modernes</w:t>
      </w:r>
      <w:r w:rsidRPr="00B6647E">
        <w:rPr>
          <w:rFonts w:ascii="Arial" w:hAnsi="Arial" w:cs="Arial"/>
          <w:b w:val="0"/>
        </w:rPr>
        <w:t>.</w:t>
      </w:r>
      <w:r w:rsidR="00051A35" w:rsidRPr="00B6647E">
        <w:rPr>
          <w:rFonts w:ascii="Arial" w:hAnsi="Arial" w:cs="Arial"/>
          <w:b w:val="0"/>
        </w:rPr>
        <w:t xml:space="preserve"> </w:t>
      </w:r>
      <w:r w:rsidR="003767EC" w:rsidRPr="00B6647E">
        <w:rPr>
          <w:rFonts w:ascii="Arial" w:hAnsi="Arial" w:cs="Arial"/>
          <w:b w:val="0"/>
        </w:rPr>
        <w:t xml:space="preserve">La quantité totale du miel produite par les ménages agricoles au cours de la saison B est estimée à environ  227 tonnes dont 31,4% </w:t>
      </w:r>
      <w:r w:rsidRPr="00B6647E">
        <w:rPr>
          <w:rFonts w:ascii="Arial" w:hAnsi="Arial" w:cs="Arial"/>
          <w:b w:val="0"/>
        </w:rPr>
        <w:t>ont</w:t>
      </w:r>
      <w:r w:rsidR="003767EC" w:rsidRPr="00B6647E">
        <w:rPr>
          <w:rFonts w:ascii="Arial" w:hAnsi="Arial" w:cs="Arial"/>
          <w:b w:val="0"/>
        </w:rPr>
        <w:t xml:space="preserve"> été autoconsommée</w:t>
      </w:r>
      <w:r w:rsidRPr="00B6647E">
        <w:rPr>
          <w:rFonts w:ascii="Arial" w:hAnsi="Arial" w:cs="Arial"/>
          <w:b w:val="0"/>
        </w:rPr>
        <w:t>s</w:t>
      </w:r>
      <w:r w:rsidR="003767EC" w:rsidRPr="00B6647E">
        <w:rPr>
          <w:rFonts w:ascii="Arial" w:hAnsi="Arial" w:cs="Arial"/>
          <w:b w:val="0"/>
        </w:rPr>
        <w:t xml:space="preserve"> et 68,6% vendue</w:t>
      </w:r>
      <w:r w:rsidRPr="00B6647E">
        <w:rPr>
          <w:rFonts w:ascii="Arial" w:hAnsi="Arial" w:cs="Arial"/>
          <w:b w:val="0"/>
        </w:rPr>
        <w:t>s</w:t>
      </w:r>
      <w:r w:rsidR="003767EC" w:rsidRPr="00B6647E">
        <w:rPr>
          <w:rFonts w:ascii="Arial" w:hAnsi="Arial" w:cs="Arial"/>
          <w:b w:val="0"/>
        </w:rPr>
        <w:t>. La vente a rapporté au total 611,4 millions de FBu, soit un prix moyen de 3.900 FBu/kg.</w:t>
      </w:r>
      <w:r w:rsidRPr="00B6647E">
        <w:rPr>
          <w:rFonts w:ascii="Arial" w:hAnsi="Arial" w:cs="Arial"/>
          <w:b w:val="0"/>
        </w:rPr>
        <w:t xml:space="preserve"> </w:t>
      </w:r>
      <w:r w:rsidR="003767EC" w:rsidRPr="00B6647E">
        <w:rPr>
          <w:rFonts w:ascii="Arial" w:hAnsi="Arial" w:cs="Arial"/>
          <w:b w:val="0"/>
        </w:rPr>
        <w:t>Par ménage pratiquant l’apiculture, on a une production moyenne de 2,9 kg de miel (0,91 kg autoconsommé et 2 kg vendus) et un revenu</w:t>
      </w:r>
      <w:r w:rsidR="00051A35" w:rsidRPr="00B6647E">
        <w:rPr>
          <w:rFonts w:ascii="Arial" w:hAnsi="Arial" w:cs="Arial"/>
          <w:b w:val="0"/>
        </w:rPr>
        <w:t xml:space="preserve"> moyen d’environ 7.900 FBu</w:t>
      </w:r>
      <w:r w:rsidR="003767EC" w:rsidRPr="00B6647E">
        <w:rPr>
          <w:rFonts w:ascii="Arial" w:hAnsi="Arial" w:cs="Arial"/>
          <w:b w:val="0"/>
        </w:rPr>
        <w:t xml:space="preserve">. </w:t>
      </w:r>
    </w:p>
    <w:p w:rsidR="00051A35" w:rsidRPr="00B6647E" w:rsidRDefault="00051A35" w:rsidP="003767EC">
      <w:pPr>
        <w:pStyle w:val="Lgende"/>
        <w:jc w:val="both"/>
        <w:rPr>
          <w:rFonts w:ascii="Arial" w:hAnsi="Arial" w:cs="Arial"/>
          <w:b w:val="0"/>
        </w:rPr>
      </w:pPr>
    </w:p>
    <w:p w:rsidR="003767EC" w:rsidRPr="00B6647E" w:rsidRDefault="003767EC" w:rsidP="003767EC">
      <w:pPr>
        <w:pStyle w:val="Lgende"/>
        <w:jc w:val="both"/>
        <w:rPr>
          <w:rFonts w:ascii="Arial" w:hAnsi="Arial" w:cs="Arial"/>
          <w:b w:val="0"/>
        </w:rPr>
      </w:pPr>
      <w:r w:rsidRPr="00B6647E">
        <w:rPr>
          <w:rFonts w:ascii="Arial" w:hAnsi="Arial" w:cs="Arial"/>
          <w:b w:val="0"/>
        </w:rPr>
        <w:t xml:space="preserve">Au </w:t>
      </w:r>
      <w:r w:rsidR="00051A35" w:rsidRPr="00B6647E">
        <w:rPr>
          <w:rFonts w:ascii="Arial" w:hAnsi="Arial" w:cs="Arial"/>
          <w:b w:val="0"/>
        </w:rPr>
        <w:t xml:space="preserve">cours de la saison C, </w:t>
      </w:r>
      <w:r w:rsidRPr="00B6647E">
        <w:rPr>
          <w:rFonts w:ascii="Arial" w:hAnsi="Arial" w:cs="Arial"/>
          <w:b w:val="0"/>
        </w:rPr>
        <w:t xml:space="preserve">l’enquête </w:t>
      </w:r>
      <w:r w:rsidR="00051A35" w:rsidRPr="00B6647E">
        <w:rPr>
          <w:rFonts w:ascii="Arial" w:hAnsi="Arial" w:cs="Arial"/>
          <w:b w:val="0"/>
        </w:rPr>
        <w:t xml:space="preserve">a </w:t>
      </w:r>
      <w:r w:rsidRPr="00B6647E">
        <w:rPr>
          <w:rFonts w:ascii="Arial" w:hAnsi="Arial" w:cs="Arial"/>
          <w:b w:val="0"/>
        </w:rPr>
        <w:t>indiqu</w:t>
      </w:r>
      <w:r w:rsidR="00051A35" w:rsidRPr="00B6647E">
        <w:rPr>
          <w:rFonts w:ascii="Arial" w:hAnsi="Arial" w:cs="Arial"/>
          <w:b w:val="0"/>
        </w:rPr>
        <w:t>é</w:t>
      </w:r>
      <w:r w:rsidRPr="00B6647E">
        <w:rPr>
          <w:rFonts w:ascii="Arial" w:hAnsi="Arial" w:cs="Arial"/>
          <w:b w:val="0"/>
        </w:rPr>
        <w:t xml:space="preserve"> qu’il y a 71.824 ménages agricoles représentant 4,6% de l’ensemble des ménages agricoles du pays. </w:t>
      </w:r>
      <w:r w:rsidR="00051A35" w:rsidRPr="00B6647E">
        <w:rPr>
          <w:rFonts w:ascii="Arial" w:hAnsi="Arial" w:cs="Arial"/>
          <w:b w:val="0"/>
        </w:rPr>
        <w:t xml:space="preserve">Ces ménages apiculteurs totalisent 74.115 personnes pratiquant l’apiculture. </w:t>
      </w:r>
      <w:r w:rsidRPr="00B6647E">
        <w:rPr>
          <w:rFonts w:ascii="Arial" w:hAnsi="Arial" w:cs="Arial"/>
          <w:b w:val="0"/>
        </w:rPr>
        <w:t>Le nombre total de ruches a été estimé à 374.385 dont 6,1% seulement sont des ruches modernes. La quantité totale du miel produite par les ménages agricoles est estimée à environ  457 tonnes dont 20,</w:t>
      </w:r>
      <w:r w:rsidR="00051A35" w:rsidRPr="00B6647E">
        <w:rPr>
          <w:rFonts w:ascii="Arial" w:hAnsi="Arial" w:cs="Arial"/>
          <w:b w:val="0"/>
        </w:rPr>
        <w:t>1</w:t>
      </w:r>
      <w:r w:rsidRPr="00B6647E">
        <w:rPr>
          <w:rFonts w:ascii="Arial" w:hAnsi="Arial" w:cs="Arial"/>
          <w:b w:val="0"/>
        </w:rPr>
        <w:t>% de cette quantité a été autoconsommée et 79,9% vendue. La vente a rapporté au total 1.245 millions de FBu, soit un prix moyen de 3.400 FBu/kg.</w:t>
      </w:r>
      <w:r w:rsidR="00051A35" w:rsidRPr="00B6647E">
        <w:rPr>
          <w:rFonts w:ascii="Arial" w:hAnsi="Arial" w:cs="Arial"/>
          <w:b w:val="0"/>
        </w:rPr>
        <w:t xml:space="preserve"> </w:t>
      </w:r>
      <w:r w:rsidRPr="00B6647E">
        <w:rPr>
          <w:rFonts w:ascii="Arial" w:hAnsi="Arial" w:cs="Arial"/>
          <w:b w:val="0"/>
        </w:rPr>
        <w:t xml:space="preserve">Par ménage pratiquant l’apiculture, on a une production moyenne de 6,4 kg de miel (1,3 kg autoconsommé et 5,1 kg vendus) et un revenu moyen d’environ 5.000 FBu au cours de la saison C. </w:t>
      </w:r>
    </w:p>
    <w:p w:rsidR="003767EC" w:rsidRPr="00B6647E" w:rsidRDefault="003767EC">
      <w:pPr>
        <w:rPr>
          <w:rFonts w:ascii="Arial" w:hAnsi="Arial" w:cs="Arial"/>
          <w:sz w:val="20"/>
          <w:szCs w:val="20"/>
        </w:rPr>
      </w:pPr>
    </w:p>
    <w:p w:rsidR="001A3AEF" w:rsidRPr="00B6647E" w:rsidRDefault="000552AE" w:rsidP="00E51ED6">
      <w:pPr>
        <w:pStyle w:val="Titre1"/>
        <w:keepNext w:val="0"/>
        <w:numPr>
          <w:ilvl w:val="0"/>
          <w:numId w:val="1"/>
        </w:numPr>
        <w:tabs>
          <w:tab w:val="num" w:pos="432"/>
        </w:tabs>
        <w:ind w:left="432" w:hanging="432"/>
        <w:rPr>
          <w:rFonts w:cs="Arial"/>
          <w:color w:val="365F91"/>
        </w:rPr>
      </w:pPr>
      <w:bookmarkStart w:id="319" w:name="_Toc354313907"/>
      <w:r w:rsidRPr="00B6647E">
        <w:rPr>
          <w:rFonts w:cs="Arial"/>
          <w:color w:val="365F91"/>
        </w:rPr>
        <w:lastRenderedPageBreak/>
        <w:t>Sylviculture</w:t>
      </w:r>
      <w:bookmarkEnd w:id="319"/>
      <w:r w:rsidRPr="00B6647E">
        <w:rPr>
          <w:rFonts w:cs="Arial"/>
          <w:color w:val="365F91"/>
        </w:rPr>
        <w:t xml:space="preserve"> </w:t>
      </w:r>
    </w:p>
    <w:p w:rsidR="001A3AEF" w:rsidRPr="00B6647E" w:rsidRDefault="00DF50D8" w:rsidP="00E51ED6">
      <w:pPr>
        <w:pStyle w:val="Paragraphedeliste"/>
        <w:spacing w:after="0" w:line="240" w:lineRule="auto"/>
        <w:rPr>
          <w:rFonts w:ascii="Arial" w:hAnsi="Arial" w:cs="Arial"/>
          <w:sz w:val="20"/>
          <w:szCs w:val="20"/>
        </w:rPr>
      </w:pPr>
      <w:r w:rsidRPr="00DF50D8">
        <w:rPr>
          <w:rFonts w:ascii="Arial" w:hAnsi="Arial" w:cs="Arial"/>
          <w:noProof/>
        </w:rPr>
        <w:pict>
          <v:shape id="_x0000_s1039" type="#_x0000_t32" style="position:absolute;left:0;text-align:left;margin-left:1.15pt;margin-top:4.8pt;width:453.55pt;height:0;z-index:25168691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4ufrAIAAJcFAAAOAAAAZHJzL2Uyb0RvYy54bWysVE2PmzAQvVfqf7B8Z4FACEFLVlkCvWzb&#10;lXarnh1sglWwke18rKr+945NQjfbS1UtB+SPmTdvZt749u7Ud+jAlOZS5Di8CTBiopaUi12Ovz1X&#10;XoqRNkRQ0knBcvzCNL5bffxwexwyNpOt7ChTCECEzo5Djltjhsz3dd2ynugbOTABl41UPTGwVTuf&#10;KnIE9L7zZ0GQ+Eep6KBkzbSG0814iVcOv2lYbb42jWYGdTkGbsb9lftv7d9f3ZJsp8jQ8vpMg/wH&#10;i55wAUEnqA0xBO0V/wuq57WSWjbmppa9L5uG18zlANmEwZtsnloyMJcLFEcPU5n0+8HWXw6PCnGa&#10;42WCkSA99Gi9N9KFRjNbn+OgMzArxKOyGdYn8TQ8yPqHRkIWLRE75oyfXwbwDa2Hf+ViN3qAKNvj&#10;Z0nBhgC+K9apUb2FhDKgk+vJy9QTdjKohsP5IgmCdI5RfbnzSXZxHJQ2n5jskV3kWBtF+K41hRQC&#10;Oi9V6MKQw4M2lhbJLg42qpAV7zongE6gY46jNAwC56Flx6m9tXZa7bZFp9CBgIaiZF4txyTh5rWZ&#10;kntBHVrLCC3Pa0N4N64heicsHnOyHCnB7mRg6c4hYyeZn8tgWaZlGnvxLCm9ONhsvHVVxF5ShYv5&#10;JtoUxSb8ZYmGcdZySpmwXC/yDeN/k8d5kEbhTQKequJfo7vyAdlrputqHiziKPUWi3nkxVEZePdp&#10;VXjrIkySRXlf3JdvmJYue/0+ZKdSWlZyb5h6aukRUW7VMEujJbw+lMO4R2mQBMsFRqTbwTtVG4WR&#10;kuY7N60Tr5Wdxbjq9SyOqmQ8J93QklEB8wA+p/LJ3NVmCj9W6tJku5vadE7+Ty1BFBcBuKGxczJO&#10;3FbSl0d1GSaYfud0fqns8/J6D+vX7+nqNwAAAP//AwBQSwMEFAAGAAgAAAAhABLqZCjcAAAABQEA&#10;AA8AAABkcnMvZG93bnJldi54bWxMjlFLwzAUhd+F/YdwB76ISzdLWWvTMRRxDBGs/oC0uTbF5qY0&#10;Wdv564170cfDOXzny3ez6diIg2stCVivImBItVUtNQI+3p9ut8Ccl6RkZwkFnNHBrlhc5TJTdqI3&#10;HEvfsAAhl0kB2vs+49zVGo10K9sjhe7TDkb6EIeGq0FOAW46vomihBvZUnjQsscHjfVXeTICpjE5&#10;vtxs+fx9fC3PTRUfHvVzLMT1ct7fA/M4+78x/OoHdSiCU2VPpBzrBGzuwlBAmgALbRqlMbDqknmR&#10;8//2xQ8AAAD//wMAUEsBAi0AFAAGAAgAAAAhALaDOJL+AAAA4QEAABMAAAAAAAAAAAAAAAAAAAAA&#10;AFtDb250ZW50X1R5cGVzXS54bWxQSwECLQAUAAYACAAAACEAOP0h/9YAAACUAQAACwAAAAAAAAAA&#10;AAAAAAAvAQAAX3JlbHMvLnJlbHNQSwECLQAUAAYACAAAACEAJvOLn6wCAACXBQAADgAAAAAAAAAA&#10;AAAAAAAuAgAAZHJzL2Uyb0RvYy54bWxQSwECLQAUAAYACAAAACEAEupkKNwAAAAFAQAADwAAAAAA&#10;AAAAAAAAAAAGBQAAZHJzL2Rvd25yZXYueG1sUEsFBgAAAAAEAAQA8wAAAA8GAAAAAA==&#10;" strokecolor="#365f91" strokeweight="3pt">
            <v:shadow color="#243f60" opacity=".5" offset="1pt"/>
          </v:shape>
        </w:pict>
      </w:r>
    </w:p>
    <w:p w:rsidR="000552AE" w:rsidRPr="00B6647E" w:rsidRDefault="000552AE" w:rsidP="00E51ED6">
      <w:pPr>
        <w:pStyle w:val="Paragraphedeliste"/>
        <w:spacing w:after="0" w:line="240" w:lineRule="auto"/>
        <w:ind w:left="0"/>
        <w:rPr>
          <w:rFonts w:ascii="Arial" w:hAnsi="Arial" w:cs="Arial"/>
          <w:sz w:val="20"/>
          <w:szCs w:val="20"/>
        </w:rPr>
      </w:pPr>
    </w:p>
    <w:p w:rsidR="001172EE" w:rsidRPr="00B6647E" w:rsidRDefault="001172EE" w:rsidP="001172EE">
      <w:pPr>
        <w:spacing w:after="0" w:line="240" w:lineRule="auto"/>
        <w:jc w:val="both"/>
        <w:rPr>
          <w:rFonts w:ascii="Arial" w:hAnsi="Arial" w:cs="Arial"/>
          <w:i/>
          <w:sz w:val="20"/>
          <w:szCs w:val="20"/>
        </w:rPr>
      </w:pPr>
      <w:r w:rsidRPr="00B6647E">
        <w:rPr>
          <w:rFonts w:ascii="Arial" w:hAnsi="Arial" w:cs="Arial"/>
          <w:b/>
          <w:i/>
          <w:sz w:val="20"/>
          <w:szCs w:val="20"/>
        </w:rPr>
        <w:t>NB :</w:t>
      </w:r>
      <w:r w:rsidRPr="00B6647E">
        <w:rPr>
          <w:rFonts w:ascii="Arial" w:hAnsi="Arial" w:cs="Arial"/>
          <w:i/>
          <w:sz w:val="20"/>
          <w:szCs w:val="20"/>
        </w:rPr>
        <w:t xml:space="preserve"> </w:t>
      </w:r>
      <w:r w:rsidR="00321139" w:rsidRPr="00B6647E">
        <w:rPr>
          <w:rFonts w:ascii="Arial" w:hAnsi="Arial" w:cs="Arial"/>
          <w:i/>
          <w:sz w:val="20"/>
          <w:szCs w:val="20"/>
        </w:rPr>
        <w:t xml:space="preserve">Ce chapitre ne concerne pas de vrais </w:t>
      </w:r>
      <w:r w:rsidRPr="00B6647E">
        <w:rPr>
          <w:rFonts w:ascii="Arial" w:hAnsi="Arial" w:cs="Arial"/>
          <w:i/>
          <w:sz w:val="20"/>
          <w:szCs w:val="20"/>
        </w:rPr>
        <w:t xml:space="preserve">ménages  </w:t>
      </w:r>
      <w:r w:rsidR="0003501D" w:rsidRPr="00B6647E">
        <w:rPr>
          <w:rFonts w:ascii="Arial" w:hAnsi="Arial" w:cs="Arial"/>
          <w:i/>
          <w:sz w:val="20"/>
          <w:szCs w:val="20"/>
        </w:rPr>
        <w:t>sylviculteurs</w:t>
      </w:r>
      <w:r w:rsidRPr="00B6647E">
        <w:rPr>
          <w:rFonts w:ascii="Arial" w:hAnsi="Arial" w:cs="Arial"/>
          <w:i/>
          <w:sz w:val="20"/>
          <w:szCs w:val="20"/>
        </w:rPr>
        <w:t xml:space="preserve">, mais de ménages agricoles dans lesquels au moins un membre pratique </w:t>
      </w:r>
      <w:r w:rsidR="0003501D" w:rsidRPr="00B6647E">
        <w:rPr>
          <w:rFonts w:ascii="Arial" w:hAnsi="Arial" w:cs="Arial"/>
          <w:i/>
          <w:sz w:val="20"/>
          <w:szCs w:val="20"/>
        </w:rPr>
        <w:t>la sylviculture</w:t>
      </w:r>
      <w:r w:rsidRPr="00B6647E">
        <w:rPr>
          <w:rFonts w:ascii="Arial" w:hAnsi="Arial" w:cs="Arial"/>
          <w:i/>
          <w:sz w:val="20"/>
          <w:szCs w:val="20"/>
        </w:rPr>
        <w:t>.</w:t>
      </w:r>
    </w:p>
    <w:p w:rsidR="001172EE" w:rsidRPr="00B6647E" w:rsidRDefault="001172EE" w:rsidP="00A67589">
      <w:pPr>
        <w:pStyle w:val="Lgende"/>
        <w:jc w:val="both"/>
        <w:rPr>
          <w:rFonts w:ascii="Arial" w:hAnsi="Arial" w:cs="Arial"/>
          <w:b w:val="0"/>
        </w:rPr>
      </w:pPr>
    </w:p>
    <w:p w:rsidR="00246455" w:rsidRPr="00B6647E" w:rsidRDefault="00C632FC" w:rsidP="00A67589">
      <w:pPr>
        <w:pStyle w:val="Lgende"/>
        <w:jc w:val="both"/>
        <w:rPr>
          <w:rFonts w:ascii="Arial" w:hAnsi="Arial" w:cs="Arial"/>
          <w:b w:val="0"/>
        </w:rPr>
      </w:pPr>
      <w:r w:rsidRPr="00B6647E">
        <w:rPr>
          <w:rFonts w:ascii="Arial" w:hAnsi="Arial" w:cs="Arial"/>
          <w:b w:val="0"/>
        </w:rPr>
        <w:t>Pendant la saison A, un ménage agricole sur trois (33,6%) a pratiqué la sylviculture, soit environ 52</w:t>
      </w:r>
      <w:r w:rsidR="00A67589" w:rsidRPr="00B6647E">
        <w:rPr>
          <w:rFonts w:ascii="Arial" w:hAnsi="Arial" w:cs="Arial"/>
          <w:b w:val="0"/>
        </w:rPr>
        <w:t>3</w:t>
      </w:r>
      <w:r w:rsidRPr="00B6647E">
        <w:rPr>
          <w:rFonts w:ascii="Arial" w:hAnsi="Arial" w:cs="Arial"/>
          <w:b w:val="0"/>
        </w:rPr>
        <w:t>.</w:t>
      </w:r>
      <w:r w:rsidR="00A67589" w:rsidRPr="00B6647E">
        <w:rPr>
          <w:rFonts w:ascii="Arial" w:hAnsi="Arial" w:cs="Arial"/>
          <w:b w:val="0"/>
        </w:rPr>
        <w:t>524</w:t>
      </w:r>
      <w:r w:rsidRPr="00B6647E">
        <w:rPr>
          <w:rFonts w:ascii="Arial" w:hAnsi="Arial" w:cs="Arial"/>
          <w:b w:val="0"/>
        </w:rPr>
        <w:t xml:space="preserve"> ménages</w:t>
      </w:r>
      <w:r w:rsidR="001172EE" w:rsidRPr="00B6647E">
        <w:rPr>
          <w:rStyle w:val="Appelnotedebasdep"/>
          <w:rFonts w:ascii="Arial" w:hAnsi="Arial" w:cs="Arial"/>
          <w:b w:val="0"/>
        </w:rPr>
        <w:footnoteReference w:id="44"/>
      </w:r>
      <w:r w:rsidRPr="00B6647E">
        <w:rPr>
          <w:rFonts w:ascii="Arial" w:hAnsi="Arial" w:cs="Arial"/>
          <w:b w:val="0"/>
        </w:rPr>
        <w:t>. La sylviculture est pratiquée dans toutes les provinces</w:t>
      </w:r>
      <w:r w:rsidR="00A67589" w:rsidRPr="00B6647E">
        <w:rPr>
          <w:rFonts w:ascii="Arial" w:hAnsi="Arial" w:cs="Arial"/>
          <w:b w:val="0"/>
        </w:rPr>
        <w:t xml:space="preserve">. Elle </w:t>
      </w:r>
      <w:r w:rsidRPr="00B6647E">
        <w:rPr>
          <w:rFonts w:ascii="Arial" w:hAnsi="Arial" w:cs="Arial"/>
          <w:b w:val="0"/>
        </w:rPr>
        <w:t xml:space="preserve">rapporte en moyenne environ 200.000 FBu aux ménages sylvicoles. </w:t>
      </w:r>
    </w:p>
    <w:p w:rsidR="00246455" w:rsidRPr="00B6647E" w:rsidRDefault="00246455" w:rsidP="00A67589">
      <w:pPr>
        <w:pStyle w:val="Lgende"/>
        <w:jc w:val="both"/>
        <w:rPr>
          <w:rFonts w:ascii="Arial" w:hAnsi="Arial" w:cs="Arial"/>
          <w:b w:val="0"/>
        </w:rPr>
      </w:pPr>
    </w:p>
    <w:p w:rsidR="00C632FC" w:rsidRPr="00B6647E" w:rsidRDefault="00C632FC" w:rsidP="00A67589">
      <w:pPr>
        <w:pStyle w:val="Lgende"/>
        <w:jc w:val="both"/>
        <w:rPr>
          <w:rFonts w:ascii="Arial" w:hAnsi="Arial" w:cs="Arial"/>
          <w:b w:val="0"/>
        </w:rPr>
      </w:pPr>
      <w:r w:rsidRPr="00B6647E">
        <w:rPr>
          <w:rFonts w:ascii="Arial" w:hAnsi="Arial" w:cs="Arial"/>
          <w:b w:val="0"/>
        </w:rPr>
        <w:t>Ces revenus proviennent de la vente du bois de construction, du bois d’œuvre, du bois de chauffe et du charbon</w:t>
      </w:r>
      <w:r w:rsidR="00471D52">
        <w:rPr>
          <w:rFonts w:ascii="Arial" w:hAnsi="Arial" w:cs="Arial"/>
          <w:b w:val="0"/>
        </w:rPr>
        <w:t>.</w:t>
      </w:r>
      <w:r w:rsidRPr="00B6647E">
        <w:rPr>
          <w:rFonts w:ascii="Arial" w:hAnsi="Arial" w:cs="Arial"/>
          <w:b w:val="0"/>
        </w:rPr>
        <w:t xml:space="preserve"> Les ménages sylviculteurs ont planté en moyenne 100 arbres forestiers au cours de la saison A, </w:t>
      </w:r>
      <w:r w:rsidR="00A67589" w:rsidRPr="00B6647E">
        <w:rPr>
          <w:rFonts w:ascii="Arial" w:hAnsi="Arial" w:cs="Arial"/>
          <w:b w:val="0"/>
        </w:rPr>
        <w:t>trois</w:t>
      </w:r>
      <w:r w:rsidRPr="00B6647E">
        <w:rPr>
          <w:rFonts w:ascii="Arial" w:hAnsi="Arial" w:cs="Arial"/>
          <w:b w:val="0"/>
        </w:rPr>
        <w:t xml:space="preserve"> arbres fruitiers et </w:t>
      </w:r>
      <w:r w:rsidR="00A67589" w:rsidRPr="00B6647E">
        <w:rPr>
          <w:rFonts w:ascii="Arial" w:hAnsi="Arial" w:cs="Arial"/>
          <w:b w:val="0"/>
        </w:rPr>
        <w:t xml:space="preserve">onze </w:t>
      </w:r>
      <w:r w:rsidRPr="00B6647E">
        <w:rPr>
          <w:rFonts w:ascii="Arial" w:hAnsi="Arial" w:cs="Arial"/>
          <w:b w:val="0"/>
        </w:rPr>
        <w:t>arbustes fourragers.</w:t>
      </w:r>
    </w:p>
    <w:p w:rsidR="00E819CC" w:rsidRPr="00B6647E" w:rsidRDefault="00E819CC" w:rsidP="00E51ED6">
      <w:pPr>
        <w:pStyle w:val="Paragraphedeliste"/>
        <w:spacing w:after="0" w:line="240" w:lineRule="auto"/>
        <w:ind w:left="0"/>
        <w:rPr>
          <w:rFonts w:ascii="Arial" w:hAnsi="Arial" w:cs="Arial"/>
          <w:sz w:val="20"/>
          <w:szCs w:val="20"/>
        </w:rPr>
      </w:pPr>
    </w:p>
    <w:p w:rsidR="00E819CC" w:rsidRPr="00B6647E" w:rsidRDefault="00E819CC" w:rsidP="00E819CC">
      <w:pPr>
        <w:pStyle w:val="Paragraphedeliste"/>
        <w:spacing w:after="0" w:line="240" w:lineRule="auto"/>
        <w:ind w:left="0"/>
        <w:rPr>
          <w:rFonts w:ascii="Arial" w:hAnsi="Arial" w:cs="Arial"/>
          <w:b/>
          <w:sz w:val="20"/>
          <w:szCs w:val="20"/>
        </w:rPr>
      </w:pPr>
      <w:r w:rsidRPr="00B6647E">
        <w:rPr>
          <w:rFonts w:ascii="Arial" w:hAnsi="Arial" w:cs="Arial"/>
          <w:b/>
          <w:sz w:val="20"/>
          <w:szCs w:val="20"/>
        </w:rPr>
        <w:t xml:space="preserve">Tableau </w:t>
      </w:r>
      <w:r w:rsidR="007602F3">
        <w:rPr>
          <w:rFonts w:ascii="Arial" w:hAnsi="Arial" w:cs="Arial"/>
          <w:b/>
          <w:sz w:val="20"/>
          <w:szCs w:val="20"/>
        </w:rPr>
        <w:t>23</w:t>
      </w:r>
      <w:r w:rsidR="00F75E61" w:rsidRPr="00B6647E">
        <w:rPr>
          <w:rFonts w:ascii="Arial" w:hAnsi="Arial" w:cs="Arial"/>
          <w:b/>
          <w:sz w:val="20"/>
          <w:szCs w:val="20"/>
        </w:rPr>
        <w:t>3</w:t>
      </w:r>
      <w:r w:rsidRPr="00B6647E">
        <w:rPr>
          <w:rFonts w:ascii="Arial" w:hAnsi="Arial" w:cs="Arial"/>
          <w:b/>
          <w:sz w:val="20"/>
          <w:szCs w:val="20"/>
        </w:rPr>
        <w:t> : Nombre de ménages sylviculteurs par saison</w:t>
      </w:r>
    </w:p>
    <w:p w:rsidR="00AD6298" w:rsidRPr="00B6647E" w:rsidRDefault="00AD6298" w:rsidP="00E819CC">
      <w:pPr>
        <w:pStyle w:val="Paragraphedeliste"/>
        <w:spacing w:after="0" w:line="240" w:lineRule="auto"/>
        <w:ind w:left="0"/>
        <w:rPr>
          <w:rFonts w:ascii="Arial" w:hAnsi="Arial" w:cs="Arial"/>
          <w:b/>
          <w:sz w:val="20"/>
          <w:szCs w:val="20"/>
        </w:rPr>
      </w:pPr>
    </w:p>
    <w:p w:rsidR="00AD6298" w:rsidRPr="00B6647E" w:rsidRDefault="00AD6298" w:rsidP="00E819CC">
      <w:pPr>
        <w:pStyle w:val="Paragraphedeliste"/>
        <w:spacing w:after="0" w:line="240" w:lineRule="auto"/>
        <w:ind w:left="0"/>
        <w:rPr>
          <w:rFonts w:ascii="Arial" w:hAnsi="Arial" w:cs="Arial"/>
          <w:b/>
          <w:sz w:val="20"/>
          <w:szCs w:val="20"/>
        </w:rPr>
      </w:pPr>
      <w:r w:rsidRPr="00B6647E">
        <w:rPr>
          <w:noProof/>
          <w:szCs w:val="20"/>
          <w:lang w:val="fr-FR" w:eastAsia="fr-FR"/>
        </w:rPr>
        <w:drawing>
          <wp:inline distT="0" distB="0" distL="0" distR="0">
            <wp:extent cx="5731510" cy="3385115"/>
            <wp:effectExtent l="19050" t="0" r="2540" b="0"/>
            <wp:docPr id="35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7" cstate="print"/>
                    <a:srcRect/>
                    <a:stretch>
                      <a:fillRect/>
                    </a:stretch>
                  </pic:blipFill>
                  <pic:spPr bwMode="auto">
                    <a:xfrm>
                      <a:off x="0" y="0"/>
                      <a:ext cx="5731510" cy="3385115"/>
                    </a:xfrm>
                    <a:prstGeom prst="rect">
                      <a:avLst/>
                    </a:prstGeom>
                    <a:noFill/>
                    <a:ln w="9525">
                      <a:noFill/>
                      <a:miter lim="800000"/>
                      <a:headEnd/>
                      <a:tailEnd/>
                    </a:ln>
                  </pic:spPr>
                </pic:pic>
              </a:graphicData>
            </a:graphic>
          </wp:inline>
        </w:drawing>
      </w:r>
    </w:p>
    <w:p w:rsidR="00E819CC" w:rsidRPr="00B6647E" w:rsidRDefault="00E819CC" w:rsidP="00E51ED6">
      <w:pPr>
        <w:pStyle w:val="Paragraphedeliste"/>
        <w:spacing w:after="0" w:line="240" w:lineRule="auto"/>
        <w:ind w:left="0"/>
        <w:rPr>
          <w:rFonts w:ascii="Arial" w:hAnsi="Arial" w:cs="Arial"/>
          <w:sz w:val="20"/>
          <w:szCs w:val="20"/>
        </w:rPr>
      </w:pPr>
    </w:p>
    <w:p w:rsidR="003767EC" w:rsidRPr="00B6647E" w:rsidRDefault="00A67589" w:rsidP="003767EC">
      <w:pPr>
        <w:pStyle w:val="Lgende"/>
        <w:jc w:val="both"/>
        <w:rPr>
          <w:rFonts w:ascii="Arial" w:hAnsi="Arial" w:cs="Arial"/>
          <w:b w:val="0"/>
        </w:rPr>
      </w:pPr>
      <w:r w:rsidRPr="00B6647E">
        <w:rPr>
          <w:rFonts w:ascii="Arial" w:hAnsi="Arial" w:cs="Arial"/>
          <w:b w:val="0"/>
        </w:rPr>
        <w:t xml:space="preserve">Au cours de la saison B, la sylviculture est pratiquée dans toutes les provinces </w:t>
      </w:r>
      <w:r w:rsidR="00471D52">
        <w:rPr>
          <w:rFonts w:ascii="Arial" w:hAnsi="Arial" w:cs="Arial"/>
          <w:b w:val="0"/>
        </w:rPr>
        <w:t>par</w:t>
      </w:r>
      <w:r w:rsidRPr="00B6647E">
        <w:rPr>
          <w:rFonts w:ascii="Arial" w:hAnsi="Arial" w:cs="Arial"/>
          <w:b w:val="0"/>
        </w:rPr>
        <w:t xml:space="preserve"> 34,1% des</w:t>
      </w:r>
      <w:r w:rsidR="003767EC" w:rsidRPr="00B6647E">
        <w:rPr>
          <w:rFonts w:ascii="Arial" w:hAnsi="Arial" w:cs="Arial"/>
          <w:b w:val="0"/>
        </w:rPr>
        <w:t xml:space="preserve"> ménage</w:t>
      </w:r>
      <w:r w:rsidRPr="00B6647E">
        <w:rPr>
          <w:rFonts w:ascii="Arial" w:hAnsi="Arial" w:cs="Arial"/>
          <w:b w:val="0"/>
        </w:rPr>
        <w:t>s</w:t>
      </w:r>
      <w:r w:rsidR="003767EC" w:rsidRPr="00B6647E">
        <w:rPr>
          <w:rFonts w:ascii="Arial" w:hAnsi="Arial" w:cs="Arial"/>
          <w:b w:val="0"/>
        </w:rPr>
        <w:t xml:space="preserve"> agricole</w:t>
      </w:r>
      <w:r w:rsidRPr="00B6647E">
        <w:rPr>
          <w:rFonts w:ascii="Arial" w:hAnsi="Arial" w:cs="Arial"/>
          <w:b w:val="0"/>
        </w:rPr>
        <w:t>s</w:t>
      </w:r>
      <w:r w:rsidR="003767EC" w:rsidRPr="00B6647E">
        <w:rPr>
          <w:rFonts w:ascii="Arial" w:hAnsi="Arial" w:cs="Arial"/>
          <w:b w:val="0"/>
        </w:rPr>
        <w:t>, soit 531.364 ménages.</w:t>
      </w:r>
    </w:p>
    <w:p w:rsidR="003767EC" w:rsidRPr="00B6647E" w:rsidRDefault="003767EC" w:rsidP="003767EC">
      <w:pPr>
        <w:pStyle w:val="Lgende"/>
        <w:jc w:val="both"/>
        <w:rPr>
          <w:rFonts w:ascii="Arial" w:hAnsi="Arial" w:cs="Arial"/>
          <w:b w:val="0"/>
        </w:rPr>
      </w:pPr>
    </w:p>
    <w:p w:rsidR="003767EC" w:rsidRPr="00B6647E" w:rsidRDefault="003767EC" w:rsidP="00A67589">
      <w:pPr>
        <w:pStyle w:val="Lgende"/>
        <w:jc w:val="both"/>
        <w:rPr>
          <w:rFonts w:ascii="Arial" w:hAnsi="Arial" w:cs="Arial"/>
          <w:b w:val="0"/>
        </w:rPr>
      </w:pPr>
      <w:r w:rsidRPr="00B6647E">
        <w:rPr>
          <w:rFonts w:ascii="Arial" w:hAnsi="Arial" w:cs="Arial"/>
          <w:b w:val="0"/>
        </w:rPr>
        <w:t>Au cours de la saison B, la sylviculture a rapporté en moyenne environ 6.700 FBu aux ménages sylvicoles. Ces revenus proviennent de la vente du bois de construction, du bois d’œuvre, du bois de chauffe et du charbon. Les ménages sylviculteurs ont planté en moyenne 40 arbres forestiers au cours de la saison B, deux arbres fruitiers et onze</w:t>
      </w:r>
      <w:r w:rsidR="00A67589" w:rsidRPr="00B6647E">
        <w:rPr>
          <w:rFonts w:ascii="Arial" w:hAnsi="Arial" w:cs="Arial"/>
          <w:b w:val="0"/>
        </w:rPr>
        <w:t xml:space="preserve"> </w:t>
      </w:r>
      <w:r w:rsidRPr="00B6647E">
        <w:rPr>
          <w:rFonts w:ascii="Arial" w:hAnsi="Arial" w:cs="Arial"/>
          <w:b w:val="0"/>
        </w:rPr>
        <w:t>arbustes fourragers.</w:t>
      </w:r>
    </w:p>
    <w:p w:rsidR="00246455" w:rsidRPr="00B6647E" w:rsidRDefault="00246455" w:rsidP="00246455">
      <w:pPr>
        <w:pStyle w:val="Lgende"/>
        <w:jc w:val="both"/>
        <w:rPr>
          <w:rFonts w:ascii="Arial" w:hAnsi="Arial" w:cs="Arial"/>
          <w:b w:val="0"/>
        </w:rPr>
      </w:pPr>
    </w:p>
    <w:p w:rsidR="003767EC" w:rsidRPr="00B6647E" w:rsidRDefault="00A67589" w:rsidP="00246455">
      <w:pPr>
        <w:pStyle w:val="Lgende"/>
        <w:jc w:val="both"/>
        <w:rPr>
          <w:rFonts w:ascii="Arial" w:hAnsi="Arial" w:cs="Arial"/>
          <w:b w:val="0"/>
        </w:rPr>
      </w:pPr>
      <w:r w:rsidRPr="00B6647E">
        <w:rPr>
          <w:rFonts w:ascii="Arial" w:hAnsi="Arial" w:cs="Arial"/>
          <w:b w:val="0"/>
        </w:rPr>
        <w:t>En saison C, o</w:t>
      </w:r>
      <w:r w:rsidR="003767EC" w:rsidRPr="00B6647E">
        <w:rPr>
          <w:rFonts w:ascii="Arial" w:hAnsi="Arial" w:cs="Arial"/>
          <w:b w:val="0"/>
        </w:rPr>
        <w:t xml:space="preserve">n </w:t>
      </w:r>
      <w:r w:rsidRPr="00B6647E">
        <w:rPr>
          <w:rFonts w:ascii="Arial" w:hAnsi="Arial" w:cs="Arial"/>
          <w:b w:val="0"/>
        </w:rPr>
        <w:t xml:space="preserve">a </w:t>
      </w:r>
      <w:r w:rsidR="003767EC" w:rsidRPr="00B6647E">
        <w:rPr>
          <w:rFonts w:ascii="Arial" w:hAnsi="Arial" w:cs="Arial"/>
          <w:b w:val="0"/>
        </w:rPr>
        <w:t>estim</w:t>
      </w:r>
      <w:r w:rsidRPr="00B6647E">
        <w:rPr>
          <w:rFonts w:ascii="Arial" w:hAnsi="Arial" w:cs="Arial"/>
          <w:b w:val="0"/>
        </w:rPr>
        <w:t>é</w:t>
      </w:r>
      <w:r w:rsidR="003767EC" w:rsidRPr="00B6647E">
        <w:rPr>
          <w:rFonts w:ascii="Arial" w:hAnsi="Arial" w:cs="Arial"/>
          <w:b w:val="0"/>
        </w:rPr>
        <w:t xml:space="preserve"> à 30,4% la proportion nationale des ménages qui pratiquent la sylviculture, soit 473.153 ménages. </w:t>
      </w:r>
      <w:r w:rsidRPr="00B6647E">
        <w:rPr>
          <w:rFonts w:ascii="Arial" w:hAnsi="Arial" w:cs="Arial"/>
          <w:b w:val="0"/>
        </w:rPr>
        <w:t xml:space="preserve">Cette activité </w:t>
      </w:r>
      <w:r w:rsidR="003767EC" w:rsidRPr="00B6647E">
        <w:rPr>
          <w:rFonts w:ascii="Arial" w:hAnsi="Arial" w:cs="Arial"/>
          <w:b w:val="0"/>
        </w:rPr>
        <w:t>est pratiquée dans toutes les provinces</w:t>
      </w:r>
      <w:r w:rsidRPr="00B6647E">
        <w:rPr>
          <w:rFonts w:ascii="Arial" w:hAnsi="Arial" w:cs="Arial"/>
          <w:b w:val="0"/>
        </w:rPr>
        <w:t>.</w:t>
      </w:r>
    </w:p>
    <w:p w:rsidR="003767EC" w:rsidRPr="00B6647E" w:rsidRDefault="003767EC" w:rsidP="003767EC">
      <w:pPr>
        <w:pStyle w:val="Lgende"/>
        <w:jc w:val="both"/>
        <w:rPr>
          <w:rFonts w:ascii="Arial" w:hAnsi="Arial" w:cs="Arial"/>
          <w:b w:val="0"/>
        </w:rPr>
      </w:pPr>
    </w:p>
    <w:p w:rsidR="003767EC" w:rsidRPr="00B6647E" w:rsidRDefault="003767EC" w:rsidP="00246455">
      <w:pPr>
        <w:pStyle w:val="Lgende"/>
        <w:jc w:val="both"/>
        <w:rPr>
          <w:rFonts w:ascii="Arial" w:hAnsi="Arial" w:cs="Arial"/>
          <w:b w:val="0"/>
        </w:rPr>
      </w:pPr>
      <w:r w:rsidRPr="00B6647E">
        <w:rPr>
          <w:rFonts w:ascii="Arial" w:hAnsi="Arial" w:cs="Arial"/>
          <w:b w:val="0"/>
        </w:rPr>
        <w:t>Au cours de la saison C, la sylviculture a rapporté en moyenne environ 8.300 FBu aux ménages sylvicoles. Ces revenus proviennent de la vente du bois de construction, du bois d’œuvre, du bois de chauffe et du charbon. Les ménages sylviculteurs ont planté en moyenne 28 arbres forestiers au cours de la saison C, un arbre fruitier et un</w:t>
      </w:r>
      <w:r w:rsidR="00246455" w:rsidRPr="00B6647E">
        <w:rPr>
          <w:rFonts w:ascii="Arial" w:hAnsi="Arial" w:cs="Arial"/>
          <w:b w:val="0"/>
        </w:rPr>
        <w:t xml:space="preserve"> </w:t>
      </w:r>
      <w:r w:rsidRPr="00B6647E">
        <w:rPr>
          <w:rFonts w:ascii="Arial" w:hAnsi="Arial" w:cs="Arial"/>
          <w:b w:val="0"/>
        </w:rPr>
        <w:t>arbuste fourrager.</w:t>
      </w:r>
    </w:p>
    <w:p w:rsidR="003767EC" w:rsidRPr="00B6647E" w:rsidRDefault="003767EC" w:rsidP="00E51ED6">
      <w:pPr>
        <w:spacing w:line="240" w:lineRule="auto"/>
        <w:rPr>
          <w:rFonts w:ascii="Arial" w:hAnsi="Arial" w:cs="Arial"/>
          <w:sz w:val="20"/>
          <w:szCs w:val="20"/>
        </w:rPr>
      </w:pPr>
    </w:p>
    <w:p w:rsidR="00C03A68" w:rsidRPr="00B6647E" w:rsidRDefault="00C03A68" w:rsidP="00E51ED6">
      <w:pPr>
        <w:spacing w:line="240" w:lineRule="auto"/>
        <w:rPr>
          <w:rFonts w:ascii="Arial" w:hAnsi="Arial" w:cs="Arial"/>
          <w:sz w:val="20"/>
          <w:szCs w:val="20"/>
        </w:rPr>
      </w:pPr>
      <w:r w:rsidRPr="00B6647E">
        <w:rPr>
          <w:rFonts w:ascii="Arial" w:hAnsi="Arial" w:cs="Arial"/>
          <w:sz w:val="20"/>
          <w:szCs w:val="20"/>
        </w:rPr>
        <w:br w:type="page"/>
      </w:r>
    </w:p>
    <w:p w:rsidR="001A3AEF" w:rsidRPr="00B6647E" w:rsidRDefault="000552AE" w:rsidP="00E51ED6">
      <w:pPr>
        <w:pStyle w:val="Titre1"/>
        <w:keepNext w:val="0"/>
        <w:numPr>
          <w:ilvl w:val="0"/>
          <w:numId w:val="1"/>
        </w:numPr>
        <w:tabs>
          <w:tab w:val="num" w:pos="432"/>
        </w:tabs>
        <w:ind w:left="432" w:hanging="432"/>
        <w:rPr>
          <w:rFonts w:cs="Arial"/>
          <w:color w:val="365F91"/>
        </w:rPr>
      </w:pPr>
      <w:bookmarkStart w:id="320" w:name="_Toc354313908"/>
      <w:r w:rsidRPr="00B6647E">
        <w:rPr>
          <w:rFonts w:cs="Arial"/>
          <w:color w:val="365F91"/>
        </w:rPr>
        <w:lastRenderedPageBreak/>
        <w:t>Accès aux ressources productives</w:t>
      </w:r>
      <w:bookmarkEnd w:id="320"/>
      <w:r w:rsidRPr="00B6647E">
        <w:rPr>
          <w:rFonts w:cs="Arial"/>
          <w:color w:val="365F91"/>
        </w:rPr>
        <w:t xml:space="preserve"> </w:t>
      </w:r>
    </w:p>
    <w:p w:rsidR="001A3AEF" w:rsidRPr="00B6647E" w:rsidRDefault="00DF50D8" w:rsidP="00E51ED6">
      <w:pPr>
        <w:pStyle w:val="Paragraphedeliste"/>
        <w:spacing w:after="0" w:line="240" w:lineRule="auto"/>
        <w:rPr>
          <w:rFonts w:ascii="Arial" w:hAnsi="Arial" w:cs="Arial"/>
          <w:sz w:val="20"/>
          <w:szCs w:val="20"/>
        </w:rPr>
      </w:pPr>
      <w:r w:rsidRPr="00DF50D8">
        <w:rPr>
          <w:rFonts w:ascii="Arial" w:hAnsi="Arial" w:cs="Arial"/>
          <w:noProof/>
        </w:rPr>
        <w:pict>
          <v:shape id="_x0000_s1040" type="#_x0000_t32" style="position:absolute;left:0;text-align:left;margin-left:1.15pt;margin-top:4.8pt;width:453.55pt;height:0;z-index:25168896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4ufrAIAAJcFAAAOAAAAZHJzL2Uyb0RvYy54bWysVE2PmzAQvVfqf7B8Z4FACEFLVlkCvWzb&#10;lXarnh1sglWwke18rKr+945NQjfbS1UtB+SPmTdvZt749u7Ud+jAlOZS5Di8CTBiopaUi12Ovz1X&#10;XoqRNkRQ0knBcvzCNL5bffxwexwyNpOt7ChTCECEzo5Djltjhsz3dd2ynugbOTABl41UPTGwVTuf&#10;KnIE9L7zZ0GQ+Eep6KBkzbSG0814iVcOv2lYbb42jWYGdTkGbsb9lftv7d9f3ZJsp8jQ8vpMg/wH&#10;i55wAUEnqA0xBO0V/wuq57WSWjbmppa9L5uG18zlANmEwZtsnloyMJcLFEcPU5n0+8HWXw6PCnGa&#10;42WCkSA99Gi9N9KFRjNbn+OgMzArxKOyGdYn8TQ8yPqHRkIWLRE75oyfXwbwDa2Hf+ViN3qAKNvj&#10;Z0nBhgC+K9apUb2FhDKgk+vJy9QTdjKohsP5IgmCdI5RfbnzSXZxHJQ2n5jskV3kWBtF+K41hRQC&#10;Oi9V6MKQw4M2lhbJLg42qpAV7zongE6gY46jNAwC56Flx6m9tXZa7bZFp9CBgIaiZF4txyTh5rWZ&#10;kntBHVrLCC3Pa0N4N64heicsHnOyHCnB7mRg6c4hYyeZn8tgWaZlGnvxLCm9ONhsvHVVxF5ShYv5&#10;JtoUxSb8ZYmGcdZySpmwXC/yDeN/k8d5kEbhTQKequJfo7vyAdlrputqHiziKPUWi3nkxVEZePdp&#10;VXjrIkySRXlf3JdvmJYue/0+ZKdSWlZyb5h6aukRUW7VMEujJbw+lMO4R2mQBMsFRqTbwTtVG4WR&#10;kuY7N60Tr5Wdxbjq9SyOqmQ8J93QklEB8wA+p/LJ3NVmCj9W6tJku5vadE7+Ty1BFBcBuKGxczJO&#10;3FbSl0d1GSaYfud0fqns8/J6D+vX7+nqNwAAAP//AwBQSwMEFAAGAAgAAAAhABLqZCjcAAAABQEA&#10;AA8AAABkcnMvZG93bnJldi54bWxMjlFLwzAUhd+F/YdwB76ISzdLWWvTMRRxDBGs/oC0uTbF5qY0&#10;Wdv564170cfDOXzny3ez6diIg2stCVivImBItVUtNQI+3p9ut8Ccl6RkZwkFnNHBrlhc5TJTdqI3&#10;HEvfsAAhl0kB2vs+49zVGo10K9sjhe7TDkb6EIeGq0FOAW46vomihBvZUnjQsscHjfVXeTICpjE5&#10;vtxs+fx9fC3PTRUfHvVzLMT1ct7fA/M4+78x/OoHdSiCU2VPpBzrBGzuwlBAmgALbRqlMbDqknmR&#10;8//2xQ8AAAD//wMAUEsBAi0AFAAGAAgAAAAhALaDOJL+AAAA4QEAABMAAAAAAAAAAAAAAAAAAAAA&#10;AFtDb250ZW50X1R5cGVzXS54bWxQSwECLQAUAAYACAAAACEAOP0h/9YAAACUAQAACwAAAAAAAAAA&#10;AAAAAAAvAQAAX3JlbHMvLnJlbHNQSwECLQAUAAYACAAAACEAJvOLn6wCAACXBQAADgAAAAAAAAAA&#10;AAAAAAAuAgAAZHJzL2Uyb0RvYy54bWxQSwECLQAUAAYACAAAACEAEupkKNwAAAAFAQAADwAAAAAA&#10;AAAAAAAAAAAGBQAAZHJzL2Rvd25yZXYueG1sUEsFBgAAAAAEAAQA8wAAAA8GAAAAAA==&#10;" strokecolor="#365f91" strokeweight="3pt">
            <v:shadow color="#243f60" opacity=".5" offset="1pt"/>
          </v:shape>
        </w:pict>
      </w:r>
    </w:p>
    <w:p w:rsidR="0058153D" w:rsidRPr="00B6647E" w:rsidRDefault="000552AE" w:rsidP="00577362">
      <w:pPr>
        <w:pStyle w:val="Titre2"/>
        <w:keepNext w:val="0"/>
        <w:numPr>
          <w:ilvl w:val="1"/>
          <w:numId w:val="1"/>
        </w:numPr>
        <w:spacing w:before="240" w:after="200"/>
        <w:ind w:left="0" w:firstLine="0"/>
        <w:rPr>
          <w:rFonts w:cs="Arial"/>
          <w:u w:val="dotDash"/>
        </w:rPr>
      </w:pPr>
      <w:bookmarkStart w:id="321" w:name="_Toc354313909"/>
      <w:r w:rsidRPr="00B6647E">
        <w:rPr>
          <w:rFonts w:cs="Arial"/>
          <w:u w:val="dotDash"/>
        </w:rPr>
        <w:t>Utilisation des intrants</w:t>
      </w:r>
      <w:bookmarkEnd w:id="321"/>
      <w:r w:rsidRPr="00B6647E">
        <w:rPr>
          <w:rFonts w:cs="Arial"/>
          <w:u w:val="dotDash"/>
        </w:rPr>
        <w:t xml:space="preserve"> </w:t>
      </w:r>
    </w:p>
    <w:p w:rsidR="00551A14" w:rsidRPr="00B6647E" w:rsidRDefault="00551A14" w:rsidP="00577362">
      <w:pPr>
        <w:pStyle w:val="Titre3"/>
        <w:keepNext w:val="0"/>
        <w:numPr>
          <w:ilvl w:val="2"/>
          <w:numId w:val="1"/>
        </w:numPr>
        <w:spacing w:before="200" w:after="120"/>
        <w:ind w:left="0" w:firstLine="0"/>
        <w:rPr>
          <w:rFonts w:cs="Arial"/>
          <w:szCs w:val="20"/>
        </w:rPr>
      </w:pPr>
      <w:bookmarkStart w:id="322" w:name="_Toc333379473"/>
      <w:bookmarkStart w:id="323" w:name="_Toc354313910"/>
      <w:r w:rsidRPr="00B6647E">
        <w:rPr>
          <w:rFonts w:cs="Arial"/>
          <w:szCs w:val="20"/>
        </w:rPr>
        <w:t>Fumure organique</w:t>
      </w:r>
      <w:bookmarkEnd w:id="322"/>
      <w:bookmarkEnd w:id="323"/>
    </w:p>
    <w:p w:rsidR="00551A14" w:rsidRPr="00B6647E" w:rsidRDefault="00551A14" w:rsidP="00D80D5F">
      <w:pPr>
        <w:pStyle w:val="Lgende"/>
        <w:jc w:val="both"/>
        <w:rPr>
          <w:rFonts w:ascii="Arial" w:hAnsi="Arial" w:cs="Arial"/>
          <w:b w:val="0"/>
        </w:rPr>
      </w:pPr>
      <w:r w:rsidRPr="00B6647E">
        <w:rPr>
          <w:rFonts w:ascii="Arial" w:hAnsi="Arial" w:cs="Arial"/>
          <w:b w:val="0"/>
        </w:rPr>
        <w:t>En saison A, on a estimé à 64,4% la proportion des ménages du pays qui ont utilisé la fumure organique sur 36,9% de leurs parcelles. Au cours de la saison B, il y a eu 49,4% de ménages qui ont pratiqué la fumure organique sur 26,5% de leurs parcelles</w:t>
      </w:r>
      <w:r w:rsidR="009D6C89">
        <w:rPr>
          <w:rFonts w:ascii="Arial" w:hAnsi="Arial" w:cs="Arial"/>
          <w:b w:val="0"/>
        </w:rPr>
        <w:t>.</w:t>
      </w:r>
      <w:r w:rsidRPr="00B6647E">
        <w:rPr>
          <w:rFonts w:ascii="Arial" w:hAnsi="Arial" w:cs="Arial"/>
          <w:b w:val="0"/>
        </w:rPr>
        <w:t xml:space="preserve"> </w:t>
      </w:r>
      <w:r w:rsidR="009D6C89">
        <w:rPr>
          <w:rFonts w:ascii="Arial" w:hAnsi="Arial" w:cs="Arial"/>
          <w:b w:val="0"/>
        </w:rPr>
        <w:t>P</w:t>
      </w:r>
      <w:r w:rsidRPr="00B6647E">
        <w:rPr>
          <w:rFonts w:ascii="Arial" w:hAnsi="Arial" w:cs="Arial"/>
          <w:b w:val="0"/>
        </w:rPr>
        <w:t>endant la saison C</w:t>
      </w:r>
      <w:r w:rsidR="009D6C89">
        <w:rPr>
          <w:rFonts w:ascii="Arial" w:hAnsi="Arial" w:cs="Arial"/>
          <w:b w:val="0"/>
        </w:rPr>
        <w:t>, c</w:t>
      </w:r>
      <w:r w:rsidRPr="00B6647E">
        <w:rPr>
          <w:rFonts w:ascii="Arial" w:hAnsi="Arial" w:cs="Arial"/>
          <w:b w:val="0"/>
        </w:rPr>
        <w:t>ette proportion a été estimée à 32% de ménages ayant utilisé la fumure organique au niveau national sur 16,3% de leurs parcelles.</w:t>
      </w:r>
    </w:p>
    <w:p w:rsidR="00BF1C76" w:rsidRPr="00B6647E" w:rsidRDefault="00BF1C76" w:rsidP="00D80D5F">
      <w:pPr>
        <w:spacing w:after="0" w:line="240" w:lineRule="auto"/>
        <w:rPr>
          <w:rFonts w:ascii="Arial" w:hAnsi="Arial" w:cs="Arial"/>
          <w:sz w:val="20"/>
          <w:szCs w:val="20"/>
          <w:lang w:eastAsia="fr-FR"/>
        </w:rPr>
      </w:pPr>
    </w:p>
    <w:p w:rsidR="00551A14" w:rsidRPr="00B6647E" w:rsidRDefault="00551A14" w:rsidP="00D80D5F">
      <w:pPr>
        <w:pStyle w:val="Lgende"/>
        <w:jc w:val="both"/>
        <w:rPr>
          <w:rFonts w:ascii="Arial" w:hAnsi="Arial" w:cs="Arial"/>
        </w:rPr>
      </w:pPr>
      <w:r w:rsidRPr="00B6647E">
        <w:rPr>
          <w:rFonts w:ascii="Arial" w:hAnsi="Arial" w:cs="Arial"/>
        </w:rPr>
        <w:t xml:space="preserve">Tableau </w:t>
      </w:r>
      <w:r w:rsidR="007602F3">
        <w:rPr>
          <w:rFonts w:ascii="Arial" w:hAnsi="Arial" w:cs="Arial"/>
        </w:rPr>
        <w:t>23</w:t>
      </w:r>
      <w:r w:rsidR="00F75E61" w:rsidRPr="00B6647E">
        <w:rPr>
          <w:rFonts w:ascii="Arial" w:hAnsi="Arial" w:cs="Arial"/>
        </w:rPr>
        <w:t>4</w:t>
      </w:r>
      <w:r w:rsidRPr="00B6647E">
        <w:rPr>
          <w:rFonts w:ascii="Arial" w:hAnsi="Arial" w:cs="Arial"/>
        </w:rPr>
        <w:t xml:space="preserve"> : Pourcentage de </w:t>
      </w:r>
      <w:r w:rsidR="00EA428E" w:rsidRPr="00B6647E">
        <w:rPr>
          <w:rFonts w:ascii="Arial" w:hAnsi="Arial" w:cs="Arial"/>
        </w:rPr>
        <w:t xml:space="preserve">ménages et </w:t>
      </w:r>
      <w:r w:rsidRPr="00B6647E">
        <w:rPr>
          <w:rFonts w:ascii="Arial" w:hAnsi="Arial" w:cs="Arial"/>
        </w:rPr>
        <w:t>parcelles utilisant la fumure organique par province et par saison</w:t>
      </w:r>
    </w:p>
    <w:p w:rsidR="00551A14" w:rsidRPr="00B6647E" w:rsidRDefault="00551A14" w:rsidP="00D80D5F">
      <w:pPr>
        <w:spacing w:after="0" w:line="240" w:lineRule="auto"/>
        <w:rPr>
          <w:rFonts w:ascii="Arial" w:hAnsi="Arial" w:cs="Arial"/>
          <w:sz w:val="20"/>
          <w:szCs w:val="20"/>
          <w:lang w:eastAsia="fr-FR"/>
        </w:rPr>
      </w:pPr>
    </w:p>
    <w:p w:rsidR="00BF1C76" w:rsidRPr="00B6647E" w:rsidRDefault="00090B8D" w:rsidP="00D80D5F">
      <w:pPr>
        <w:spacing w:after="0" w:line="240" w:lineRule="auto"/>
        <w:rPr>
          <w:rFonts w:ascii="Arial" w:hAnsi="Arial" w:cs="Arial"/>
          <w:sz w:val="20"/>
          <w:szCs w:val="20"/>
          <w:lang w:val="fr-FR" w:eastAsia="fr-FR"/>
        </w:rPr>
      </w:pPr>
      <w:r w:rsidRPr="00B6647E">
        <w:rPr>
          <w:noProof/>
          <w:szCs w:val="20"/>
          <w:lang w:val="fr-FR" w:eastAsia="fr-FR"/>
        </w:rPr>
        <w:drawing>
          <wp:inline distT="0" distB="0" distL="0" distR="0">
            <wp:extent cx="5572125" cy="4057650"/>
            <wp:effectExtent l="19050" t="0" r="9525" b="0"/>
            <wp:docPr id="1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8" cstate="print"/>
                    <a:srcRect/>
                    <a:stretch>
                      <a:fillRect/>
                    </a:stretch>
                  </pic:blipFill>
                  <pic:spPr bwMode="auto">
                    <a:xfrm>
                      <a:off x="0" y="0"/>
                      <a:ext cx="5572125" cy="4057650"/>
                    </a:xfrm>
                    <a:prstGeom prst="rect">
                      <a:avLst/>
                    </a:prstGeom>
                    <a:noFill/>
                    <a:ln w="9525">
                      <a:noFill/>
                      <a:miter lim="800000"/>
                      <a:headEnd/>
                      <a:tailEnd/>
                    </a:ln>
                  </pic:spPr>
                </pic:pic>
              </a:graphicData>
            </a:graphic>
          </wp:inline>
        </w:drawing>
      </w:r>
    </w:p>
    <w:p w:rsidR="005215D1" w:rsidRPr="00B6647E" w:rsidRDefault="005215D1" w:rsidP="00B73CF8">
      <w:pPr>
        <w:pStyle w:val="Titre3"/>
        <w:keepNext w:val="0"/>
        <w:numPr>
          <w:ilvl w:val="2"/>
          <w:numId w:val="1"/>
        </w:numPr>
        <w:spacing w:before="200" w:after="120"/>
        <w:ind w:left="0" w:firstLine="0"/>
        <w:rPr>
          <w:rFonts w:cs="Arial"/>
          <w:szCs w:val="20"/>
        </w:rPr>
      </w:pPr>
      <w:bookmarkStart w:id="324" w:name="_Toc318702381"/>
      <w:bookmarkStart w:id="325" w:name="_Toc333379474"/>
      <w:bookmarkStart w:id="326" w:name="_Toc354313911"/>
      <w:r w:rsidRPr="00B6647E">
        <w:rPr>
          <w:rFonts w:cs="Arial"/>
          <w:szCs w:val="20"/>
        </w:rPr>
        <w:t>Semences et plants améliorés et locaux</w:t>
      </w:r>
      <w:bookmarkEnd w:id="324"/>
      <w:bookmarkEnd w:id="325"/>
      <w:bookmarkEnd w:id="326"/>
    </w:p>
    <w:p w:rsidR="00351BBB" w:rsidRPr="00B6647E" w:rsidRDefault="00351BBB" w:rsidP="00351BBB">
      <w:pPr>
        <w:spacing w:line="240" w:lineRule="auto"/>
        <w:jc w:val="both"/>
        <w:rPr>
          <w:rFonts w:ascii="Arial" w:hAnsi="Arial" w:cs="Arial"/>
          <w:sz w:val="20"/>
          <w:szCs w:val="20"/>
        </w:rPr>
      </w:pPr>
      <w:r w:rsidRPr="00B6647E">
        <w:rPr>
          <w:rFonts w:ascii="Arial" w:hAnsi="Arial" w:cs="Arial"/>
          <w:sz w:val="20"/>
          <w:szCs w:val="20"/>
        </w:rPr>
        <w:t>Les ménages agricoles utilisent essentiellement des semences et plants locaux : 85,8% en saison A, 89,3% pendant la saison B et pratiquement tous les ménages au cours de la saison C.</w:t>
      </w:r>
    </w:p>
    <w:p w:rsidR="00351BBB" w:rsidRPr="00B6647E" w:rsidRDefault="00942E7A" w:rsidP="00D80D5F">
      <w:pPr>
        <w:spacing w:after="0" w:line="240" w:lineRule="auto"/>
        <w:rPr>
          <w:rFonts w:ascii="Arial" w:hAnsi="Arial" w:cs="Arial"/>
          <w:sz w:val="20"/>
          <w:szCs w:val="20"/>
          <w:lang w:eastAsia="fr-FR"/>
        </w:rPr>
      </w:pPr>
      <w:r w:rsidRPr="00B6647E">
        <w:rPr>
          <w:rFonts w:ascii="Arial" w:hAnsi="Arial" w:cs="Arial"/>
          <w:sz w:val="20"/>
          <w:szCs w:val="20"/>
          <w:lang w:eastAsia="fr-FR"/>
        </w:rPr>
        <w:t>L’utilisation des semences améliorées a été faible dans toutes les trois saisons. Elle a été estimée à 14,2% des ménages au cours de la saison A, 10,7% pendant la saison B et elle a été pratiquement insignifiante en saison C (0,04%).</w:t>
      </w:r>
    </w:p>
    <w:p w:rsidR="00942E7A" w:rsidRPr="00B6647E" w:rsidRDefault="00942E7A" w:rsidP="00D80D5F">
      <w:pPr>
        <w:spacing w:after="0" w:line="240" w:lineRule="auto"/>
        <w:rPr>
          <w:rFonts w:ascii="Arial" w:hAnsi="Arial" w:cs="Arial"/>
          <w:sz w:val="20"/>
          <w:szCs w:val="20"/>
          <w:lang w:eastAsia="fr-FR"/>
        </w:rPr>
      </w:pPr>
    </w:p>
    <w:p w:rsidR="009A513E" w:rsidRPr="00B6647E" w:rsidRDefault="00942E7A" w:rsidP="009A513E">
      <w:pPr>
        <w:spacing w:line="240" w:lineRule="auto"/>
        <w:jc w:val="both"/>
        <w:rPr>
          <w:rFonts w:ascii="Arial" w:hAnsi="Arial" w:cs="Arial"/>
          <w:bCs/>
          <w:sz w:val="20"/>
          <w:szCs w:val="20"/>
        </w:rPr>
      </w:pPr>
      <w:r w:rsidRPr="00B6647E">
        <w:rPr>
          <w:rFonts w:ascii="Arial" w:hAnsi="Arial" w:cs="Arial"/>
          <w:bCs/>
          <w:sz w:val="20"/>
          <w:szCs w:val="20"/>
        </w:rPr>
        <w:t>Pendant la saison A, l’</w:t>
      </w:r>
      <w:r w:rsidR="00E42744" w:rsidRPr="00B6647E">
        <w:rPr>
          <w:rFonts w:ascii="Arial" w:hAnsi="Arial" w:cs="Arial"/>
          <w:bCs/>
          <w:sz w:val="20"/>
          <w:szCs w:val="20"/>
        </w:rPr>
        <w:t xml:space="preserve">utilisation par les ménages au niveau national </w:t>
      </w:r>
      <w:r w:rsidR="00351BBB" w:rsidRPr="00B6647E">
        <w:rPr>
          <w:rFonts w:ascii="Arial" w:hAnsi="Arial" w:cs="Arial"/>
          <w:bCs/>
          <w:sz w:val="20"/>
          <w:szCs w:val="20"/>
        </w:rPr>
        <w:t>a été</w:t>
      </w:r>
      <w:r w:rsidR="00E42744" w:rsidRPr="00B6647E">
        <w:rPr>
          <w:rFonts w:ascii="Arial" w:hAnsi="Arial" w:cs="Arial"/>
          <w:bCs/>
          <w:sz w:val="20"/>
          <w:szCs w:val="20"/>
        </w:rPr>
        <w:t xml:space="preserve"> </w:t>
      </w:r>
      <w:r w:rsidR="00343174" w:rsidRPr="00B6647E">
        <w:rPr>
          <w:rFonts w:ascii="Arial" w:hAnsi="Arial" w:cs="Arial"/>
          <w:bCs/>
          <w:sz w:val="20"/>
          <w:szCs w:val="20"/>
        </w:rPr>
        <w:t>estimée</w:t>
      </w:r>
      <w:r w:rsidR="00E42744" w:rsidRPr="00B6647E">
        <w:rPr>
          <w:rFonts w:ascii="Arial" w:hAnsi="Arial" w:cs="Arial"/>
          <w:bCs/>
          <w:sz w:val="20"/>
          <w:szCs w:val="20"/>
        </w:rPr>
        <w:t xml:space="preserve"> à 4,9% pour le manioc, 3,1% pour la banane, 1,6% pour le haricot, 0,6% pour le maïs, 0,4% pour le riz, 0,3% pour la pomme de terre. </w:t>
      </w:r>
      <w:r w:rsidRPr="00B6647E">
        <w:rPr>
          <w:rFonts w:ascii="Arial" w:hAnsi="Arial" w:cs="Arial"/>
          <w:bCs/>
          <w:sz w:val="20"/>
          <w:szCs w:val="20"/>
        </w:rPr>
        <w:t>Ce taux a été évalué au cours de la saison B à 1,9% pour le haricot, 0,4% pour le manioc, 0,4% pour la banane, 0,2% pour le maïs, 0,2% pour le r</w:t>
      </w:r>
      <w:r w:rsidR="009A513E" w:rsidRPr="00B6647E">
        <w:rPr>
          <w:rFonts w:ascii="Arial" w:hAnsi="Arial" w:cs="Arial"/>
          <w:bCs/>
          <w:sz w:val="20"/>
          <w:szCs w:val="20"/>
        </w:rPr>
        <w:t xml:space="preserve">iz, 0,1% pour la pomme de terre et en saison C, il a été estimé à 0,4% pour le haricot, 0,3% pour le manioc, 0,2% pour la banane, 0,2% pour le maïs, 0,2% pour le riz, 0,6% pour la pomme de terre. </w:t>
      </w:r>
    </w:p>
    <w:p w:rsidR="00BD55B6" w:rsidRPr="00B6647E" w:rsidRDefault="00BD55B6" w:rsidP="00D80D5F">
      <w:pPr>
        <w:spacing w:line="240" w:lineRule="auto"/>
        <w:jc w:val="both"/>
        <w:rPr>
          <w:rFonts w:ascii="Arial" w:hAnsi="Arial" w:cs="Arial"/>
          <w:bCs/>
          <w:sz w:val="20"/>
          <w:szCs w:val="20"/>
        </w:rPr>
      </w:pPr>
    </w:p>
    <w:p w:rsidR="00E42744" w:rsidRPr="00B6647E" w:rsidRDefault="009A513E" w:rsidP="00D80D5F">
      <w:pPr>
        <w:pStyle w:val="Paragraphedeliste"/>
        <w:spacing w:line="240" w:lineRule="auto"/>
        <w:ind w:left="0"/>
        <w:jc w:val="both"/>
        <w:rPr>
          <w:rFonts w:ascii="Arial" w:hAnsi="Arial" w:cs="Arial"/>
          <w:sz w:val="20"/>
          <w:szCs w:val="20"/>
        </w:rPr>
      </w:pPr>
      <w:r w:rsidRPr="00B6647E">
        <w:rPr>
          <w:rFonts w:ascii="Arial" w:hAnsi="Arial" w:cs="Arial"/>
          <w:color w:val="000000"/>
          <w:sz w:val="20"/>
          <w:szCs w:val="20"/>
        </w:rPr>
        <w:lastRenderedPageBreak/>
        <w:t>Au cours de la saison A, l</w:t>
      </w:r>
      <w:r w:rsidR="00E42744" w:rsidRPr="00B6647E">
        <w:rPr>
          <w:rFonts w:ascii="Arial" w:hAnsi="Arial" w:cs="Arial"/>
          <w:color w:val="000000"/>
          <w:sz w:val="20"/>
          <w:szCs w:val="20"/>
        </w:rPr>
        <w:t xml:space="preserve">a quantité totale des semences améliorées de haricot a été estimée à 120 tonnes principalement achetées (84,7% au comptant et 12,9% au crédit). Celle du maïs à 44,5 tonnes (59,4% au comptant, 35,3% au crédit), du riz à167 tonnes (17,7% au comptant et 82,3% au crédit) et de la pomme de terre à 114,6 tonnes (76% au comptant et 24% reçue en cadeau). En ce qui concerne le manioc, </w:t>
      </w:r>
      <w:r w:rsidR="00EE7544">
        <w:rPr>
          <w:rFonts w:ascii="Arial" w:hAnsi="Arial" w:cs="Arial"/>
          <w:color w:val="000000"/>
          <w:sz w:val="20"/>
          <w:szCs w:val="20"/>
        </w:rPr>
        <w:t xml:space="preserve">la </w:t>
      </w:r>
      <w:r w:rsidR="004B269B">
        <w:rPr>
          <w:rFonts w:ascii="Arial" w:hAnsi="Arial" w:cs="Arial"/>
          <w:color w:val="000000"/>
          <w:sz w:val="20"/>
          <w:szCs w:val="20"/>
        </w:rPr>
        <w:t xml:space="preserve">quantité a été </w:t>
      </w:r>
      <w:r w:rsidR="00E42744" w:rsidRPr="00B6647E">
        <w:rPr>
          <w:rFonts w:ascii="Arial" w:hAnsi="Arial" w:cs="Arial"/>
          <w:color w:val="000000"/>
          <w:sz w:val="20"/>
          <w:szCs w:val="20"/>
        </w:rPr>
        <w:t xml:space="preserve">acquise à </w:t>
      </w:r>
      <w:r w:rsidR="00EE7544">
        <w:rPr>
          <w:rFonts w:ascii="Arial" w:hAnsi="Arial" w:cs="Arial"/>
          <w:color w:val="000000"/>
          <w:sz w:val="20"/>
          <w:szCs w:val="20"/>
        </w:rPr>
        <w:t>33</w:t>
      </w:r>
      <w:r w:rsidR="00E42744" w:rsidRPr="00B6647E">
        <w:rPr>
          <w:rFonts w:ascii="Arial" w:hAnsi="Arial" w:cs="Arial"/>
          <w:color w:val="000000"/>
          <w:sz w:val="20"/>
          <w:szCs w:val="20"/>
        </w:rPr>
        <w:t xml:space="preserve">,9% par achat au comptant et à 66,1% reçues en cadeau. </w:t>
      </w:r>
      <w:r w:rsidR="004B269B">
        <w:rPr>
          <w:rFonts w:ascii="Arial" w:hAnsi="Arial" w:cs="Arial"/>
          <w:color w:val="000000"/>
          <w:sz w:val="20"/>
          <w:szCs w:val="20"/>
        </w:rPr>
        <w:t xml:space="preserve">La quantité </w:t>
      </w:r>
      <w:r w:rsidR="00E42744" w:rsidRPr="00B6647E">
        <w:rPr>
          <w:rFonts w:ascii="Arial" w:hAnsi="Arial" w:cs="Arial"/>
          <w:color w:val="000000"/>
          <w:sz w:val="20"/>
          <w:szCs w:val="20"/>
        </w:rPr>
        <w:t xml:space="preserve">achetée </w:t>
      </w:r>
      <w:r w:rsidR="00EE7544">
        <w:rPr>
          <w:rFonts w:ascii="Arial" w:hAnsi="Arial" w:cs="Arial"/>
          <w:color w:val="000000"/>
          <w:sz w:val="20"/>
          <w:szCs w:val="20"/>
        </w:rPr>
        <w:t xml:space="preserve">au comptant </w:t>
      </w:r>
      <w:r w:rsidR="00E42744" w:rsidRPr="00B6647E">
        <w:rPr>
          <w:rFonts w:ascii="Arial" w:hAnsi="Arial" w:cs="Arial"/>
          <w:color w:val="000000"/>
          <w:sz w:val="20"/>
          <w:szCs w:val="20"/>
        </w:rPr>
        <w:t>pour la banane représente 8</w:t>
      </w:r>
      <w:r w:rsidR="004B269B">
        <w:rPr>
          <w:rFonts w:ascii="Arial" w:hAnsi="Arial" w:cs="Arial"/>
          <w:color w:val="000000"/>
          <w:sz w:val="20"/>
          <w:szCs w:val="20"/>
        </w:rPr>
        <w:t>6</w:t>
      </w:r>
      <w:r w:rsidR="00E42744" w:rsidRPr="00B6647E">
        <w:rPr>
          <w:rFonts w:ascii="Arial" w:hAnsi="Arial" w:cs="Arial"/>
          <w:color w:val="000000"/>
          <w:sz w:val="20"/>
          <w:szCs w:val="20"/>
        </w:rPr>
        <w:t>,</w:t>
      </w:r>
      <w:r w:rsidR="004B269B">
        <w:rPr>
          <w:rFonts w:ascii="Arial" w:hAnsi="Arial" w:cs="Arial"/>
          <w:color w:val="000000"/>
          <w:sz w:val="20"/>
          <w:szCs w:val="20"/>
        </w:rPr>
        <w:t>7</w:t>
      </w:r>
      <w:r w:rsidR="00E42744" w:rsidRPr="00B6647E">
        <w:rPr>
          <w:rFonts w:ascii="Arial" w:hAnsi="Arial" w:cs="Arial"/>
          <w:color w:val="000000"/>
          <w:sz w:val="20"/>
          <w:szCs w:val="20"/>
        </w:rPr>
        <w:t>%, contre 13,1% reçus en cadeau.</w:t>
      </w:r>
      <w:r w:rsidRPr="00B6647E">
        <w:rPr>
          <w:rFonts w:ascii="Arial" w:hAnsi="Arial" w:cs="Arial"/>
          <w:color w:val="000000"/>
          <w:sz w:val="20"/>
          <w:szCs w:val="20"/>
        </w:rPr>
        <w:t xml:space="preserve"> </w:t>
      </w:r>
      <w:r w:rsidR="00E42744" w:rsidRPr="00B6647E">
        <w:rPr>
          <w:rFonts w:ascii="Arial" w:hAnsi="Arial" w:cs="Arial"/>
          <w:color w:val="000000"/>
          <w:sz w:val="20"/>
          <w:szCs w:val="20"/>
        </w:rPr>
        <w:t xml:space="preserve">Au niveau des semences et plants locaux, plus de 16.000 tonnes ont été estimées pour le haricot (53,9% achetée et 44,8% produites), 7.500 tonnes pour le maïs (53,9% achetée et 44,8% produites), environ 1700 tonnes pour le riz (42,2% achetée et 53,9% produites) et 7.600 tonnes pour la pomme de terre (49,6% achetées et 47,9% produites). </w:t>
      </w:r>
      <w:r w:rsidR="00D80D5F" w:rsidRPr="00B6647E">
        <w:rPr>
          <w:rFonts w:ascii="Arial" w:hAnsi="Arial" w:cs="Arial"/>
          <w:color w:val="000000"/>
          <w:sz w:val="20"/>
          <w:szCs w:val="20"/>
        </w:rPr>
        <w:t>On a estimé</w:t>
      </w:r>
      <w:r w:rsidR="00E42744" w:rsidRPr="00B6647E">
        <w:rPr>
          <w:rFonts w:ascii="Arial" w:hAnsi="Arial" w:cs="Arial"/>
          <w:color w:val="000000"/>
          <w:sz w:val="20"/>
          <w:szCs w:val="20"/>
        </w:rPr>
        <w:t xml:space="preserve"> à 29,4% la quantité de semences locales de boutures du manioc achetée et à 51,1% celle qui a été produite. Pour la banane la quantité achetée ne représente que 8,3% contre 75,7% produite.</w:t>
      </w:r>
    </w:p>
    <w:p w:rsidR="00E42744" w:rsidRPr="00B6647E" w:rsidRDefault="007602F3" w:rsidP="00D80D5F">
      <w:pPr>
        <w:pStyle w:val="Lgende"/>
        <w:keepNext/>
        <w:jc w:val="both"/>
        <w:rPr>
          <w:rFonts w:ascii="Arial" w:hAnsi="Arial" w:cs="Arial"/>
        </w:rPr>
      </w:pPr>
      <w:r>
        <w:rPr>
          <w:rFonts w:ascii="Arial" w:hAnsi="Arial" w:cs="Arial"/>
        </w:rPr>
        <w:t>Tableau 23</w:t>
      </w:r>
      <w:r w:rsidR="00F75E61" w:rsidRPr="00B6647E">
        <w:rPr>
          <w:rFonts w:ascii="Arial" w:hAnsi="Arial" w:cs="Arial"/>
        </w:rPr>
        <w:t>5</w:t>
      </w:r>
      <w:r w:rsidR="00E42744" w:rsidRPr="00B6647E">
        <w:rPr>
          <w:rFonts w:ascii="Arial" w:hAnsi="Arial" w:cs="Arial"/>
        </w:rPr>
        <w:t> : Proportion de parcelles par type de semences/plants et par saison (%)</w:t>
      </w:r>
    </w:p>
    <w:p w:rsidR="00E42744" w:rsidRPr="00B6647E" w:rsidRDefault="00E42744" w:rsidP="00D80D5F">
      <w:pPr>
        <w:spacing w:after="0" w:line="240" w:lineRule="auto"/>
        <w:rPr>
          <w:rFonts w:ascii="Arial" w:hAnsi="Arial" w:cs="Arial"/>
          <w:sz w:val="20"/>
          <w:szCs w:val="20"/>
          <w:lang w:eastAsia="fr-FR"/>
        </w:rPr>
      </w:pPr>
    </w:p>
    <w:p w:rsidR="0055509B" w:rsidRPr="00B6647E" w:rsidRDefault="00E42744" w:rsidP="00D80D5F">
      <w:pPr>
        <w:spacing w:after="0" w:line="240" w:lineRule="auto"/>
        <w:rPr>
          <w:rFonts w:ascii="Arial" w:hAnsi="Arial" w:cs="Arial"/>
          <w:sz w:val="20"/>
          <w:szCs w:val="20"/>
          <w:lang w:val="fr-FR" w:eastAsia="fr-FR"/>
        </w:rPr>
      </w:pPr>
      <w:r w:rsidRPr="00B6647E">
        <w:rPr>
          <w:noProof/>
          <w:szCs w:val="20"/>
          <w:lang w:val="fr-FR" w:eastAsia="fr-FR"/>
        </w:rPr>
        <w:drawing>
          <wp:inline distT="0" distB="0" distL="0" distR="0">
            <wp:extent cx="5731510" cy="2824222"/>
            <wp:effectExtent l="19050" t="0" r="2540" b="0"/>
            <wp:docPr id="13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9" cstate="print"/>
                    <a:srcRect/>
                    <a:stretch>
                      <a:fillRect/>
                    </a:stretch>
                  </pic:blipFill>
                  <pic:spPr bwMode="auto">
                    <a:xfrm>
                      <a:off x="0" y="0"/>
                      <a:ext cx="5731510" cy="2824222"/>
                    </a:xfrm>
                    <a:prstGeom prst="rect">
                      <a:avLst/>
                    </a:prstGeom>
                    <a:noFill/>
                    <a:ln w="9525">
                      <a:noFill/>
                      <a:miter lim="800000"/>
                      <a:headEnd/>
                      <a:tailEnd/>
                    </a:ln>
                  </pic:spPr>
                </pic:pic>
              </a:graphicData>
            </a:graphic>
          </wp:inline>
        </w:drawing>
      </w:r>
    </w:p>
    <w:p w:rsidR="00E42744" w:rsidRPr="00B6647E" w:rsidRDefault="009A513E" w:rsidP="003E19ED">
      <w:pPr>
        <w:pStyle w:val="Paragraphedeliste"/>
        <w:spacing w:before="200" w:line="240" w:lineRule="auto"/>
        <w:ind w:left="0"/>
        <w:contextualSpacing w:val="0"/>
        <w:jc w:val="both"/>
        <w:rPr>
          <w:rFonts w:ascii="Arial" w:hAnsi="Arial" w:cs="Arial"/>
          <w:sz w:val="20"/>
          <w:szCs w:val="20"/>
        </w:rPr>
      </w:pPr>
      <w:r w:rsidRPr="00B6647E">
        <w:rPr>
          <w:rFonts w:ascii="Arial" w:hAnsi="Arial" w:cs="Arial"/>
          <w:color w:val="000000"/>
          <w:sz w:val="20"/>
          <w:szCs w:val="20"/>
        </w:rPr>
        <w:t>Pendant la saison B, l</w:t>
      </w:r>
      <w:r w:rsidR="00E42744" w:rsidRPr="00B6647E">
        <w:rPr>
          <w:rFonts w:ascii="Arial" w:hAnsi="Arial" w:cs="Arial"/>
          <w:color w:val="000000"/>
          <w:sz w:val="20"/>
          <w:szCs w:val="20"/>
        </w:rPr>
        <w:t xml:space="preserve">a quantité totale des semences améliorées de haricot a été estimée à 1.057 tonnes principalement achetées (94% au comptant, 3% au crédit et 3% reçue en cadeau). Celle du maïs à 15,1 tonnes (19,4% au comptant, 80,6% en cadeau), du riz à 15,1 tonnes ((57,2% au comptant, 14,3% au crédit et 28,5% en cadeau) et de la pomme de terre à 53,2 tonnes (33% au comptant et 66% reçue en cadeau). </w:t>
      </w:r>
      <w:r w:rsidRPr="00B6647E">
        <w:rPr>
          <w:rFonts w:ascii="Arial" w:hAnsi="Arial" w:cs="Arial"/>
          <w:color w:val="000000"/>
          <w:sz w:val="20"/>
          <w:szCs w:val="20"/>
        </w:rPr>
        <w:t xml:space="preserve">La quantité de </w:t>
      </w:r>
      <w:r w:rsidR="00E42744" w:rsidRPr="00B6647E">
        <w:rPr>
          <w:rFonts w:ascii="Arial" w:hAnsi="Arial" w:cs="Arial"/>
          <w:color w:val="000000"/>
          <w:sz w:val="20"/>
          <w:szCs w:val="20"/>
        </w:rPr>
        <w:t>manioc a été acquise à 1,8% par achat au comptant et à 98,2% reçues en cadeau. Celle qui a été achetée pour la banane représente 86,2%, contre 13,8% reçus en cadeau.</w:t>
      </w:r>
      <w:r w:rsidRPr="00B6647E">
        <w:rPr>
          <w:rFonts w:ascii="Arial" w:hAnsi="Arial" w:cs="Arial"/>
          <w:color w:val="000000"/>
          <w:sz w:val="20"/>
          <w:szCs w:val="20"/>
        </w:rPr>
        <w:t xml:space="preserve"> La quantité des </w:t>
      </w:r>
      <w:r w:rsidR="00E42744" w:rsidRPr="00B6647E">
        <w:rPr>
          <w:rFonts w:ascii="Arial" w:hAnsi="Arial" w:cs="Arial"/>
          <w:color w:val="000000"/>
          <w:sz w:val="20"/>
          <w:szCs w:val="20"/>
        </w:rPr>
        <w:t>semences et plants locaux</w:t>
      </w:r>
      <w:r w:rsidRPr="00B6647E">
        <w:rPr>
          <w:rFonts w:ascii="Arial" w:hAnsi="Arial" w:cs="Arial"/>
          <w:color w:val="000000"/>
          <w:sz w:val="20"/>
          <w:szCs w:val="20"/>
        </w:rPr>
        <w:t xml:space="preserve"> de </w:t>
      </w:r>
      <w:r w:rsidR="00E42744" w:rsidRPr="00B6647E">
        <w:rPr>
          <w:rFonts w:ascii="Arial" w:hAnsi="Arial" w:cs="Arial"/>
          <w:color w:val="000000"/>
          <w:sz w:val="20"/>
          <w:szCs w:val="20"/>
        </w:rPr>
        <w:t>29.000 tonnes ont été estimées pour le haricot (44,6% achetées, 54,7% produites et 0,7% reçues en cadeau), près de 3.000 tonnes pour le maïs (50,2% achetées, 48,8% produites et 1% reçues en cadeau), environ 1.500 tonnes pour le riz (49% achetées, 49,7% produites et 0,4% reçues en cadeau) et 5.500 tonnes pour la pomme de terre (36,1% achetées, 63,6% produites et 0,3% reçues en cadeau).</w:t>
      </w:r>
      <w:r w:rsidR="00EE0EA3" w:rsidRPr="00B6647E">
        <w:rPr>
          <w:rFonts w:ascii="Arial" w:hAnsi="Arial" w:cs="Arial"/>
          <w:color w:val="000000"/>
          <w:sz w:val="20"/>
          <w:szCs w:val="20"/>
        </w:rPr>
        <w:t xml:space="preserve">La quantité de semences locales de boutures du manioc achetée a été estimée </w:t>
      </w:r>
      <w:r w:rsidR="00E42744" w:rsidRPr="00B6647E">
        <w:rPr>
          <w:rFonts w:ascii="Arial" w:hAnsi="Arial" w:cs="Arial"/>
          <w:color w:val="000000"/>
          <w:sz w:val="20"/>
          <w:szCs w:val="20"/>
        </w:rPr>
        <w:t xml:space="preserve">à 1,3%, </w:t>
      </w:r>
      <w:r w:rsidR="00D80D5F" w:rsidRPr="00B6647E">
        <w:rPr>
          <w:rFonts w:ascii="Arial" w:hAnsi="Arial" w:cs="Arial"/>
          <w:color w:val="000000"/>
          <w:sz w:val="20"/>
          <w:szCs w:val="20"/>
        </w:rPr>
        <w:t xml:space="preserve">celle qui a été produite </w:t>
      </w:r>
      <w:r w:rsidR="00E42744" w:rsidRPr="00B6647E">
        <w:rPr>
          <w:rFonts w:ascii="Arial" w:hAnsi="Arial" w:cs="Arial"/>
          <w:color w:val="000000"/>
          <w:sz w:val="20"/>
          <w:szCs w:val="20"/>
        </w:rPr>
        <w:t>à 67,1% et à 31,6% celle reçue en cadeau. Pour la banane la quantité achetée représente 2,3% contre 86,9% pour celle produite et 10,8% celle reçue en cadeau.</w:t>
      </w:r>
    </w:p>
    <w:p w:rsidR="00EE0EA3" w:rsidRPr="00B6647E" w:rsidRDefault="009A513E" w:rsidP="003E19ED">
      <w:pPr>
        <w:pStyle w:val="Paragraphedeliste"/>
        <w:spacing w:before="200" w:line="240" w:lineRule="auto"/>
        <w:ind w:left="0"/>
        <w:contextualSpacing w:val="0"/>
        <w:jc w:val="both"/>
        <w:rPr>
          <w:rFonts w:ascii="Arial" w:hAnsi="Arial" w:cs="Arial"/>
          <w:color w:val="000000"/>
          <w:sz w:val="20"/>
          <w:szCs w:val="20"/>
        </w:rPr>
      </w:pPr>
      <w:r w:rsidRPr="00B6647E">
        <w:rPr>
          <w:rFonts w:ascii="Arial" w:hAnsi="Arial" w:cs="Arial"/>
          <w:color w:val="000000"/>
          <w:sz w:val="20"/>
          <w:szCs w:val="20"/>
        </w:rPr>
        <w:t>En saison C, l</w:t>
      </w:r>
      <w:r w:rsidR="00EE0EA3" w:rsidRPr="00B6647E">
        <w:rPr>
          <w:rFonts w:ascii="Arial" w:hAnsi="Arial" w:cs="Arial"/>
          <w:color w:val="000000"/>
          <w:sz w:val="20"/>
          <w:szCs w:val="20"/>
        </w:rPr>
        <w:t>a quantité totale des semences améliorées de haricot a été estimée à 49,4 tonnes dont les deux tiers achetés au comptant (65,6% au comptant et 34,4% reçue en cadeau).  Celle du maïs à 4,1 tonnes (60,4% au comptant, 39,6% en cadeau), du riz à 82,6 tonnes ((56,2% au comptant et 43,8% au crédit) et de la pomme de terre à 364,8 tonnes (78,5% au comptant et 21,5% reçue en cadeau). Les ménages agricoles ont obtenu les semences améliorées de haricot et de maïs par achat au comptant et celles du manioc à crédit. En ce qui concerne le riz, l’achat au comptant représente 65,7% contre 34,3% à crédit et pour la banane, ces proportions sont de 95,2% pour l’achat au comptant contre 4,8% obtenus à crédit.</w:t>
      </w:r>
      <w:r w:rsidR="008B0B8A" w:rsidRPr="00B6647E">
        <w:rPr>
          <w:rFonts w:ascii="Arial" w:hAnsi="Arial" w:cs="Arial"/>
          <w:color w:val="000000"/>
          <w:sz w:val="20"/>
          <w:szCs w:val="20"/>
        </w:rPr>
        <w:t xml:space="preserve"> </w:t>
      </w:r>
      <w:r w:rsidR="00EE0EA3" w:rsidRPr="00B6647E">
        <w:rPr>
          <w:rFonts w:ascii="Arial" w:hAnsi="Arial" w:cs="Arial"/>
          <w:color w:val="000000"/>
          <w:sz w:val="20"/>
          <w:szCs w:val="20"/>
        </w:rPr>
        <w:t xml:space="preserve">Au niveau des semences et plants locaux, environ 10.000 tonnes ont été estimées pour le haricot (69,6% produites, 30% achetées au comptant, 0,1% à crédit et 0,3% reçues en cadeau), environ 3.200 tonnes pour le maïs (78,8% produites, 20,9% achetées au </w:t>
      </w:r>
      <w:r w:rsidR="00EE0EA3" w:rsidRPr="00B6647E">
        <w:rPr>
          <w:rFonts w:ascii="Arial" w:hAnsi="Arial" w:cs="Arial"/>
          <w:color w:val="000000"/>
          <w:sz w:val="20"/>
          <w:szCs w:val="20"/>
        </w:rPr>
        <w:lastRenderedPageBreak/>
        <w:t>comptant et 0,3% reçues en cadeau), environ 150 tonnes pour le riz (78,6% produites, 20,2% achetées au comptant et 1,2% à crédit) et 5.900 tonnes pour la pomme de terre (66,9% achetées au comptant, 32,9% produites et 0,2% reçues en cadeau). L’enquête a estimé à 13,1% la quantité de semences locales de boutures du manioc achetée au comptant, à 67,6% celle qui a été produite et à 19,3% celle reçue en cadeau. Pour la banane la quantité produite représente 85,8% des semences locales contre 14,2% reçus en cadeau.</w:t>
      </w:r>
    </w:p>
    <w:p w:rsidR="005215D1" w:rsidRPr="00B6647E" w:rsidRDefault="005215D1" w:rsidP="00B73CF8">
      <w:pPr>
        <w:pStyle w:val="Titre3"/>
        <w:keepNext w:val="0"/>
        <w:numPr>
          <w:ilvl w:val="2"/>
          <w:numId w:val="1"/>
        </w:numPr>
        <w:spacing w:before="200" w:after="120"/>
        <w:ind w:left="0" w:firstLine="0"/>
        <w:rPr>
          <w:rFonts w:cs="Arial"/>
          <w:szCs w:val="20"/>
        </w:rPr>
      </w:pPr>
      <w:bookmarkStart w:id="327" w:name="_Toc333379475"/>
      <w:bookmarkStart w:id="328" w:name="_Toc354313912"/>
      <w:r w:rsidRPr="00B6647E">
        <w:rPr>
          <w:rFonts w:cs="Arial"/>
          <w:szCs w:val="20"/>
        </w:rPr>
        <w:t>Produits phytosanitaires</w:t>
      </w:r>
      <w:bookmarkEnd w:id="327"/>
      <w:bookmarkEnd w:id="328"/>
    </w:p>
    <w:p w:rsidR="009255F9" w:rsidRPr="00B6647E" w:rsidRDefault="00CA29DD" w:rsidP="003E19ED">
      <w:pPr>
        <w:pStyle w:val="Paragraphedeliste"/>
        <w:spacing w:before="200" w:line="240" w:lineRule="auto"/>
        <w:ind w:left="0"/>
        <w:contextualSpacing w:val="0"/>
        <w:jc w:val="both"/>
        <w:rPr>
          <w:rFonts w:ascii="Arial" w:hAnsi="Arial" w:cs="Arial"/>
          <w:color w:val="000000"/>
          <w:sz w:val="20"/>
          <w:szCs w:val="20"/>
        </w:rPr>
      </w:pPr>
      <w:r w:rsidRPr="00B6647E">
        <w:rPr>
          <w:rFonts w:ascii="Arial" w:hAnsi="Arial" w:cs="Arial"/>
          <w:color w:val="000000"/>
          <w:sz w:val="20"/>
          <w:szCs w:val="20"/>
        </w:rPr>
        <w:t>La proportion nationale des ménages agricoles qui ont utilisé des produits phytosanitaires a été estimée</w:t>
      </w:r>
      <w:r w:rsidR="009255F9" w:rsidRPr="00B6647E">
        <w:rPr>
          <w:rFonts w:ascii="Arial" w:hAnsi="Arial" w:cs="Arial"/>
          <w:color w:val="000000"/>
          <w:sz w:val="20"/>
          <w:szCs w:val="20"/>
        </w:rPr>
        <w:t xml:space="preserve"> </w:t>
      </w:r>
      <w:r w:rsidRPr="00B6647E">
        <w:rPr>
          <w:rFonts w:ascii="Arial" w:hAnsi="Arial" w:cs="Arial"/>
          <w:color w:val="000000"/>
          <w:sz w:val="20"/>
          <w:szCs w:val="20"/>
        </w:rPr>
        <w:t xml:space="preserve">au cours de la saison A </w:t>
      </w:r>
      <w:r w:rsidR="009255F9" w:rsidRPr="00B6647E">
        <w:rPr>
          <w:rFonts w:ascii="Arial" w:hAnsi="Arial" w:cs="Arial"/>
          <w:color w:val="000000"/>
          <w:sz w:val="20"/>
          <w:szCs w:val="20"/>
        </w:rPr>
        <w:t>à 10,9%</w:t>
      </w:r>
      <w:r w:rsidRPr="00B6647E">
        <w:rPr>
          <w:rFonts w:ascii="Arial" w:hAnsi="Arial" w:cs="Arial"/>
          <w:color w:val="000000"/>
          <w:sz w:val="20"/>
          <w:szCs w:val="20"/>
        </w:rPr>
        <w:t>, pendant la saison B à 5,5% et à 3% en saison C.</w:t>
      </w:r>
    </w:p>
    <w:p w:rsidR="00BC52D0" w:rsidRPr="00B6647E" w:rsidRDefault="009255F9" w:rsidP="003E19ED">
      <w:pPr>
        <w:pStyle w:val="Paragraphedeliste"/>
        <w:spacing w:before="200" w:line="240" w:lineRule="auto"/>
        <w:ind w:left="0"/>
        <w:contextualSpacing w:val="0"/>
        <w:jc w:val="both"/>
        <w:rPr>
          <w:rFonts w:ascii="Arial" w:hAnsi="Arial" w:cs="Arial"/>
          <w:color w:val="000000"/>
          <w:sz w:val="20"/>
          <w:szCs w:val="20"/>
        </w:rPr>
      </w:pPr>
      <w:r w:rsidRPr="00B6647E">
        <w:rPr>
          <w:rFonts w:ascii="Arial" w:hAnsi="Arial" w:cs="Arial"/>
          <w:color w:val="000000"/>
          <w:sz w:val="20"/>
          <w:szCs w:val="20"/>
        </w:rPr>
        <w:t>A part les herbicides, insecticides, fongicides et raticides, les ménages ont utilisé d’autres produits non précisés qui représentent 41% de la quantité totale</w:t>
      </w:r>
      <w:r w:rsidR="00BC52D0" w:rsidRPr="00B6647E">
        <w:rPr>
          <w:rFonts w:ascii="Arial" w:hAnsi="Arial" w:cs="Arial"/>
          <w:color w:val="000000"/>
          <w:sz w:val="20"/>
          <w:szCs w:val="20"/>
        </w:rPr>
        <w:t xml:space="preserve"> utilisée en saison A pendant laquelle </w:t>
      </w:r>
      <w:r w:rsidRPr="00B6647E">
        <w:rPr>
          <w:rFonts w:ascii="Arial" w:hAnsi="Arial" w:cs="Arial"/>
          <w:color w:val="000000"/>
          <w:sz w:val="20"/>
          <w:szCs w:val="20"/>
        </w:rPr>
        <w:t>les herbicides ont été très peu utilisés (à peine 0,3%).</w:t>
      </w:r>
      <w:r w:rsidR="00BC52D0" w:rsidRPr="00B6647E">
        <w:rPr>
          <w:rFonts w:ascii="Arial" w:hAnsi="Arial" w:cs="Arial"/>
          <w:color w:val="000000"/>
          <w:sz w:val="20"/>
          <w:szCs w:val="20"/>
        </w:rPr>
        <w:t xml:space="preserve"> La quantité totale des produits </w:t>
      </w:r>
      <w:r w:rsidRPr="00B6647E">
        <w:rPr>
          <w:rFonts w:ascii="Arial" w:hAnsi="Arial" w:cs="Arial"/>
          <w:color w:val="000000"/>
          <w:sz w:val="20"/>
          <w:szCs w:val="20"/>
        </w:rPr>
        <w:t>liquides</w:t>
      </w:r>
      <w:r w:rsidR="00BC52D0" w:rsidRPr="00B6647E">
        <w:rPr>
          <w:rFonts w:ascii="Arial" w:hAnsi="Arial" w:cs="Arial"/>
          <w:color w:val="000000"/>
          <w:sz w:val="20"/>
          <w:szCs w:val="20"/>
        </w:rPr>
        <w:t xml:space="preserve"> </w:t>
      </w:r>
      <w:r w:rsidR="004B269B">
        <w:rPr>
          <w:rFonts w:ascii="Arial" w:hAnsi="Arial" w:cs="Arial"/>
          <w:color w:val="000000"/>
          <w:sz w:val="20"/>
          <w:szCs w:val="20"/>
        </w:rPr>
        <w:t xml:space="preserve">utilisés sur l’ensemble des trois saisons </w:t>
      </w:r>
      <w:r w:rsidR="00BC52D0" w:rsidRPr="00B6647E">
        <w:rPr>
          <w:rFonts w:ascii="Arial" w:hAnsi="Arial" w:cs="Arial"/>
          <w:color w:val="000000"/>
          <w:sz w:val="20"/>
          <w:szCs w:val="20"/>
        </w:rPr>
        <w:t xml:space="preserve">est évaluée </w:t>
      </w:r>
      <w:r w:rsidRPr="00B6647E">
        <w:rPr>
          <w:rFonts w:ascii="Arial" w:hAnsi="Arial" w:cs="Arial"/>
          <w:color w:val="000000"/>
          <w:sz w:val="20"/>
          <w:szCs w:val="20"/>
        </w:rPr>
        <w:t>à 393.000 litres dont 87,8% sont des insecticides</w:t>
      </w:r>
      <w:r w:rsidR="00BC52D0" w:rsidRPr="00B6647E">
        <w:rPr>
          <w:rFonts w:ascii="Arial" w:hAnsi="Arial" w:cs="Arial"/>
          <w:color w:val="000000"/>
          <w:sz w:val="20"/>
          <w:szCs w:val="20"/>
        </w:rPr>
        <w:t xml:space="preserve"> au cours de la saison A contre 89.260 litres dont 93,4% sont des insecticides en saison B et 5.500 litres dont la majeure partie est composée d’insecticides (92,7%) pendant la saison C.</w:t>
      </w:r>
    </w:p>
    <w:p w:rsidR="00FB7280" w:rsidRPr="00B6647E" w:rsidRDefault="00FB7280" w:rsidP="003E19ED">
      <w:pPr>
        <w:pStyle w:val="Paragraphedeliste"/>
        <w:spacing w:before="200" w:line="240" w:lineRule="auto"/>
        <w:ind w:left="0"/>
        <w:contextualSpacing w:val="0"/>
        <w:jc w:val="both"/>
        <w:rPr>
          <w:rFonts w:ascii="Arial" w:hAnsi="Arial" w:cs="Arial"/>
          <w:color w:val="000000"/>
          <w:sz w:val="20"/>
          <w:szCs w:val="20"/>
        </w:rPr>
      </w:pPr>
      <w:r w:rsidRPr="00B6647E">
        <w:rPr>
          <w:rFonts w:ascii="Arial" w:hAnsi="Arial" w:cs="Arial"/>
          <w:color w:val="000000"/>
          <w:sz w:val="20"/>
          <w:szCs w:val="20"/>
        </w:rPr>
        <w:t xml:space="preserve">La quantité totale de produits phytosanitaires non liquides </w:t>
      </w:r>
      <w:r w:rsidR="004B269B">
        <w:rPr>
          <w:rFonts w:ascii="Arial" w:hAnsi="Arial" w:cs="Arial"/>
          <w:color w:val="000000"/>
          <w:sz w:val="20"/>
          <w:szCs w:val="20"/>
        </w:rPr>
        <w:t xml:space="preserve">utilisée </w:t>
      </w:r>
      <w:r w:rsidRPr="00B6647E">
        <w:rPr>
          <w:rFonts w:ascii="Arial" w:hAnsi="Arial" w:cs="Arial"/>
          <w:color w:val="000000"/>
          <w:sz w:val="20"/>
          <w:szCs w:val="20"/>
        </w:rPr>
        <w:t xml:space="preserve">a été estimée à 486,8 tonnes au cours de la saison A contre </w:t>
      </w:r>
      <w:r w:rsidR="00BC52D0" w:rsidRPr="00B6647E">
        <w:rPr>
          <w:rFonts w:ascii="Arial" w:hAnsi="Arial" w:cs="Arial"/>
          <w:color w:val="000000"/>
          <w:sz w:val="20"/>
          <w:szCs w:val="20"/>
        </w:rPr>
        <w:t>19,1 tonnes</w:t>
      </w:r>
      <w:r w:rsidRPr="00B6647E">
        <w:rPr>
          <w:rFonts w:ascii="Arial" w:hAnsi="Arial" w:cs="Arial"/>
          <w:color w:val="000000"/>
          <w:sz w:val="20"/>
          <w:szCs w:val="20"/>
        </w:rPr>
        <w:t xml:space="preserve"> en saison B </w:t>
      </w:r>
      <w:r w:rsidR="004B269B">
        <w:rPr>
          <w:rFonts w:ascii="Arial" w:hAnsi="Arial" w:cs="Arial"/>
          <w:color w:val="000000"/>
          <w:sz w:val="20"/>
          <w:szCs w:val="20"/>
        </w:rPr>
        <w:t>(</w:t>
      </w:r>
      <w:r w:rsidRPr="00B6647E">
        <w:rPr>
          <w:rFonts w:ascii="Arial" w:hAnsi="Arial" w:cs="Arial"/>
          <w:color w:val="000000"/>
          <w:sz w:val="20"/>
          <w:szCs w:val="20"/>
        </w:rPr>
        <w:t>pendant laquelle</w:t>
      </w:r>
      <w:r w:rsidR="00BC52D0" w:rsidRPr="00B6647E">
        <w:rPr>
          <w:rFonts w:ascii="Arial" w:hAnsi="Arial" w:cs="Arial"/>
          <w:color w:val="000000"/>
          <w:sz w:val="20"/>
          <w:szCs w:val="20"/>
        </w:rPr>
        <w:t xml:space="preserve"> celle des fongicides utilisée représente 91,9%</w:t>
      </w:r>
      <w:r w:rsidR="004B269B">
        <w:rPr>
          <w:rFonts w:ascii="Arial" w:hAnsi="Arial" w:cs="Arial"/>
          <w:color w:val="000000"/>
          <w:sz w:val="20"/>
          <w:szCs w:val="20"/>
        </w:rPr>
        <w:t>)</w:t>
      </w:r>
      <w:r w:rsidRPr="00B6647E">
        <w:rPr>
          <w:rFonts w:ascii="Arial" w:hAnsi="Arial" w:cs="Arial"/>
          <w:color w:val="000000"/>
          <w:sz w:val="20"/>
          <w:szCs w:val="20"/>
        </w:rPr>
        <w:t xml:space="preserve"> et </w:t>
      </w:r>
      <w:r w:rsidR="00BC52D0" w:rsidRPr="00B6647E">
        <w:rPr>
          <w:rFonts w:ascii="Arial" w:hAnsi="Arial" w:cs="Arial"/>
          <w:color w:val="000000"/>
          <w:sz w:val="20"/>
          <w:szCs w:val="20"/>
        </w:rPr>
        <w:t xml:space="preserve">contre 43,1 tonnes </w:t>
      </w:r>
      <w:r w:rsidR="004B269B">
        <w:rPr>
          <w:rFonts w:ascii="Arial" w:hAnsi="Arial" w:cs="Arial"/>
          <w:color w:val="000000"/>
          <w:sz w:val="20"/>
          <w:szCs w:val="20"/>
        </w:rPr>
        <w:t>utilisées</w:t>
      </w:r>
      <w:r w:rsidRPr="00B6647E">
        <w:rPr>
          <w:rFonts w:ascii="Arial" w:hAnsi="Arial" w:cs="Arial"/>
          <w:color w:val="000000"/>
          <w:sz w:val="20"/>
          <w:szCs w:val="20"/>
        </w:rPr>
        <w:t xml:space="preserve"> au cours de la saison C </w:t>
      </w:r>
      <w:r w:rsidR="004B269B">
        <w:rPr>
          <w:rFonts w:ascii="Arial" w:hAnsi="Arial" w:cs="Arial"/>
          <w:color w:val="000000"/>
          <w:sz w:val="20"/>
          <w:szCs w:val="20"/>
        </w:rPr>
        <w:t>(</w:t>
      </w:r>
      <w:r w:rsidR="00BC52D0" w:rsidRPr="00B6647E">
        <w:rPr>
          <w:rFonts w:ascii="Arial" w:hAnsi="Arial" w:cs="Arial"/>
          <w:color w:val="000000"/>
          <w:sz w:val="20"/>
          <w:szCs w:val="20"/>
        </w:rPr>
        <w:t>d</w:t>
      </w:r>
      <w:r w:rsidRPr="00B6647E">
        <w:rPr>
          <w:rFonts w:ascii="Arial" w:hAnsi="Arial" w:cs="Arial"/>
          <w:color w:val="000000"/>
          <w:sz w:val="20"/>
          <w:szCs w:val="20"/>
        </w:rPr>
        <w:t>ans laquelle</w:t>
      </w:r>
      <w:r w:rsidR="00BC52D0" w:rsidRPr="00B6647E">
        <w:rPr>
          <w:rFonts w:ascii="Arial" w:hAnsi="Arial" w:cs="Arial"/>
          <w:color w:val="000000"/>
          <w:sz w:val="20"/>
          <w:szCs w:val="20"/>
        </w:rPr>
        <w:t xml:space="preserve"> 45,6% </w:t>
      </w:r>
      <w:r w:rsidRPr="00B6647E">
        <w:rPr>
          <w:rFonts w:ascii="Arial" w:hAnsi="Arial" w:cs="Arial"/>
          <w:color w:val="000000"/>
          <w:sz w:val="20"/>
          <w:szCs w:val="20"/>
        </w:rPr>
        <w:t>sont</w:t>
      </w:r>
      <w:r w:rsidR="00BC52D0" w:rsidRPr="00B6647E">
        <w:rPr>
          <w:rFonts w:ascii="Arial" w:hAnsi="Arial" w:cs="Arial"/>
          <w:color w:val="000000"/>
          <w:sz w:val="20"/>
          <w:szCs w:val="20"/>
        </w:rPr>
        <w:t xml:space="preserve"> composé</w:t>
      </w:r>
      <w:r w:rsidRPr="00B6647E">
        <w:rPr>
          <w:rFonts w:ascii="Arial" w:hAnsi="Arial" w:cs="Arial"/>
          <w:color w:val="000000"/>
          <w:sz w:val="20"/>
          <w:szCs w:val="20"/>
        </w:rPr>
        <w:t>s</w:t>
      </w:r>
      <w:r w:rsidR="00BC52D0" w:rsidRPr="00B6647E">
        <w:rPr>
          <w:rFonts w:ascii="Arial" w:hAnsi="Arial" w:cs="Arial"/>
          <w:color w:val="000000"/>
          <w:sz w:val="20"/>
          <w:szCs w:val="20"/>
        </w:rPr>
        <w:t xml:space="preserve"> de fongicides</w:t>
      </w:r>
      <w:r w:rsidR="004B269B">
        <w:rPr>
          <w:rFonts w:ascii="Arial" w:hAnsi="Arial" w:cs="Arial"/>
          <w:color w:val="000000"/>
          <w:sz w:val="20"/>
          <w:szCs w:val="20"/>
        </w:rPr>
        <w:t>)</w:t>
      </w:r>
      <w:r w:rsidR="00BC52D0" w:rsidRPr="00B6647E">
        <w:rPr>
          <w:rFonts w:ascii="Arial" w:hAnsi="Arial" w:cs="Arial"/>
          <w:color w:val="000000"/>
          <w:sz w:val="20"/>
          <w:szCs w:val="20"/>
        </w:rPr>
        <w:t xml:space="preserve">. </w:t>
      </w:r>
      <w:r w:rsidR="009255F9" w:rsidRPr="00B6647E">
        <w:rPr>
          <w:rFonts w:ascii="Arial" w:hAnsi="Arial" w:cs="Arial"/>
          <w:color w:val="000000"/>
          <w:sz w:val="20"/>
          <w:szCs w:val="20"/>
        </w:rPr>
        <w:t xml:space="preserve">La valeur des achats de l’ensemble des produits phytosanitaires </w:t>
      </w:r>
      <w:r w:rsidRPr="00B6647E">
        <w:rPr>
          <w:rFonts w:ascii="Arial" w:hAnsi="Arial" w:cs="Arial"/>
          <w:color w:val="000000"/>
          <w:sz w:val="20"/>
          <w:szCs w:val="20"/>
        </w:rPr>
        <w:t xml:space="preserve">a été </w:t>
      </w:r>
      <w:r w:rsidR="009255F9" w:rsidRPr="00B6647E">
        <w:rPr>
          <w:rFonts w:ascii="Arial" w:hAnsi="Arial" w:cs="Arial"/>
          <w:color w:val="000000"/>
          <w:sz w:val="20"/>
          <w:szCs w:val="20"/>
        </w:rPr>
        <w:t>estimée à 1.879 millions de FBu</w:t>
      </w:r>
      <w:r w:rsidRPr="00B6647E">
        <w:rPr>
          <w:rFonts w:ascii="Arial" w:hAnsi="Arial" w:cs="Arial"/>
          <w:color w:val="000000"/>
          <w:sz w:val="20"/>
          <w:szCs w:val="20"/>
        </w:rPr>
        <w:t xml:space="preserve"> en saison A. Pendant la saison B</w:t>
      </w:r>
      <w:r w:rsidR="009255F9" w:rsidRPr="00B6647E">
        <w:rPr>
          <w:rFonts w:ascii="Arial" w:hAnsi="Arial" w:cs="Arial"/>
          <w:color w:val="000000"/>
          <w:sz w:val="20"/>
          <w:szCs w:val="20"/>
        </w:rPr>
        <w:t xml:space="preserve"> </w:t>
      </w:r>
      <w:r w:rsidRPr="00B6647E">
        <w:rPr>
          <w:rFonts w:ascii="Arial" w:hAnsi="Arial" w:cs="Arial"/>
          <w:color w:val="000000"/>
          <w:sz w:val="20"/>
          <w:szCs w:val="20"/>
        </w:rPr>
        <w:t>elle était de 883,5 millions de FBu et de 426,2 millions de FBu</w:t>
      </w:r>
      <w:r w:rsidR="004B269B">
        <w:rPr>
          <w:rFonts w:ascii="Arial" w:hAnsi="Arial" w:cs="Arial"/>
          <w:color w:val="000000"/>
          <w:sz w:val="20"/>
          <w:szCs w:val="20"/>
        </w:rPr>
        <w:t xml:space="preserve"> </w:t>
      </w:r>
      <w:r w:rsidRPr="00B6647E">
        <w:rPr>
          <w:rFonts w:ascii="Arial" w:hAnsi="Arial" w:cs="Arial"/>
          <w:color w:val="000000"/>
          <w:sz w:val="20"/>
          <w:szCs w:val="20"/>
        </w:rPr>
        <w:t>au cours de la saison C.</w:t>
      </w:r>
    </w:p>
    <w:p w:rsidR="005215D1" w:rsidRPr="00B6647E" w:rsidRDefault="005215D1" w:rsidP="003E19ED">
      <w:pPr>
        <w:pStyle w:val="Titre3"/>
        <w:keepNext w:val="0"/>
        <w:numPr>
          <w:ilvl w:val="2"/>
          <w:numId w:val="1"/>
        </w:numPr>
        <w:spacing w:before="200" w:after="120"/>
        <w:ind w:left="0" w:firstLine="0"/>
        <w:rPr>
          <w:rFonts w:cs="Arial"/>
          <w:szCs w:val="20"/>
        </w:rPr>
      </w:pPr>
      <w:bookmarkStart w:id="329" w:name="_Toc333379476"/>
      <w:bookmarkStart w:id="330" w:name="_Toc354313913"/>
      <w:r w:rsidRPr="00B6647E">
        <w:rPr>
          <w:rFonts w:cs="Arial"/>
          <w:szCs w:val="20"/>
        </w:rPr>
        <w:t>Engrais chimiques</w:t>
      </w:r>
      <w:bookmarkEnd w:id="329"/>
      <w:bookmarkEnd w:id="330"/>
    </w:p>
    <w:p w:rsidR="00595C7F" w:rsidRPr="00B6647E" w:rsidRDefault="00595C7F" w:rsidP="00595C7F">
      <w:pPr>
        <w:spacing w:line="240" w:lineRule="auto"/>
        <w:jc w:val="both"/>
        <w:rPr>
          <w:rFonts w:ascii="Arial" w:hAnsi="Arial" w:cs="Arial"/>
          <w:sz w:val="20"/>
          <w:szCs w:val="20"/>
        </w:rPr>
      </w:pPr>
      <w:r w:rsidRPr="00B6647E">
        <w:rPr>
          <w:rFonts w:ascii="Arial" w:hAnsi="Arial" w:cs="Arial"/>
          <w:sz w:val="20"/>
          <w:szCs w:val="20"/>
        </w:rPr>
        <w:t>Au plan national, la proportion de ménages qui ont utilisé des engrais chimiques a été</w:t>
      </w:r>
      <w:r w:rsidR="00FB7280" w:rsidRPr="00B6647E">
        <w:rPr>
          <w:rFonts w:ascii="Arial" w:hAnsi="Arial" w:cs="Arial"/>
          <w:sz w:val="20"/>
          <w:szCs w:val="20"/>
        </w:rPr>
        <w:t xml:space="preserve"> estim</w:t>
      </w:r>
      <w:r w:rsidRPr="00B6647E">
        <w:rPr>
          <w:rFonts w:ascii="Arial" w:hAnsi="Arial" w:cs="Arial"/>
          <w:sz w:val="20"/>
          <w:szCs w:val="20"/>
        </w:rPr>
        <w:t>é</w:t>
      </w:r>
      <w:r w:rsidR="00FB7280" w:rsidRPr="00B6647E">
        <w:rPr>
          <w:rFonts w:ascii="Arial" w:hAnsi="Arial" w:cs="Arial"/>
          <w:sz w:val="20"/>
          <w:szCs w:val="20"/>
        </w:rPr>
        <w:t>e à 28,4%</w:t>
      </w:r>
      <w:r w:rsidRPr="00B6647E">
        <w:rPr>
          <w:rFonts w:ascii="Arial" w:hAnsi="Arial" w:cs="Arial"/>
          <w:sz w:val="20"/>
          <w:szCs w:val="20"/>
        </w:rPr>
        <w:t xml:space="preserve"> en saison A, pendant la saison B à 32,4% et au cours de la saison C à 11,4%.</w:t>
      </w:r>
    </w:p>
    <w:p w:rsidR="00182933" w:rsidRPr="00B6647E" w:rsidRDefault="00182933" w:rsidP="00182933">
      <w:pPr>
        <w:pStyle w:val="Paragraphedeliste"/>
        <w:ind w:left="0"/>
        <w:jc w:val="both"/>
        <w:rPr>
          <w:rFonts w:ascii="Arial" w:hAnsi="Arial" w:cs="Arial"/>
          <w:b/>
          <w:sz w:val="20"/>
          <w:szCs w:val="20"/>
        </w:rPr>
      </w:pPr>
      <w:r w:rsidRPr="00B6647E">
        <w:rPr>
          <w:rFonts w:ascii="Arial" w:hAnsi="Arial" w:cs="Arial"/>
          <w:b/>
          <w:sz w:val="20"/>
          <w:szCs w:val="20"/>
        </w:rPr>
        <w:t xml:space="preserve">Tableau </w:t>
      </w:r>
      <w:r w:rsidR="007602F3">
        <w:rPr>
          <w:rFonts w:ascii="Arial" w:hAnsi="Arial" w:cs="Arial"/>
          <w:b/>
          <w:sz w:val="20"/>
          <w:szCs w:val="20"/>
        </w:rPr>
        <w:t>23</w:t>
      </w:r>
      <w:r w:rsidR="00F75E61" w:rsidRPr="00B6647E">
        <w:rPr>
          <w:rFonts w:ascii="Arial" w:hAnsi="Arial" w:cs="Arial"/>
          <w:b/>
          <w:sz w:val="20"/>
          <w:szCs w:val="20"/>
        </w:rPr>
        <w:t>6</w:t>
      </w:r>
      <w:r w:rsidRPr="00B6647E">
        <w:rPr>
          <w:rFonts w:ascii="Arial" w:hAnsi="Arial" w:cs="Arial"/>
          <w:b/>
          <w:sz w:val="20"/>
          <w:szCs w:val="20"/>
        </w:rPr>
        <w:t> : Nombre de ménages utilisant des engrais chimiques par province et par saison</w:t>
      </w:r>
    </w:p>
    <w:p w:rsidR="00182933" w:rsidRPr="00B6647E" w:rsidRDefault="00182933" w:rsidP="00595C7F">
      <w:pPr>
        <w:spacing w:line="240" w:lineRule="auto"/>
        <w:jc w:val="both"/>
        <w:rPr>
          <w:rFonts w:ascii="Arial" w:hAnsi="Arial" w:cs="Arial"/>
          <w:sz w:val="20"/>
          <w:szCs w:val="20"/>
        </w:rPr>
      </w:pPr>
      <w:r w:rsidRPr="00B6647E">
        <w:rPr>
          <w:noProof/>
          <w:szCs w:val="20"/>
          <w:lang w:val="fr-FR" w:eastAsia="fr-FR"/>
        </w:rPr>
        <w:drawing>
          <wp:inline distT="0" distB="0" distL="0" distR="0">
            <wp:extent cx="5448300" cy="4057650"/>
            <wp:effectExtent l="19050" t="0" r="0" b="0"/>
            <wp:docPr id="15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0" cstate="print"/>
                    <a:srcRect/>
                    <a:stretch>
                      <a:fillRect/>
                    </a:stretch>
                  </pic:blipFill>
                  <pic:spPr bwMode="auto">
                    <a:xfrm>
                      <a:off x="0" y="0"/>
                      <a:ext cx="5448300" cy="4057650"/>
                    </a:xfrm>
                    <a:prstGeom prst="rect">
                      <a:avLst/>
                    </a:prstGeom>
                    <a:noFill/>
                    <a:ln w="9525">
                      <a:noFill/>
                      <a:miter lim="800000"/>
                      <a:headEnd/>
                      <a:tailEnd/>
                    </a:ln>
                  </pic:spPr>
                </pic:pic>
              </a:graphicData>
            </a:graphic>
          </wp:inline>
        </w:drawing>
      </w:r>
    </w:p>
    <w:p w:rsidR="00757117" w:rsidRPr="00B6647E" w:rsidRDefault="00F0745B" w:rsidP="00B259A1">
      <w:pPr>
        <w:spacing w:line="240" w:lineRule="auto"/>
        <w:jc w:val="both"/>
        <w:rPr>
          <w:rFonts w:ascii="Arial" w:hAnsi="Arial" w:cs="Arial"/>
          <w:sz w:val="20"/>
          <w:szCs w:val="20"/>
        </w:rPr>
      </w:pPr>
      <w:r w:rsidRPr="00B6647E">
        <w:rPr>
          <w:rFonts w:ascii="Arial" w:hAnsi="Arial" w:cs="Arial"/>
          <w:sz w:val="20"/>
          <w:szCs w:val="20"/>
        </w:rPr>
        <w:lastRenderedPageBreak/>
        <w:t xml:space="preserve">Les dépenses totales des engrais chimiques </w:t>
      </w:r>
      <w:r w:rsidR="00595C7F" w:rsidRPr="00B6647E">
        <w:rPr>
          <w:rFonts w:ascii="Arial" w:hAnsi="Arial" w:cs="Arial"/>
          <w:sz w:val="20"/>
          <w:szCs w:val="20"/>
        </w:rPr>
        <w:t>pendant la saison A ont été</w:t>
      </w:r>
      <w:r w:rsidRPr="00B6647E">
        <w:rPr>
          <w:rFonts w:ascii="Arial" w:hAnsi="Arial" w:cs="Arial"/>
          <w:sz w:val="20"/>
          <w:szCs w:val="20"/>
        </w:rPr>
        <w:t xml:space="preserve"> estimées à 7.211 millions FBu dont 3,1% ont été obtenus à crédit. </w:t>
      </w:r>
    </w:p>
    <w:p w:rsidR="00757117" w:rsidRPr="00B6647E" w:rsidRDefault="00595C7F" w:rsidP="00B259A1">
      <w:pPr>
        <w:spacing w:line="240" w:lineRule="auto"/>
        <w:jc w:val="both"/>
        <w:rPr>
          <w:rFonts w:ascii="Arial" w:hAnsi="Arial" w:cs="Arial"/>
          <w:sz w:val="20"/>
          <w:szCs w:val="20"/>
        </w:rPr>
      </w:pPr>
      <w:r w:rsidRPr="00B6647E">
        <w:rPr>
          <w:rFonts w:ascii="Arial" w:hAnsi="Arial" w:cs="Arial"/>
          <w:sz w:val="20"/>
          <w:szCs w:val="20"/>
        </w:rPr>
        <w:t xml:space="preserve">En saison B, ces dépenses ont été évaluées à </w:t>
      </w:r>
      <w:r w:rsidR="00F0745B" w:rsidRPr="00B6647E">
        <w:rPr>
          <w:rFonts w:ascii="Arial" w:hAnsi="Arial" w:cs="Arial"/>
          <w:sz w:val="20"/>
          <w:szCs w:val="20"/>
        </w:rPr>
        <w:t>10.934 millions FBu dont 5,7% ont été obtenus à crédit.</w:t>
      </w:r>
      <w:r w:rsidR="00B259A1" w:rsidRPr="00B6647E">
        <w:rPr>
          <w:rFonts w:ascii="Arial" w:hAnsi="Arial" w:cs="Arial"/>
          <w:sz w:val="20"/>
          <w:szCs w:val="20"/>
        </w:rPr>
        <w:t xml:space="preserve">sur une quantité totale de </w:t>
      </w:r>
      <w:r w:rsidR="00F0745B" w:rsidRPr="00B6647E">
        <w:rPr>
          <w:rFonts w:ascii="Arial" w:hAnsi="Arial" w:cs="Arial"/>
          <w:sz w:val="20"/>
          <w:szCs w:val="20"/>
        </w:rPr>
        <w:t xml:space="preserve">11.014,7 tonnes (dont 55,8% de </w:t>
      </w:r>
      <w:r w:rsidR="009E00A8">
        <w:rPr>
          <w:rFonts w:ascii="Arial" w:hAnsi="Arial" w:cs="Arial"/>
          <w:sz w:val="20"/>
          <w:szCs w:val="20"/>
        </w:rPr>
        <w:t>Di Ammonium Phosphate (</w:t>
      </w:r>
      <w:r w:rsidR="00F0745B" w:rsidRPr="00B6647E">
        <w:rPr>
          <w:rFonts w:ascii="Arial" w:hAnsi="Arial" w:cs="Arial"/>
          <w:sz w:val="20"/>
          <w:szCs w:val="20"/>
        </w:rPr>
        <w:t>DAP</w:t>
      </w:r>
      <w:r w:rsidR="009E00A8">
        <w:rPr>
          <w:rFonts w:ascii="Arial" w:hAnsi="Arial" w:cs="Arial"/>
          <w:sz w:val="20"/>
          <w:szCs w:val="20"/>
        </w:rPr>
        <w:t>)</w:t>
      </w:r>
      <w:r w:rsidR="00F0745B" w:rsidRPr="00B6647E">
        <w:rPr>
          <w:rFonts w:ascii="Arial" w:hAnsi="Arial" w:cs="Arial"/>
          <w:sz w:val="20"/>
          <w:szCs w:val="20"/>
        </w:rPr>
        <w:t xml:space="preserve"> et 8,7% d’urée). Les autres engrais constitués principalement du superphosphate triple (TSP) représentent 30,8% de la quantité totale des engrais non liquides utilisés au cours de la saison B. </w:t>
      </w:r>
    </w:p>
    <w:p w:rsidR="00F0745B" w:rsidRPr="00B6647E" w:rsidRDefault="00B259A1" w:rsidP="00B259A1">
      <w:pPr>
        <w:spacing w:line="240" w:lineRule="auto"/>
        <w:jc w:val="both"/>
        <w:rPr>
          <w:rFonts w:ascii="Arial" w:hAnsi="Arial" w:cs="Arial"/>
          <w:sz w:val="20"/>
          <w:szCs w:val="20"/>
        </w:rPr>
      </w:pPr>
      <w:r w:rsidRPr="00B6647E">
        <w:rPr>
          <w:rFonts w:ascii="Arial" w:hAnsi="Arial" w:cs="Arial"/>
          <w:sz w:val="20"/>
          <w:szCs w:val="20"/>
        </w:rPr>
        <w:t xml:space="preserve">Les dépenses totales des engrais chimiques sont estimées au cours de la saison C à 2.300 millions FBu dont 4% ont été obtenus à crédit et la quantité totale </w:t>
      </w:r>
      <w:r w:rsidR="00F0745B" w:rsidRPr="00B6647E">
        <w:rPr>
          <w:rFonts w:ascii="Arial" w:hAnsi="Arial" w:cs="Arial"/>
          <w:sz w:val="20"/>
          <w:szCs w:val="20"/>
        </w:rPr>
        <w:t xml:space="preserve">à environ 2.000 tonnes (dont 51,5% de DAP et 20% d’urée). Les autres engrais </w:t>
      </w:r>
      <w:r w:rsidRPr="00B6647E">
        <w:rPr>
          <w:rFonts w:ascii="Arial" w:hAnsi="Arial" w:cs="Arial"/>
          <w:sz w:val="20"/>
          <w:szCs w:val="20"/>
        </w:rPr>
        <w:t>chimiques</w:t>
      </w:r>
      <w:r w:rsidR="00F0745B" w:rsidRPr="00B6647E">
        <w:rPr>
          <w:rFonts w:ascii="Arial" w:hAnsi="Arial" w:cs="Arial"/>
          <w:sz w:val="20"/>
          <w:szCs w:val="20"/>
        </w:rPr>
        <w:t xml:space="preserve"> représentent 20,8% de la quantité totale des engrais non liquides utilisés au cours de la saison C. La quantité d’engrais chimiques liquides enregistrée par l’enquête au cours de la saison C est pratiquement négligeable. </w:t>
      </w:r>
    </w:p>
    <w:p w:rsidR="000552AE" w:rsidRPr="00B6647E" w:rsidRDefault="000552AE" w:rsidP="00B73CF8">
      <w:pPr>
        <w:pStyle w:val="Titre2"/>
        <w:keepNext w:val="0"/>
        <w:numPr>
          <w:ilvl w:val="1"/>
          <w:numId w:val="1"/>
        </w:numPr>
        <w:spacing w:before="240" w:after="200"/>
        <w:ind w:left="0" w:firstLine="0"/>
        <w:rPr>
          <w:rFonts w:cs="Arial"/>
          <w:u w:val="dotDash"/>
        </w:rPr>
      </w:pPr>
      <w:bookmarkStart w:id="331" w:name="_Toc354313914"/>
      <w:r w:rsidRPr="00B6647E">
        <w:rPr>
          <w:rFonts w:cs="Arial"/>
          <w:u w:val="dotDash"/>
        </w:rPr>
        <w:t>Emploi et main-d’œuvre agricoles</w:t>
      </w:r>
      <w:bookmarkEnd w:id="331"/>
    </w:p>
    <w:p w:rsidR="00B1602C" w:rsidRPr="00B6647E" w:rsidRDefault="00FC5871" w:rsidP="00B1602C">
      <w:pPr>
        <w:spacing w:line="240" w:lineRule="auto"/>
        <w:jc w:val="both"/>
        <w:rPr>
          <w:rFonts w:ascii="Arial" w:hAnsi="Arial" w:cs="Arial"/>
          <w:sz w:val="20"/>
          <w:szCs w:val="20"/>
        </w:rPr>
      </w:pPr>
      <w:r w:rsidRPr="00B6647E">
        <w:rPr>
          <w:rFonts w:ascii="Arial" w:hAnsi="Arial" w:cs="Arial"/>
          <w:sz w:val="20"/>
          <w:szCs w:val="20"/>
        </w:rPr>
        <w:t xml:space="preserve">Le temps moyen de travail  par ménage </w:t>
      </w:r>
      <w:r w:rsidR="00E25F96" w:rsidRPr="00B6647E">
        <w:rPr>
          <w:rFonts w:ascii="Arial" w:hAnsi="Arial" w:cs="Arial"/>
          <w:sz w:val="20"/>
          <w:szCs w:val="20"/>
        </w:rPr>
        <w:t xml:space="preserve">au cours de toute la campagne agricole 2011-2012 a été </w:t>
      </w:r>
      <w:r w:rsidRPr="00B6647E">
        <w:rPr>
          <w:rFonts w:ascii="Arial" w:hAnsi="Arial" w:cs="Arial"/>
          <w:sz w:val="20"/>
          <w:szCs w:val="20"/>
        </w:rPr>
        <w:t xml:space="preserve">estimé à </w:t>
      </w:r>
      <w:r w:rsidR="00E25F96" w:rsidRPr="00B6647E">
        <w:rPr>
          <w:rFonts w:ascii="Arial" w:hAnsi="Arial" w:cs="Arial"/>
          <w:sz w:val="20"/>
          <w:szCs w:val="20"/>
        </w:rPr>
        <w:t>744 heures (</w:t>
      </w:r>
      <w:r w:rsidRPr="00B6647E">
        <w:rPr>
          <w:rFonts w:ascii="Arial" w:hAnsi="Arial" w:cs="Arial"/>
          <w:sz w:val="20"/>
          <w:szCs w:val="20"/>
        </w:rPr>
        <w:t xml:space="preserve">232 heures </w:t>
      </w:r>
      <w:r w:rsidR="00E25F96" w:rsidRPr="00B6647E">
        <w:rPr>
          <w:rFonts w:ascii="Arial" w:hAnsi="Arial" w:cs="Arial"/>
          <w:sz w:val="20"/>
          <w:szCs w:val="20"/>
        </w:rPr>
        <w:t xml:space="preserve">en saison A, 360 heures pendant la saison B et </w:t>
      </w:r>
      <w:r w:rsidR="00B1602C" w:rsidRPr="00B6647E">
        <w:rPr>
          <w:rFonts w:ascii="Arial" w:hAnsi="Arial" w:cs="Arial"/>
          <w:sz w:val="20"/>
          <w:szCs w:val="20"/>
        </w:rPr>
        <w:t>152 heures au cours de la saison C)</w:t>
      </w:r>
      <w:r w:rsidR="006E0C7B" w:rsidRPr="00B6647E">
        <w:rPr>
          <w:rFonts w:ascii="Arial" w:hAnsi="Arial" w:cs="Arial"/>
          <w:sz w:val="20"/>
          <w:szCs w:val="20"/>
        </w:rPr>
        <w:t>. Les plus grands temps de travaux agricoles par ménage ont été estimés dans les provinces de Muramvya (1.108 heures), Cankuzo (1.035 heures), Bururi (943 heures), Kirundo (919 heures). A l’opposé moins de 500 heures de travaux par ménage ont été estimées dans les provinces de Bujumbura rural (486 heures), Cibitoke (431 heures) et Rutana (450 heures).</w:t>
      </w:r>
    </w:p>
    <w:p w:rsidR="008D043D" w:rsidRPr="00B6647E" w:rsidRDefault="00B1602C" w:rsidP="008D043D">
      <w:pPr>
        <w:spacing w:line="240" w:lineRule="auto"/>
        <w:jc w:val="both"/>
        <w:rPr>
          <w:rFonts w:ascii="Arial" w:hAnsi="Arial" w:cs="Arial"/>
          <w:sz w:val="20"/>
          <w:szCs w:val="20"/>
        </w:rPr>
      </w:pPr>
      <w:r w:rsidRPr="00B6647E">
        <w:rPr>
          <w:rFonts w:ascii="Arial" w:hAnsi="Arial" w:cs="Arial"/>
          <w:sz w:val="20"/>
          <w:szCs w:val="20"/>
        </w:rPr>
        <w:t>L</w:t>
      </w:r>
      <w:r w:rsidR="00FC5871" w:rsidRPr="00B6647E">
        <w:rPr>
          <w:rFonts w:ascii="Arial" w:hAnsi="Arial" w:cs="Arial"/>
          <w:sz w:val="20"/>
          <w:szCs w:val="20"/>
        </w:rPr>
        <w:t xml:space="preserve">a moyenne nationale du temps </w:t>
      </w:r>
      <w:r w:rsidRPr="00B6647E">
        <w:rPr>
          <w:rFonts w:ascii="Arial" w:hAnsi="Arial" w:cs="Arial"/>
          <w:sz w:val="20"/>
          <w:szCs w:val="20"/>
        </w:rPr>
        <w:t xml:space="preserve">de l’entraide pour les ménages qui en bénéficient a été estimée à 81 heures au cours de toutes la </w:t>
      </w:r>
      <w:r w:rsidR="008D043D" w:rsidRPr="00B6647E">
        <w:rPr>
          <w:rFonts w:ascii="Arial" w:hAnsi="Arial" w:cs="Arial"/>
          <w:sz w:val="20"/>
          <w:szCs w:val="20"/>
        </w:rPr>
        <w:t>campagne</w:t>
      </w:r>
      <w:r w:rsidRPr="00B6647E">
        <w:rPr>
          <w:rFonts w:ascii="Arial" w:hAnsi="Arial" w:cs="Arial"/>
          <w:sz w:val="20"/>
          <w:szCs w:val="20"/>
        </w:rPr>
        <w:t xml:space="preserve"> agricole </w:t>
      </w:r>
      <w:r w:rsidR="008D043D" w:rsidRPr="00B6647E">
        <w:rPr>
          <w:rFonts w:ascii="Arial" w:hAnsi="Arial" w:cs="Arial"/>
          <w:sz w:val="20"/>
          <w:szCs w:val="20"/>
        </w:rPr>
        <w:t>(49 heures en saison A, 24 heures pendant la saison B et 8 heures au cours de la saison C).</w:t>
      </w:r>
      <w:r w:rsidR="009E00A8">
        <w:rPr>
          <w:rFonts w:ascii="Arial" w:hAnsi="Arial" w:cs="Arial"/>
          <w:sz w:val="20"/>
          <w:szCs w:val="20"/>
        </w:rPr>
        <w:t xml:space="preserve"> </w:t>
      </w:r>
      <w:r w:rsidR="006E0C7B" w:rsidRPr="00B6647E">
        <w:rPr>
          <w:rFonts w:ascii="Arial" w:hAnsi="Arial" w:cs="Arial"/>
          <w:sz w:val="20"/>
          <w:szCs w:val="20"/>
        </w:rPr>
        <w:t>Les provinces de Bururi (114 heures), Kirundo (111 heures), Makamba (108 heures), Mwaro (105 heures) ont bénéficié du temps d’entraide le plus élevé au cours des trois saisons. Deux provinces ont bénéficié de moins de 50 heures d’entraide : Cankuzo (45 heures) et Rutana (39 heures).</w:t>
      </w:r>
    </w:p>
    <w:p w:rsidR="00FC5871" w:rsidRPr="00B6647E" w:rsidRDefault="00FC5871" w:rsidP="008D043D">
      <w:pPr>
        <w:jc w:val="both"/>
        <w:rPr>
          <w:rFonts w:ascii="Arial" w:hAnsi="Arial" w:cs="Arial"/>
          <w:b/>
          <w:sz w:val="20"/>
          <w:szCs w:val="20"/>
        </w:rPr>
      </w:pPr>
      <w:r w:rsidRPr="00B6647E">
        <w:rPr>
          <w:rFonts w:ascii="Arial" w:hAnsi="Arial" w:cs="Arial"/>
          <w:b/>
          <w:sz w:val="20"/>
          <w:szCs w:val="20"/>
        </w:rPr>
        <w:t xml:space="preserve">Tableau </w:t>
      </w:r>
      <w:r w:rsidR="007602F3">
        <w:rPr>
          <w:rFonts w:ascii="Arial" w:hAnsi="Arial" w:cs="Arial"/>
          <w:b/>
          <w:sz w:val="20"/>
          <w:szCs w:val="20"/>
        </w:rPr>
        <w:t>23</w:t>
      </w:r>
      <w:r w:rsidR="00F75E61" w:rsidRPr="00B6647E">
        <w:rPr>
          <w:rFonts w:ascii="Arial" w:hAnsi="Arial" w:cs="Arial"/>
          <w:b/>
          <w:sz w:val="20"/>
          <w:szCs w:val="20"/>
        </w:rPr>
        <w:t>7</w:t>
      </w:r>
      <w:r w:rsidRPr="00B6647E">
        <w:rPr>
          <w:rFonts w:ascii="Arial" w:hAnsi="Arial" w:cs="Arial"/>
          <w:b/>
          <w:sz w:val="20"/>
          <w:szCs w:val="20"/>
        </w:rPr>
        <w:t> : Nombre moyen d’heures de travail des ménages et de l’entraide par ménage</w:t>
      </w:r>
    </w:p>
    <w:p w:rsidR="00BF1C76" w:rsidRPr="00B6647E" w:rsidRDefault="00FC5871" w:rsidP="00E51ED6">
      <w:pPr>
        <w:spacing w:after="0" w:line="240" w:lineRule="auto"/>
        <w:rPr>
          <w:rFonts w:ascii="Arial" w:hAnsi="Arial" w:cs="Arial"/>
          <w:sz w:val="20"/>
          <w:szCs w:val="20"/>
          <w:lang w:val="fr-FR" w:eastAsia="fr-FR"/>
        </w:rPr>
      </w:pPr>
      <w:r w:rsidRPr="00B6647E">
        <w:rPr>
          <w:noProof/>
          <w:szCs w:val="20"/>
          <w:lang w:val="fr-FR" w:eastAsia="fr-FR"/>
        </w:rPr>
        <w:drawing>
          <wp:inline distT="0" distB="0" distL="0" distR="0">
            <wp:extent cx="5731510" cy="3335551"/>
            <wp:effectExtent l="19050" t="0" r="2540" b="0"/>
            <wp:docPr id="1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1" cstate="print"/>
                    <a:srcRect/>
                    <a:stretch>
                      <a:fillRect/>
                    </a:stretch>
                  </pic:blipFill>
                  <pic:spPr bwMode="auto">
                    <a:xfrm>
                      <a:off x="0" y="0"/>
                      <a:ext cx="5731510" cy="3335551"/>
                    </a:xfrm>
                    <a:prstGeom prst="rect">
                      <a:avLst/>
                    </a:prstGeom>
                    <a:noFill/>
                    <a:ln w="9525">
                      <a:noFill/>
                      <a:miter lim="800000"/>
                      <a:headEnd/>
                      <a:tailEnd/>
                    </a:ln>
                  </pic:spPr>
                </pic:pic>
              </a:graphicData>
            </a:graphic>
          </wp:inline>
        </w:drawing>
      </w:r>
    </w:p>
    <w:p w:rsidR="00F90E7A" w:rsidRPr="00B6647E" w:rsidRDefault="00F90E7A" w:rsidP="00F90E7A">
      <w:pPr>
        <w:spacing w:line="240" w:lineRule="auto"/>
        <w:jc w:val="both"/>
        <w:rPr>
          <w:rFonts w:ascii="Arial" w:hAnsi="Arial" w:cs="Arial"/>
          <w:sz w:val="20"/>
          <w:szCs w:val="20"/>
        </w:rPr>
      </w:pPr>
      <w:r w:rsidRPr="00B6647E">
        <w:rPr>
          <w:rFonts w:ascii="Arial" w:hAnsi="Arial" w:cs="Arial"/>
          <w:sz w:val="20"/>
          <w:szCs w:val="20"/>
        </w:rPr>
        <w:t>Au niveau national, la proportion moyenne des ménages qui ont bénéficié en saison A de l’entraide</w:t>
      </w:r>
      <w:r w:rsidRPr="00B6647E">
        <w:rPr>
          <w:vertAlign w:val="superscript"/>
        </w:rPr>
        <w:footnoteReference w:id="45"/>
      </w:r>
      <w:r w:rsidRPr="00B6647E">
        <w:rPr>
          <w:rFonts w:ascii="Arial" w:hAnsi="Arial" w:cs="Arial"/>
          <w:sz w:val="20"/>
          <w:szCs w:val="20"/>
        </w:rPr>
        <w:t xml:space="preserve"> a été estimée à 36,2%, soit 563.096 ménages. Cette proportion a été de 40,3%, soit 627.396 ménages au cours de la saison B  et de 24,8%, soit 385.920 ménages pendant la saison C.</w:t>
      </w:r>
      <w:r w:rsidR="00BD34F0" w:rsidRPr="00B6647E">
        <w:rPr>
          <w:rFonts w:ascii="Arial" w:hAnsi="Arial" w:cs="Arial"/>
          <w:sz w:val="20"/>
          <w:szCs w:val="20"/>
        </w:rPr>
        <w:t xml:space="preserve"> On a estimé à plus de 150.000 le nombre ménages qui ont fait appel à l’entraide pendant au moins l’une </w:t>
      </w:r>
      <w:r w:rsidR="00BD34F0" w:rsidRPr="00B6647E">
        <w:rPr>
          <w:rFonts w:ascii="Arial" w:hAnsi="Arial" w:cs="Arial"/>
          <w:sz w:val="20"/>
          <w:szCs w:val="20"/>
        </w:rPr>
        <w:lastRenderedPageBreak/>
        <w:t>des trois saisons dans Gitega (154.918 ménages) et Kayanza (151.456 ménages) et à moins de 50.000 ménages dans Cankuzo (39.801 ménages) et Rutana (47.029 ménages).</w:t>
      </w:r>
    </w:p>
    <w:p w:rsidR="00063E5A" w:rsidRPr="00B6647E" w:rsidRDefault="00063E5A" w:rsidP="00100228">
      <w:pPr>
        <w:spacing w:line="240" w:lineRule="auto"/>
        <w:jc w:val="both"/>
        <w:rPr>
          <w:rFonts w:ascii="Arial" w:hAnsi="Arial" w:cs="Arial"/>
          <w:sz w:val="20"/>
          <w:szCs w:val="20"/>
        </w:rPr>
      </w:pPr>
      <w:r w:rsidRPr="00B6647E">
        <w:rPr>
          <w:rFonts w:ascii="Arial" w:hAnsi="Arial" w:cs="Arial"/>
          <w:sz w:val="20"/>
          <w:szCs w:val="20"/>
        </w:rPr>
        <w:t xml:space="preserve">Au cours de la saison A, le nombre de ménages agricoles du pays qui ont fait recours à de la main-d’œuvre rémunérée a été estimée 120.476 ménages (7,7%). Ce nombre a été évalué 714.804 ménages (45,9%) pendant la saison B et à 413.334 </w:t>
      </w:r>
      <w:r w:rsidR="00754293" w:rsidRPr="00B6647E">
        <w:rPr>
          <w:rFonts w:ascii="Arial" w:hAnsi="Arial" w:cs="Arial"/>
          <w:sz w:val="20"/>
          <w:szCs w:val="20"/>
        </w:rPr>
        <w:t>ménages (</w:t>
      </w:r>
      <w:r w:rsidR="00100228" w:rsidRPr="00B6647E">
        <w:rPr>
          <w:rFonts w:ascii="Arial" w:hAnsi="Arial" w:cs="Arial"/>
          <w:sz w:val="20"/>
          <w:szCs w:val="20"/>
        </w:rPr>
        <w:t>26,6</w:t>
      </w:r>
      <w:r w:rsidRPr="00B6647E">
        <w:rPr>
          <w:rFonts w:ascii="Arial" w:hAnsi="Arial" w:cs="Arial"/>
          <w:sz w:val="20"/>
          <w:szCs w:val="20"/>
        </w:rPr>
        <w:t>%) en saison C.</w:t>
      </w:r>
      <w:r w:rsidR="00231614" w:rsidRPr="00B6647E">
        <w:rPr>
          <w:rFonts w:ascii="Arial" w:hAnsi="Arial" w:cs="Arial"/>
          <w:sz w:val="20"/>
          <w:szCs w:val="20"/>
        </w:rPr>
        <w:t xml:space="preserve"> Plus de 100.000 ménages ont eu recours à de la main-d’œuvre rémunéré</w:t>
      </w:r>
      <w:r w:rsidR="00536FB5" w:rsidRPr="00B6647E">
        <w:rPr>
          <w:rFonts w:ascii="Arial" w:hAnsi="Arial" w:cs="Arial"/>
          <w:sz w:val="20"/>
          <w:szCs w:val="20"/>
        </w:rPr>
        <w:t>e</w:t>
      </w:r>
      <w:r w:rsidR="00231614" w:rsidRPr="00B6647E">
        <w:rPr>
          <w:rFonts w:ascii="Arial" w:hAnsi="Arial" w:cs="Arial"/>
          <w:sz w:val="20"/>
          <w:szCs w:val="20"/>
        </w:rPr>
        <w:t xml:space="preserve"> toutes saisons confondues dans </w:t>
      </w:r>
      <w:r w:rsidR="00536FB5" w:rsidRPr="00B6647E">
        <w:rPr>
          <w:rFonts w:ascii="Arial" w:hAnsi="Arial" w:cs="Arial"/>
          <w:sz w:val="20"/>
          <w:szCs w:val="20"/>
        </w:rPr>
        <w:t>Kirundo (143.913 ménages), Gitega (124.788 ménages) et Kayanza (100.344 ménages). A l’opposé les provinces de Cankuzo (25.149 ménages) et Rutana (49.417 ménages) ont fait appel à la main-d’œuvre rémunérée dans au moins une saison.</w:t>
      </w:r>
    </w:p>
    <w:p w:rsidR="00100228" w:rsidRPr="00B6647E" w:rsidRDefault="00100228" w:rsidP="00100228">
      <w:pPr>
        <w:keepNext/>
        <w:jc w:val="both"/>
        <w:rPr>
          <w:rFonts w:ascii="Arial" w:hAnsi="Arial" w:cs="Arial"/>
          <w:b/>
          <w:sz w:val="20"/>
          <w:szCs w:val="20"/>
        </w:rPr>
      </w:pPr>
      <w:r w:rsidRPr="00B6647E">
        <w:rPr>
          <w:rFonts w:ascii="Arial" w:hAnsi="Arial" w:cs="Arial"/>
          <w:b/>
          <w:sz w:val="20"/>
          <w:szCs w:val="20"/>
        </w:rPr>
        <w:t xml:space="preserve">Tableau </w:t>
      </w:r>
      <w:r w:rsidR="007602F3">
        <w:rPr>
          <w:rFonts w:ascii="Arial" w:hAnsi="Arial" w:cs="Arial"/>
          <w:b/>
          <w:sz w:val="20"/>
          <w:szCs w:val="20"/>
        </w:rPr>
        <w:t>23</w:t>
      </w:r>
      <w:r w:rsidR="00F75E61" w:rsidRPr="00B6647E">
        <w:rPr>
          <w:rFonts w:ascii="Arial" w:hAnsi="Arial" w:cs="Arial"/>
          <w:b/>
          <w:sz w:val="20"/>
          <w:szCs w:val="20"/>
        </w:rPr>
        <w:t>8</w:t>
      </w:r>
      <w:r w:rsidRPr="00B6647E">
        <w:rPr>
          <w:rFonts w:ascii="Arial" w:hAnsi="Arial" w:cs="Arial"/>
          <w:b/>
          <w:sz w:val="20"/>
          <w:szCs w:val="20"/>
        </w:rPr>
        <w:t xml:space="preserve"> : Nombre de ménages agricoles qui ont fait recours à l’entraide </w:t>
      </w:r>
      <w:r w:rsidR="0012522A" w:rsidRPr="00B6647E">
        <w:rPr>
          <w:rFonts w:ascii="Arial" w:hAnsi="Arial" w:cs="Arial"/>
          <w:b/>
          <w:sz w:val="20"/>
          <w:szCs w:val="20"/>
        </w:rPr>
        <w:t xml:space="preserve">et la main d’œuvre rémunéré </w:t>
      </w:r>
      <w:r w:rsidRPr="00B6647E">
        <w:rPr>
          <w:rFonts w:ascii="Arial" w:hAnsi="Arial" w:cs="Arial"/>
          <w:b/>
          <w:sz w:val="20"/>
          <w:szCs w:val="20"/>
        </w:rPr>
        <w:t xml:space="preserve">par </w:t>
      </w:r>
      <w:r w:rsidR="00766CC4" w:rsidRPr="00B6647E">
        <w:rPr>
          <w:rFonts w:ascii="Arial" w:hAnsi="Arial" w:cs="Arial"/>
          <w:b/>
          <w:sz w:val="20"/>
          <w:szCs w:val="20"/>
        </w:rPr>
        <w:t>province</w:t>
      </w:r>
      <w:r w:rsidRPr="00B6647E">
        <w:rPr>
          <w:rFonts w:ascii="Arial" w:hAnsi="Arial" w:cs="Arial"/>
          <w:b/>
          <w:sz w:val="20"/>
          <w:szCs w:val="20"/>
        </w:rPr>
        <w:t xml:space="preserve"> et par saison</w:t>
      </w:r>
    </w:p>
    <w:p w:rsidR="00480D76" w:rsidRPr="00B6647E" w:rsidRDefault="00302B14" w:rsidP="00100228">
      <w:pPr>
        <w:spacing w:line="240" w:lineRule="auto"/>
        <w:jc w:val="both"/>
        <w:rPr>
          <w:rFonts w:ascii="Arial" w:hAnsi="Arial" w:cs="Arial"/>
          <w:sz w:val="20"/>
          <w:szCs w:val="20"/>
        </w:rPr>
      </w:pPr>
      <w:r w:rsidRPr="00B6647E">
        <w:rPr>
          <w:noProof/>
          <w:szCs w:val="20"/>
          <w:lang w:val="fr-FR" w:eastAsia="fr-FR"/>
        </w:rPr>
        <w:drawing>
          <wp:inline distT="0" distB="0" distL="0" distR="0">
            <wp:extent cx="5731510" cy="2916868"/>
            <wp:effectExtent l="19050" t="0" r="2540" b="0"/>
            <wp:docPr id="33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2" cstate="print"/>
                    <a:srcRect/>
                    <a:stretch>
                      <a:fillRect/>
                    </a:stretch>
                  </pic:blipFill>
                  <pic:spPr bwMode="auto">
                    <a:xfrm>
                      <a:off x="0" y="0"/>
                      <a:ext cx="5731510" cy="2916868"/>
                    </a:xfrm>
                    <a:prstGeom prst="rect">
                      <a:avLst/>
                    </a:prstGeom>
                    <a:noFill/>
                    <a:ln w="9525">
                      <a:noFill/>
                      <a:miter lim="800000"/>
                      <a:headEnd/>
                      <a:tailEnd/>
                    </a:ln>
                  </pic:spPr>
                </pic:pic>
              </a:graphicData>
            </a:graphic>
          </wp:inline>
        </w:drawing>
      </w:r>
    </w:p>
    <w:p w:rsidR="00063E5A" w:rsidRPr="00B6647E" w:rsidRDefault="00100228" w:rsidP="00100228">
      <w:pPr>
        <w:spacing w:line="240" w:lineRule="auto"/>
        <w:jc w:val="both"/>
        <w:rPr>
          <w:rFonts w:ascii="Arial" w:hAnsi="Arial" w:cs="Arial"/>
          <w:sz w:val="20"/>
          <w:szCs w:val="20"/>
        </w:rPr>
      </w:pPr>
      <w:r w:rsidRPr="00B6647E">
        <w:rPr>
          <w:rFonts w:ascii="Arial" w:hAnsi="Arial" w:cs="Arial"/>
          <w:sz w:val="20"/>
          <w:szCs w:val="20"/>
        </w:rPr>
        <w:t>La dépense moyenne de l</w:t>
      </w:r>
      <w:r w:rsidR="00F91E7B" w:rsidRPr="00B6647E">
        <w:rPr>
          <w:rFonts w:ascii="Arial" w:hAnsi="Arial" w:cs="Arial"/>
          <w:sz w:val="20"/>
          <w:szCs w:val="20"/>
        </w:rPr>
        <w:t xml:space="preserve">a </w:t>
      </w:r>
      <w:r w:rsidR="00B73CF8" w:rsidRPr="00B6647E">
        <w:rPr>
          <w:rFonts w:ascii="Arial" w:hAnsi="Arial" w:cs="Arial"/>
          <w:sz w:val="20"/>
          <w:szCs w:val="20"/>
        </w:rPr>
        <w:t>main-d’œuvre</w:t>
      </w:r>
      <w:r w:rsidRPr="00B6647E">
        <w:rPr>
          <w:rFonts w:ascii="Arial" w:hAnsi="Arial" w:cs="Arial"/>
          <w:sz w:val="20"/>
          <w:szCs w:val="20"/>
        </w:rPr>
        <w:t xml:space="preserve"> rémunérée pour les ménages qui y ont fait recours a été estimée à </w:t>
      </w:r>
      <w:r w:rsidR="00063E5A" w:rsidRPr="00B6647E">
        <w:rPr>
          <w:rFonts w:ascii="Arial" w:hAnsi="Arial" w:cs="Arial"/>
          <w:sz w:val="20"/>
          <w:szCs w:val="20"/>
        </w:rPr>
        <w:t>17</w:t>
      </w:r>
      <w:r w:rsidRPr="00B6647E">
        <w:rPr>
          <w:rFonts w:ascii="Arial" w:hAnsi="Arial" w:cs="Arial"/>
          <w:sz w:val="20"/>
          <w:szCs w:val="20"/>
        </w:rPr>
        <w:t>1</w:t>
      </w:r>
      <w:r w:rsidR="00063E5A" w:rsidRPr="00B6647E">
        <w:rPr>
          <w:rFonts w:ascii="Arial" w:hAnsi="Arial" w:cs="Arial"/>
          <w:sz w:val="20"/>
          <w:szCs w:val="20"/>
        </w:rPr>
        <w:t>.</w:t>
      </w:r>
      <w:r w:rsidRPr="00B6647E">
        <w:rPr>
          <w:rFonts w:ascii="Arial" w:hAnsi="Arial" w:cs="Arial"/>
          <w:sz w:val="20"/>
          <w:szCs w:val="20"/>
        </w:rPr>
        <w:t>871</w:t>
      </w:r>
      <w:r w:rsidR="00063E5A" w:rsidRPr="00B6647E">
        <w:rPr>
          <w:rFonts w:ascii="Arial" w:hAnsi="Arial" w:cs="Arial"/>
          <w:sz w:val="20"/>
          <w:szCs w:val="20"/>
        </w:rPr>
        <w:t xml:space="preserve"> FBu</w:t>
      </w:r>
      <w:r w:rsidRPr="00B6647E">
        <w:rPr>
          <w:rFonts w:ascii="Arial" w:hAnsi="Arial" w:cs="Arial"/>
          <w:sz w:val="20"/>
          <w:szCs w:val="20"/>
        </w:rPr>
        <w:t xml:space="preserve"> pendant la saison A, </w:t>
      </w:r>
      <w:r w:rsidR="00063E5A" w:rsidRPr="00B6647E">
        <w:rPr>
          <w:rFonts w:ascii="Arial" w:hAnsi="Arial" w:cs="Arial"/>
          <w:sz w:val="20"/>
          <w:szCs w:val="20"/>
        </w:rPr>
        <w:t xml:space="preserve">43.551 FBu </w:t>
      </w:r>
      <w:r w:rsidRPr="00B6647E">
        <w:rPr>
          <w:rFonts w:ascii="Arial" w:hAnsi="Arial" w:cs="Arial"/>
          <w:sz w:val="20"/>
          <w:szCs w:val="20"/>
        </w:rPr>
        <w:t xml:space="preserve">au cours de la saison C et à </w:t>
      </w:r>
      <w:r w:rsidR="00063E5A" w:rsidRPr="00B6647E">
        <w:rPr>
          <w:rFonts w:ascii="Arial" w:hAnsi="Arial" w:cs="Arial"/>
          <w:sz w:val="20"/>
          <w:szCs w:val="20"/>
        </w:rPr>
        <w:t xml:space="preserve">24.540 FBu </w:t>
      </w:r>
      <w:r w:rsidRPr="00B6647E">
        <w:rPr>
          <w:rFonts w:ascii="Arial" w:hAnsi="Arial" w:cs="Arial"/>
          <w:sz w:val="20"/>
          <w:szCs w:val="20"/>
        </w:rPr>
        <w:t>en saison C.</w:t>
      </w:r>
    </w:p>
    <w:p w:rsidR="000552AE" w:rsidRPr="00B6647E" w:rsidRDefault="000552AE" w:rsidP="00B73CF8">
      <w:pPr>
        <w:pStyle w:val="Titre2"/>
        <w:keepNext w:val="0"/>
        <w:numPr>
          <w:ilvl w:val="1"/>
          <w:numId w:val="1"/>
        </w:numPr>
        <w:spacing w:before="240" w:after="200"/>
        <w:ind w:left="0" w:firstLine="0"/>
        <w:rPr>
          <w:rFonts w:cs="Arial"/>
          <w:u w:val="dotDash"/>
        </w:rPr>
      </w:pPr>
      <w:bookmarkStart w:id="332" w:name="_Toc354313915"/>
      <w:r w:rsidRPr="00B6647E">
        <w:rPr>
          <w:rFonts w:cs="Arial"/>
          <w:u w:val="dotDash"/>
        </w:rPr>
        <w:t>Equipement</w:t>
      </w:r>
      <w:bookmarkEnd w:id="332"/>
    </w:p>
    <w:p w:rsidR="004B4F60" w:rsidRPr="00B6647E" w:rsidRDefault="004B4F60" w:rsidP="004B4F60">
      <w:pPr>
        <w:spacing w:line="240" w:lineRule="auto"/>
        <w:jc w:val="both"/>
        <w:rPr>
          <w:rFonts w:ascii="Arial" w:hAnsi="Arial" w:cs="Arial"/>
          <w:sz w:val="20"/>
          <w:szCs w:val="20"/>
        </w:rPr>
      </w:pPr>
      <w:r w:rsidRPr="00B6647E">
        <w:rPr>
          <w:rFonts w:ascii="Arial" w:hAnsi="Arial" w:cs="Arial"/>
          <w:sz w:val="20"/>
          <w:szCs w:val="20"/>
        </w:rPr>
        <w:t xml:space="preserve">Les ménages agricoles utilisent essentiellement des équipements agricoles rudimentaires. L’enquête a relevé que la houe est l’équipement le plus rependu </w:t>
      </w:r>
      <w:r w:rsidR="0088468A" w:rsidRPr="00B6647E">
        <w:rPr>
          <w:rFonts w:ascii="Arial" w:hAnsi="Arial" w:cs="Arial"/>
          <w:sz w:val="20"/>
          <w:szCs w:val="20"/>
        </w:rPr>
        <w:t xml:space="preserve">(99,3% des ménages agricoles) </w:t>
      </w:r>
      <w:r w:rsidRPr="00B6647E">
        <w:rPr>
          <w:rFonts w:ascii="Arial" w:hAnsi="Arial" w:cs="Arial"/>
          <w:sz w:val="20"/>
          <w:szCs w:val="20"/>
        </w:rPr>
        <w:t>et qu’un mé</w:t>
      </w:r>
      <w:r w:rsidR="0088468A" w:rsidRPr="00B6647E">
        <w:rPr>
          <w:rFonts w:ascii="Arial" w:hAnsi="Arial" w:cs="Arial"/>
          <w:sz w:val="20"/>
          <w:szCs w:val="20"/>
        </w:rPr>
        <w:t>nage en possède en moyenne 2,3.</w:t>
      </w:r>
    </w:p>
    <w:p w:rsidR="0088468A" w:rsidRPr="00B6647E" w:rsidRDefault="007602F3" w:rsidP="0088468A">
      <w:pPr>
        <w:keepNext/>
        <w:spacing w:line="240" w:lineRule="auto"/>
        <w:jc w:val="both"/>
        <w:rPr>
          <w:rFonts w:ascii="Arial" w:hAnsi="Arial" w:cs="Arial"/>
          <w:b/>
          <w:sz w:val="20"/>
          <w:szCs w:val="20"/>
        </w:rPr>
      </w:pPr>
      <w:r>
        <w:rPr>
          <w:rFonts w:ascii="Arial" w:hAnsi="Arial" w:cs="Arial"/>
          <w:b/>
          <w:sz w:val="20"/>
          <w:szCs w:val="20"/>
        </w:rPr>
        <w:lastRenderedPageBreak/>
        <w:t>Tableau 23</w:t>
      </w:r>
      <w:r w:rsidR="0088468A" w:rsidRPr="00B6647E">
        <w:rPr>
          <w:rFonts w:ascii="Arial" w:hAnsi="Arial" w:cs="Arial"/>
          <w:b/>
          <w:sz w:val="20"/>
          <w:szCs w:val="20"/>
        </w:rPr>
        <w:t>9 : Pourcentage de ménages agricoles selon l’utilisation des équipements</w:t>
      </w:r>
    </w:p>
    <w:p w:rsidR="0088468A" w:rsidRPr="00B6647E" w:rsidRDefault="0088468A" w:rsidP="004B4F60">
      <w:pPr>
        <w:spacing w:line="240" w:lineRule="auto"/>
        <w:jc w:val="both"/>
        <w:rPr>
          <w:rFonts w:ascii="Arial" w:hAnsi="Arial" w:cs="Arial"/>
          <w:sz w:val="20"/>
          <w:szCs w:val="20"/>
        </w:rPr>
      </w:pPr>
      <w:r w:rsidRPr="00B6647E">
        <w:rPr>
          <w:noProof/>
          <w:szCs w:val="20"/>
          <w:lang w:val="fr-FR" w:eastAsia="fr-FR"/>
        </w:rPr>
        <w:drawing>
          <wp:inline distT="0" distB="0" distL="0" distR="0">
            <wp:extent cx="5731510" cy="3224557"/>
            <wp:effectExtent l="19050" t="0" r="2540" b="0"/>
            <wp:docPr id="26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3" cstate="print"/>
                    <a:srcRect/>
                    <a:stretch>
                      <a:fillRect/>
                    </a:stretch>
                  </pic:blipFill>
                  <pic:spPr bwMode="auto">
                    <a:xfrm>
                      <a:off x="0" y="0"/>
                      <a:ext cx="5731510" cy="3224557"/>
                    </a:xfrm>
                    <a:prstGeom prst="rect">
                      <a:avLst/>
                    </a:prstGeom>
                    <a:noFill/>
                    <a:ln w="9525">
                      <a:noFill/>
                      <a:miter lim="800000"/>
                      <a:headEnd/>
                      <a:tailEnd/>
                    </a:ln>
                  </pic:spPr>
                </pic:pic>
              </a:graphicData>
            </a:graphic>
          </wp:inline>
        </w:drawing>
      </w:r>
    </w:p>
    <w:p w:rsidR="004B4F60" w:rsidRPr="00B6647E" w:rsidRDefault="0088468A" w:rsidP="004B4F60">
      <w:pPr>
        <w:spacing w:line="240" w:lineRule="auto"/>
        <w:jc w:val="both"/>
        <w:rPr>
          <w:rFonts w:ascii="Arial" w:hAnsi="Arial" w:cs="Arial"/>
          <w:sz w:val="20"/>
          <w:szCs w:val="20"/>
        </w:rPr>
      </w:pPr>
      <w:r w:rsidRPr="00B6647E">
        <w:rPr>
          <w:rFonts w:ascii="Arial" w:hAnsi="Arial" w:cs="Arial"/>
          <w:sz w:val="20"/>
          <w:szCs w:val="20"/>
        </w:rPr>
        <w:t>De même, 72,8</w:t>
      </w:r>
      <w:r w:rsidR="004B4F60" w:rsidRPr="00B6647E">
        <w:rPr>
          <w:rFonts w:ascii="Arial" w:hAnsi="Arial" w:cs="Arial"/>
          <w:sz w:val="20"/>
          <w:szCs w:val="20"/>
        </w:rPr>
        <w:t>% des ménages disposent d’une machette et le nombre moyen des machettes détenues par ménage s’élève à 1,1. La proportion des ménages qui détiennent  au moins une hache a été estimée à 54,</w:t>
      </w:r>
      <w:r w:rsidRPr="00B6647E">
        <w:rPr>
          <w:rFonts w:ascii="Arial" w:hAnsi="Arial" w:cs="Arial"/>
          <w:sz w:val="20"/>
          <w:szCs w:val="20"/>
        </w:rPr>
        <w:t>6</w:t>
      </w:r>
      <w:r w:rsidR="004B4F60" w:rsidRPr="00B6647E">
        <w:rPr>
          <w:rFonts w:ascii="Arial" w:hAnsi="Arial" w:cs="Arial"/>
          <w:sz w:val="20"/>
          <w:szCs w:val="20"/>
        </w:rPr>
        <w:t xml:space="preserve">%. D’autre part, les ménages possédant au moins un bidon représentent 88,6%, </w:t>
      </w:r>
      <w:r w:rsidRPr="00B6647E">
        <w:rPr>
          <w:rFonts w:ascii="Arial" w:hAnsi="Arial" w:cs="Arial"/>
          <w:sz w:val="20"/>
          <w:szCs w:val="20"/>
        </w:rPr>
        <w:t>ceux qui ont une radio sont 52,5</w:t>
      </w:r>
      <w:r w:rsidR="004B4F60" w:rsidRPr="00B6647E">
        <w:rPr>
          <w:rFonts w:ascii="Arial" w:hAnsi="Arial" w:cs="Arial"/>
          <w:sz w:val="20"/>
          <w:szCs w:val="20"/>
        </w:rPr>
        <w:t>% et 21,</w:t>
      </w:r>
      <w:r w:rsidRPr="00B6647E">
        <w:rPr>
          <w:rFonts w:ascii="Arial" w:hAnsi="Arial" w:cs="Arial"/>
          <w:sz w:val="20"/>
          <w:szCs w:val="20"/>
        </w:rPr>
        <w:t>5</w:t>
      </w:r>
      <w:r w:rsidR="004B4F60" w:rsidRPr="00B6647E">
        <w:rPr>
          <w:rFonts w:ascii="Arial" w:hAnsi="Arial" w:cs="Arial"/>
          <w:sz w:val="20"/>
          <w:szCs w:val="20"/>
        </w:rPr>
        <w:t>% possèdent un vélo.</w:t>
      </w:r>
      <w:r w:rsidR="00395B0E" w:rsidRPr="00B6647E">
        <w:rPr>
          <w:rFonts w:ascii="Arial" w:hAnsi="Arial" w:cs="Arial"/>
          <w:sz w:val="20"/>
          <w:szCs w:val="20"/>
        </w:rPr>
        <w:t xml:space="preserve"> </w:t>
      </w:r>
      <w:r w:rsidR="004B4F60" w:rsidRPr="00B6647E">
        <w:rPr>
          <w:rFonts w:ascii="Arial" w:hAnsi="Arial" w:cs="Arial"/>
          <w:sz w:val="20"/>
          <w:szCs w:val="20"/>
        </w:rPr>
        <w:t>A l’opposé, seulement 1,5% d’entre eux utilisent un pulvérisateur, 0,</w:t>
      </w:r>
      <w:r w:rsidRPr="00B6647E">
        <w:rPr>
          <w:rFonts w:ascii="Arial" w:hAnsi="Arial" w:cs="Arial"/>
          <w:sz w:val="20"/>
          <w:szCs w:val="20"/>
        </w:rPr>
        <w:t>2</w:t>
      </w:r>
      <w:r w:rsidR="004B4F60" w:rsidRPr="00B6647E">
        <w:rPr>
          <w:rFonts w:ascii="Arial" w:hAnsi="Arial" w:cs="Arial"/>
          <w:sz w:val="20"/>
          <w:szCs w:val="20"/>
        </w:rPr>
        <w:t>% un madudu</w:t>
      </w:r>
      <w:r w:rsidR="004B4F60" w:rsidRPr="00B6647E">
        <w:rPr>
          <w:rStyle w:val="Appelnotedebasdep"/>
          <w:rFonts w:ascii="Arial" w:hAnsi="Arial" w:cs="Arial"/>
          <w:sz w:val="20"/>
          <w:szCs w:val="20"/>
        </w:rPr>
        <w:footnoteReference w:id="46"/>
      </w:r>
      <w:r w:rsidR="004B4F60" w:rsidRPr="00B6647E">
        <w:rPr>
          <w:rFonts w:ascii="Arial" w:hAnsi="Arial" w:cs="Arial"/>
          <w:sz w:val="20"/>
          <w:szCs w:val="20"/>
        </w:rPr>
        <w:t>. Les motoculteurs et les tracteurs ne sont pratiquement pas utilisés par les ménages agricoles.</w:t>
      </w:r>
    </w:p>
    <w:p w:rsidR="000552AE" w:rsidRPr="00B6647E" w:rsidRDefault="000552AE" w:rsidP="00B73CF8">
      <w:pPr>
        <w:pStyle w:val="Titre2"/>
        <w:keepNext w:val="0"/>
        <w:numPr>
          <w:ilvl w:val="1"/>
          <w:numId w:val="1"/>
        </w:numPr>
        <w:spacing w:before="240" w:after="200"/>
        <w:ind w:left="0" w:firstLine="0"/>
        <w:rPr>
          <w:rFonts w:cs="Arial"/>
          <w:u w:val="dotDash"/>
        </w:rPr>
      </w:pPr>
      <w:bookmarkStart w:id="333" w:name="_Toc354313916"/>
      <w:r w:rsidRPr="00B6647E">
        <w:rPr>
          <w:rFonts w:cs="Arial"/>
          <w:u w:val="dotDash"/>
        </w:rPr>
        <w:t>Organisations des producteurs</w:t>
      </w:r>
      <w:bookmarkEnd w:id="333"/>
    </w:p>
    <w:p w:rsidR="00AE2D70" w:rsidRPr="00B6647E" w:rsidRDefault="0054488A" w:rsidP="0054488A">
      <w:pPr>
        <w:spacing w:after="0" w:line="240" w:lineRule="auto"/>
        <w:jc w:val="both"/>
        <w:rPr>
          <w:rFonts w:ascii="Arial" w:hAnsi="Arial" w:cs="Arial"/>
          <w:b/>
          <w:sz w:val="20"/>
          <w:szCs w:val="20"/>
        </w:rPr>
      </w:pPr>
      <w:r w:rsidRPr="00B6647E">
        <w:rPr>
          <w:rFonts w:ascii="Arial" w:hAnsi="Arial" w:cs="Arial"/>
          <w:b/>
          <w:sz w:val="20"/>
          <w:szCs w:val="20"/>
        </w:rPr>
        <w:t>T</w:t>
      </w:r>
      <w:r w:rsidR="00AE2D70" w:rsidRPr="00B6647E">
        <w:rPr>
          <w:rFonts w:ascii="Arial" w:hAnsi="Arial" w:cs="Arial"/>
          <w:b/>
          <w:sz w:val="20"/>
          <w:szCs w:val="20"/>
        </w:rPr>
        <w:t xml:space="preserve">ableau </w:t>
      </w:r>
      <w:r w:rsidR="007602F3">
        <w:rPr>
          <w:rFonts w:ascii="Arial" w:hAnsi="Arial" w:cs="Arial"/>
          <w:b/>
          <w:sz w:val="20"/>
          <w:szCs w:val="20"/>
        </w:rPr>
        <w:t>24</w:t>
      </w:r>
      <w:r w:rsidR="00F75E61" w:rsidRPr="00B6647E">
        <w:rPr>
          <w:rFonts w:ascii="Arial" w:hAnsi="Arial" w:cs="Arial"/>
          <w:b/>
          <w:sz w:val="20"/>
          <w:szCs w:val="20"/>
        </w:rPr>
        <w:t>0</w:t>
      </w:r>
      <w:r w:rsidR="00AE2D70" w:rsidRPr="00B6647E">
        <w:rPr>
          <w:rFonts w:ascii="Arial" w:hAnsi="Arial" w:cs="Arial"/>
          <w:b/>
          <w:sz w:val="20"/>
          <w:szCs w:val="20"/>
        </w:rPr>
        <w:t> : Nombre de ménages adhérant à une organisation professionnelle par saison</w:t>
      </w:r>
    </w:p>
    <w:p w:rsidR="00AE2D70" w:rsidRPr="00B6647E" w:rsidRDefault="00AE2D70" w:rsidP="006C4F3E">
      <w:pPr>
        <w:spacing w:line="240" w:lineRule="auto"/>
        <w:jc w:val="both"/>
        <w:rPr>
          <w:rFonts w:ascii="Arial" w:hAnsi="Arial" w:cs="Arial"/>
          <w:sz w:val="20"/>
          <w:szCs w:val="20"/>
        </w:rPr>
      </w:pPr>
      <w:r w:rsidRPr="00B6647E">
        <w:rPr>
          <w:noProof/>
          <w:szCs w:val="20"/>
          <w:lang w:val="fr-FR" w:eastAsia="fr-FR"/>
        </w:rPr>
        <w:drawing>
          <wp:inline distT="0" distB="0" distL="0" distR="0">
            <wp:extent cx="5619750" cy="3457575"/>
            <wp:effectExtent l="19050" t="0" r="0"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4" cstate="print"/>
                    <a:srcRect/>
                    <a:stretch>
                      <a:fillRect/>
                    </a:stretch>
                  </pic:blipFill>
                  <pic:spPr bwMode="auto">
                    <a:xfrm>
                      <a:off x="0" y="0"/>
                      <a:ext cx="5619750" cy="3457575"/>
                    </a:xfrm>
                    <a:prstGeom prst="rect">
                      <a:avLst/>
                    </a:prstGeom>
                    <a:noFill/>
                    <a:ln w="9525">
                      <a:noFill/>
                      <a:miter lim="800000"/>
                      <a:headEnd/>
                      <a:tailEnd/>
                    </a:ln>
                  </pic:spPr>
                </pic:pic>
              </a:graphicData>
            </a:graphic>
          </wp:inline>
        </w:drawing>
      </w:r>
    </w:p>
    <w:p w:rsidR="00395B0E" w:rsidRPr="00B6647E" w:rsidRDefault="00395B0E" w:rsidP="00395B0E">
      <w:pPr>
        <w:spacing w:line="240" w:lineRule="auto"/>
        <w:jc w:val="both"/>
        <w:rPr>
          <w:rFonts w:ascii="Arial" w:hAnsi="Arial" w:cs="Arial"/>
          <w:sz w:val="20"/>
          <w:szCs w:val="20"/>
        </w:rPr>
      </w:pPr>
      <w:r w:rsidRPr="00B6647E">
        <w:rPr>
          <w:rFonts w:ascii="Arial" w:hAnsi="Arial" w:cs="Arial"/>
          <w:sz w:val="20"/>
          <w:szCs w:val="20"/>
        </w:rPr>
        <w:lastRenderedPageBreak/>
        <w:t>La proportion des ménages agricoles adhérant à une organisation professionnelle a été estimée à 24,5% au cours de la saison A, soit 381.760 ménages. Cette proportion a été évaluée à 15,3% pendant la saison B correspondant à 238.860 ménages et à 14% en saison C, soit  217.407 ménages.</w:t>
      </w:r>
    </w:p>
    <w:p w:rsidR="00A86748" w:rsidRPr="00B6647E" w:rsidRDefault="008746AF" w:rsidP="006C4F3E">
      <w:pPr>
        <w:spacing w:line="240" w:lineRule="auto"/>
        <w:jc w:val="both"/>
        <w:rPr>
          <w:rFonts w:ascii="Arial" w:hAnsi="Arial" w:cs="Arial"/>
          <w:sz w:val="20"/>
          <w:szCs w:val="20"/>
        </w:rPr>
      </w:pPr>
      <w:r w:rsidRPr="00B6647E">
        <w:rPr>
          <w:rFonts w:ascii="Arial" w:hAnsi="Arial" w:cs="Arial"/>
          <w:sz w:val="20"/>
          <w:szCs w:val="20"/>
        </w:rPr>
        <w:t>L</w:t>
      </w:r>
      <w:r w:rsidR="00A86748" w:rsidRPr="00B6647E">
        <w:rPr>
          <w:rFonts w:ascii="Arial" w:hAnsi="Arial" w:cs="Arial"/>
          <w:sz w:val="20"/>
          <w:szCs w:val="20"/>
        </w:rPr>
        <w:t xml:space="preserve">’encadrement des membres des ménages </w:t>
      </w:r>
      <w:r w:rsidRPr="00B6647E">
        <w:rPr>
          <w:rFonts w:ascii="Arial" w:hAnsi="Arial" w:cs="Arial"/>
          <w:sz w:val="20"/>
          <w:szCs w:val="20"/>
        </w:rPr>
        <w:t>a été estimé</w:t>
      </w:r>
      <w:r w:rsidR="001B0A95" w:rsidRPr="00B6647E">
        <w:rPr>
          <w:rFonts w:ascii="Arial" w:hAnsi="Arial" w:cs="Arial"/>
          <w:sz w:val="20"/>
          <w:szCs w:val="20"/>
        </w:rPr>
        <w:t xml:space="preserve"> à 15,3</w:t>
      </w:r>
      <w:r w:rsidR="00A86748" w:rsidRPr="00B6647E">
        <w:rPr>
          <w:rFonts w:ascii="Arial" w:hAnsi="Arial" w:cs="Arial"/>
          <w:sz w:val="20"/>
          <w:szCs w:val="20"/>
        </w:rPr>
        <w:t xml:space="preserve">% </w:t>
      </w:r>
      <w:r w:rsidR="001B0A95" w:rsidRPr="00B6647E">
        <w:rPr>
          <w:rFonts w:ascii="Arial" w:hAnsi="Arial" w:cs="Arial"/>
          <w:sz w:val="20"/>
          <w:szCs w:val="20"/>
        </w:rPr>
        <w:t>(237</w:t>
      </w:r>
      <w:r w:rsidR="00450046" w:rsidRPr="00B6647E">
        <w:rPr>
          <w:rFonts w:ascii="Arial" w:hAnsi="Arial" w:cs="Arial"/>
          <w:sz w:val="20"/>
          <w:szCs w:val="20"/>
        </w:rPr>
        <w:t>.</w:t>
      </w:r>
      <w:r w:rsidR="001B0A95" w:rsidRPr="00B6647E">
        <w:rPr>
          <w:rFonts w:ascii="Arial" w:hAnsi="Arial" w:cs="Arial"/>
          <w:sz w:val="20"/>
          <w:szCs w:val="20"/>
        </w:rPr>
        <w:t>677</w:t>
      </w:r>
      <w:r w:rsidR="00450046" w:rsidRPr="00B6647E">
        <w:rPr>
          <w:rFonts w:ascii="Arial" w:hAnsi="Arial" w:cs="Arial"/>
          <w:sz w:val="20"/>
          <w:szCs w:val="20"/>
        </w:rPr>
        <w:t xml:space="preserve"> ménages) </w:t>
      </w:r>
      <w:r w:rsidRPr="00B6647E">
        <w:rPr>
          <w:rFonts w:ascii="Arial" w:hAnsi="Arial" w:cs="Arial"/>
          <w:sz w:val="20"/>
          <w:szCs w:val="20"/>
        </w:rPr>
        <w:t xml:space="preserve">pendant la saison A contre 8,9% </w:t>
      </w:r>
      <w:r w:rsidR="00450046" w:rsidRPr="00B6647E">
        <w:rPr>
          <w:rFonts w:ascii="Arial" w:hAnsi="Arial" w:cs="Arial"/>
          <w:sz w:val="20"/>
          <w:szCs w:val="20"/>
        </w:rPr>
        <w:t>(138.</w:t>
      </w:r>
      <w:r w:rsidR="00902EA7" w:rsidRPr="00B6647E">
        <w:rPr>
          <w:rFonts w:ascii="Arial" w:hAnsi="Arial" w:cs="Arial"/>
          <w:sz w:val="20"/>
          <w:szCs w:val="20"/>
        </w:rPr>
        <w:t>982</w:t>
      </w:r>
      <w:r w:rsidR="00450046" w:rsidRPr="00B6647E">
        <w:rPr>
          <w:rFonts w:ascii="Arial" w:hAnsi="Arial" w:cs="Arial"/>
          <w:sz w:val="20"/>
          <w:szCs w:val="20"/>
        </w:rPr>
        <w:t xml:space="preserve"> ménages) </w:t>
      </w:r>
      <w:r w:rsidRPr="00B6647E">
        <w:rPr>
          <w:rFonts w:ascii="Arial" w:hAnsi="Arial" w:cs="Arial"/>
          <w:sz w:val="20"/>
          <w:szCs w:val="20"/>
        </w:rPr>
        <w:t xml:space="preserve">en saison B et </w:t>
      </w:r>
      <w:r w:rsidR="00902EA7" w:rsidRPr="00B6647E">
        <w:rPr>
          <w:rFonts w:ascii="Arial" w:hAnsi="Arial" w:cs="Arial"/>
          <w:sz w:val="20"/>
          <w:szCs w:val="20"/>
        </w:rPr>
        <w:t xml:space="preserve">8,9% (139.283 ménages) </w:t>
      </w:r>
      <w:r w:rsidRPr="00B6647E">
        <w:rPr>
          <w:rFonts w:ascii="Arial" w:hAnsi="Arial" w:cs="Arial"/>
          <w:sz w:val="20"/>
          <w:szCs w:val="20"/>
        </w:rPr>
        <w:t>au cours de la saison C.</w:t>
      </w:r>
      <w:r w:rsidR="00A86748" w:rsidRPr="00B6647E">
        <w:rPr>
          <w:rFonts w:ascii="Arial" w:hAnsi="Arial" w:cs="Arial"/>
          <w:sz w:val="20"/>
          <w:szCs w:val="20"/>
        </w:rPr>
        <w:t xml:space="preserve"> </w:t>
      </w:r>
    </w:p>
    <w:p w:rsidR="00395B0E" w:rsidRPr="00B6647E" w:rsidRDefault="00640707" w:rsidP="003942EF">
      <w:pPr>
        <w:spacing w:line="240" w:lineRule="auto"/>
        <w:jc w:val="both"/>
        <w:rPr>
          <w:rFonts w:ascii="Arial" w:hAnsi="Arial" w:cs="Arial"/>
          <w:sz w:val="20"/>
          <w:szCs w:val="20"/>
        </w:rPr>
      </w:pPr>
      <w:r w:rsidRPr="00B6647E">
        <w:rPr>
          <w:rFonts w:ascii="Arial" w:hAnsi="Arial" w:cs="Arial"/>
          <w:sz w:val="20"/>
          <w:szCs w:val="20"/>
        </w:rPr>
        <w:t xml:space="preserve">Parmi les ménages </w:t>
      </w:r>
      <w:r w:rsidR="006C4F3E" w:rsidRPr="00B6647E">
        <w:rPr>
          <w:rFonts w:ascii="Arial" w:hAnsi="Arial" w:cs="Arial"/>
          <w:sz w:val="20"/>
          <w:szCs w:val="20"/>
        </w:rPr>
        <w:t>encadrés</w:t>
      </w:r>
      <w:r w:rsidRPr="00B6647E">
        <w:rPr>
          <w:rFonts w:ascii="Arial" w:hAnsi="Arial" w:cs="Arial"/>
          <w:sz w:val="20"/>
          <w:szCs w:val="20"/>
        </w:rPr>
        <w:t xml:space="preserve"> </w:t>
      </w:r>
      <w:r w:rsidR="006C4F3E" w:rsidRPr="00B6647E">
        <w:rPr>
          <w:rFonts w:ascii="Arial" w:hAnsi="Arial" w:cs="Arial"/>
          <w:sz w:val="20"/>
          <w:szCs w:val="20"/>
        </w:rPr>
        <w:t xml:space="preserve">il </w:t>
      </w:r>
      <w:r w:rsidRPr="00B6647E">
        <w:rPr>
          <w:rFonts w:ascii="Arial" w:hAnsi="Arial" w:cs="Arial"/>
          <w:sz w:val="20"/>
          <w:szCs w:val="20"/>
        </w:rPr>
        <w:t>y a 51,5% d’entre eux qui l’ont été</w:t>
      </w:r>
      <w:r w:rsidR="00A86748" w:rsidRPr="00B6647E">
        <w:rPr>
          <w:rFonts w:ascii="Arial" w:hAnsi="Arial" w:cs="Arial"/>
          <w:sz w:val="20"/>
          <w:szCs w:val="20"/>
        </w:rPr>
        <w:t xml:space="preserve"> par les ONG/Projets</w:t>
      </w:r>
      <w:r w:rsidRPr="00B6647E">
        <w:rPr>
          <w:rFonts w:ascii="Arial" w:hAnsi="Arial" w:cs="Arial"/>
          <w:sz w:val="20"/>
          <w:szCs w:val="20"/>
        </w:rPr>
        <w:t xml:space="preserve"> </w:t>
      </w:r>
      <w:r w:rsidR="006C4F3E" w:rsidRPr="00B6647E">
        <w:rPr>
          <w:rFonts w:ascii="Arial" w:hAnsi="Arial" w:cs="Arial"/>
          <w:sz w:val="20"/>
          <w:szCs w:val="20"/>
        </w:rPr>
        <w:t xml:space="preserve">en saison A </w:t>
      </w:r>
      <w:r w:rsidR="003332AA" w:rsidRPr="00B6647E">
        <w:rPr>
          <w:rFonts w:ascii="Arial" w:hAnsi="Arial" w:cs="Arial"/>
          <w:sz w:val="20"/>
          <w:szCs w:val="20"/>
        </w:rPr>
        <w:t>(12</w:t>
      </w:r>
      <w:r w:rsidR="00491FCF" w:rsidRPr="00B6647E">
        <w:rPr>
          <w:rFonts w:ascii="Arial" w:hAnsi="Arial" w:cs="Arial"/>
          <w:sz w:val="20"/>
          <w:szCs w:val="20"/>
        </w:rPr>
        <w:t>2</w:t>
      </w:r>
      <w:r w:rsidR="003332AA" w:rsidRPr="00B6647E">
        <w:rPr>
          <w:rFonts w:ascii="Arial" w:hAnsi="Arial" w:cs="Arial"/>
          <w:sz w:val="20"/>
          <w:szCs w:val="20"/>
        </w:rPr>
        <w:t>.</w:t>
      </w:r>
      <w:r w:rsidR="00491FCF" w:rsidRPr="00B6647E">
        <w:rPr>
          <w:rFonts w:ascii="Arial" w:hAnsi="Arial" w:cs="Arial"/>
          <w:sz w:val="20"/>
          <w:szCs w:val="20"/>
        </w:rPr>
        <w:t>404</w:t>
      </w:r>
      <w:r w:rsidR="003332AA" w:rsidRPr="00B6647E">
        <w:rPr>
          <w:rFonts w:ascii="Arial" w:hAnsi="Arial" w:cs="Arial"/>
          <w:sz w:val="20"/>
          <w:szCs w:val="20"/>
        </w:rPr>
        <w:t xml:space="preserve"> ménages) </w:t>
      </w:r>
      <w:r w:rsidR="006C4F3E" w:rsidRPr="00B6647E">
        <w:rPr>
          <w:rFonts w:ascii="Arial" w:hAnsi="Arial" w:cs="Arial"/>
          <w:sz w:val="20"/>
          <w:szCs w:val="20"/>
        </w:rPr>
        <w:t xml:space="preserve">contre </w:t>
      </w:r>
      <w:r w:rsidRPr="00B6647E">
        <w:rPr>
          <w:rFonts w:ascii="Arial" w:hAnsi="Arial" w:cs="Arial"/>
          <w:sz w:val="20"/>
          <w:szCs w:val="20"/>
        </w:rPr>
        <w:t xml:space="preserve">54,8% </w:t>
      </w:r>
      <w:r w:rsidR="006C4F3E" w:rsidRPr="00B6647E">
        <w:rPr>
          <w:rFonts w:ascii="Arial" w:hAnsi="Arial" w:cs="Arial"/>
          <w:sz w:val="20"/>
          <w:szCs w:val="20"/>
        </w:rPr>
        <w:t>pendant la</w:t>
      </w:r>
      <w:r w:rsidRPr="00B6647E">
        <w:rPr>
          <w:rFonts w:ascii="Arial" w:hAnsi="Arial" w:cs="Arial"/>
          <w:sz w:val="20"/>
          <w:szCs w:val="20"/>
        </w:rPr>
        <w:t xml:space="preserve"> saison B </w:t>
      </w:r>
      <w:r w:rsidR="003332AA" w:rsidRPr="00B6647E">
        <w:rPr>
          <w:rFonts w:ascii="Arial" w:hAnsi="Arial" w:cs="Arial"/>
          <w:sz w:val="20"/>
          <w:szCs w:val="20"/>
        </w:rPr>
        <w:t>(7</w:t>
      </w:r>
      <w:r w:rsidR="00491FCF" w:rsidRPr="00B6647E">
        <w:rPr>
          <w:rFonts w:ascii="Arial" w:hAnsi="Arial" w:cs="Arial"/>
          <w:sz w:val="20"/>
          <w:szCs w:val="20"/>
        </w:rPr>
        <w:t>6</w:t>
      </w:r>
      <w:r w:rsidR="003332AA" w:rsidRPr="00B6647E">
        <w:rPr>
          <w:rFonts w:ascii="Arial" w:hAnsi="Arial" w:cs="Arial"/>
          <w:sz w:val="20"/>
          <w:szCs w:val="20"/>
        </w:rPr>
        <w:t>.</w:t>
      </w:r>
      <w:r w:rsidR="00491FCF" w:rsidRPr="00B6647E">
        <w:rPr>
          <w:rFonts w:ascii="Arial" w:hAnsi="Arial" w:cs="Arial"/>
          <w:sz w:val="20"/>
          <w:szCs w:val="20"/>
        </w:rPr>
        <w:t>162</w:t>
      </w:r>
      <w:r w:rsidR="003332AA" w:rsidRPr="00B6647E">
        <w:rPr>
          <w:rFonts w:ascii="Arial" w:hAnsi="Arial" w:cs="Arial"/>
          <w:sz w:val="20"/>
          <w:szCs w:val="20"/>
        </w:rPr>
        <w:t xml:space="preserve"> ménages) </w:t>
      </w:r>
      <w:r w:rsidRPr="00B6647E">
        <w:rPr>
          <w:rFonts w:ascii="Arial" w:hAnsi="Arial" w:cs="Arial"/>
          <w:sz w:val="20"/>
          <w:szCs w:val="20"/>
        </w:rPr>
        <w:t xml:space="preserve">et 50% </w:t>
      </w:r>
      <w:r w:rsidR="006C4F3E" w:rsidRPr="00B6647E">
        <w:rPr>
          <w:rFonts w:ascii="Arial" w:hAnsi="Arial" w:cs="Arial"/>
          <w:sz w:val="20"/>
          <w:szCs w:val="20"/>
        </w:rPr>
        <w:t>au cours de la s</w:t>
      </w:r>
      <w:r w:rsidRPr="00B6647E">
        <w:rPr>
          <w:rFonts w:ascii="Arial" w:hAnsi="Arial" w:cs="Arial"/>
          <w:sz w:val="20"/>
          <w:szCs w:val="20"/>
        </w:rPr>
        <w:t>aison C</w:t>
      </w:r>
      <w:r w:rsidR="0054488A" w:rsidRPr="00B6647E">
        <w:rPr>
          <w:rFonts w:ascii="Arial" w:hAnsi="Arial" w:cs="Arial"/>
          <w:sz w:val="20"/>
          <w:szCs w:val="20"/>
        </w:rPr>
        <w:t xml:space="preserve"> (69.641 </w:t>
      </w:r>
      <w:r w:rsidR="003332AA" w:rsidRPr="00B6647E">
        <w:rPr>
          <w:rFonts w:ascii="Arial" w:hAnsi="Arial" w:cs="Arial"/>
          <w:sz w:val="20"/>
          <w:szCs w:val="20"/>
        </w:rPr>
        <w:t>ménages)</w:t>
      </w:r>
      <w:r w:rsidR="00395B0E" w:rsidRPr="00B6647E">
        <w:rPr>
          <w:rFonts w:ascii="Arial" w:hAnsi="Arial" w:cs="Arial"/>
          <w:sz w:val="20"/>
          <w:szCs w:val="20"/>
        </w:rPr>
        <w:t>.</w:t>
      </w:r>
    </w:p>
    <w:p w:rsidR="006C4F3E" w:rsidRPr="00B6647E" w:rsidRDefault="00640707" w:rsidP="003942EF">
      <w:pPr>
        <w:spacing w:line="240" w:lineRule="auto"/>
        <w:jc w:val="both"/>
        <w:rPr>
          <w:rFonts w:ascii="Arial" w:hAnsi="Arial" w:cs="Arial"/>
          <w:sz w:val="20"/>
          <w:szCs w:val="20"/>
        </w:rPr>
      </w:pPr>
      <w:r w:rsidRPr="00B6647E">
        <w:rPr>
          <w:rFonts w:ascii="Arial" w:hAnsi="Arial" w:cs="Arial"/>
          <w:sz w:val="20"/>
          <w:szCs w:val="20"/>
        </w:rPr>
        <w:t>Les structures étatiques ont encadré 39,</w:t>
      </w:r>
      <w:r w:rsidR="0054488A" w:rsidRPr="00B6647E">
        <w:rPr>
          <w:rFonts w:ascii="Arial" w:hAnsi="Arial" w:cs="Arial"/>
          <w:sz w:val="20"/>
          <w:szCs w:val="20"/>
        </w:rPr>
        <w:t>9</w:t>
      </w:r>
      <w:r w:rsidRPr="00B6647E">
        <w:rPr>
          <w:rFonts w:ascii="Arial" w:hAnsi="Arial" w:cs="Arial"/>
          <w:sz w:val="20"/>
          <w:szCs w:val="20"/>
        </w:rPr>
        <w:t>% des ménages encadrés</w:t>
      </w:r>
      <w:r w:rsidR="006C4F3E" w:rsidRPr="00B6647E">
        <w:rPr>
          <w:rFonts w:ascii="Arial" w:hAnsi="Arial" w:cs="Arial"/>
          <w:sz w:val="20"/>
          <w:szCs w:val="20"/>
        </w:rPr>
        <w:t xml:space="preserve"> pendant la saison A</w:t>
      </w:r>
      <w:r w:rsidRPr="00B6647E">
        <w:rPr>
          <w:rFonts w:ascii="Arial" w:hAnsi="Arial" w:cs="Arial"/>
          <w:sz w:val="20"/>
          <w:szCs w:val="20"/>
        </w:rPr>
        <w:t xml:space="preserve"> </w:t>
      </w:r>
      <w:r w:rsidR="0054488A" w:rsidRPr="00B6647E">
        <w:rPr>
          <w:rFonts w:ascii="Arial" w:hAnsi="Arial" w:cs="Arial"/>
          <w:sz w:val="20"/>
          <w:szCs w:val="20"/>
        </w:rPr>
        <w:t>(94.833</w:t>
      </w:r>
      <w:r w:rsidR="003332AA" w:rsidRPr="00B6647E">
        <w:rPr>
          <w:rFonts w:ascii="Arial" w:hAnsi="Arial" w:cs="Arial"/>
          <w:sz w:val="20"/>
          <w:szCs w:val="20"/>
        </w:rPr>
        <w:t xml:space="preserve"> ménages) </w:t>
      </w:r>
      <w:r w:rsidRPr="00B6647E">
        <w:rPr>
          <w:rFonts w:ascii="Arial" w:hAnsi="Arial" w:cs="Arial"/>
          <w:sz w:val="20"/>
          <w:szCs w:val="20"/>
        </w:rPr>
        <w:t xml:space="preserve">contre 34,8% en saison B </w:t>
      </w:r>
      <w:r w:rsidR="003332AA" w:rsidRPr="00B6647E">
        <w:rPr>
          <w:rFonts w:ascii="Arial" w:hAnsi="Arial" w:cs="Arial"/>
          <w:sz w:val="20"/>
          <w:szCs w:val="20"/>
        </w:rPr>
        <w:t>(48.</w:t>
      </w:r>
      <w:r w:rsidR="0054488A" w:rsidRPr="00B6647E">
        <w:rPr>
          <w:rFonts w:ascii="Arial" w:hAnsi="Arial" w:cs="Arial"/>
          <w:sz w:val="20"/>
          <w:szCs w:val="20"/>
        </w:rPr>
        <w:t>366</w:t>
      </w:r>
      <w:r w:rsidR="003332AA" w:rsidRPr="00B6647E">
        <w:rPr>
          <w:rFonts w:ascii="Arial" w:hAnsi="Arial" w:cs="Arial"/>
          <w:sz w:val="20"/>
          <w:szCs w:val="20"/>
        </w:rPr>
        <w:t xml:space="preserve"> ménages) </w:t>
      </w:r>
      <w:r w:rsidRPr="00B6647E">
        <w:rPr>
          <w:rFonts w:ascii="Arial" w:hAnsi="Arial" w:cs="Arial"/>
          <w:sz w:val="20"/>
          <w:szCs w:val="20"/>
        </w:rPr>
        <w:t xml:space="preserve">et 41% </w:t>
      </w:r>
      <w:r w:rsidR="006C4F3E" w:rsidRPr="00B6647E">
        <w:rPr>
          <w:rFonts w:ascii="Arial" w:hAnsi="Arial" w:cs="Arial"/>
          <w:sz w:val="20"/>
          <w:szCs w:val="20"/>
        </w:rPr>
        <w:t>au cours de la</w:t>
      </w:r>
      <w:r w:rsidRPr="00B6647E">
        <w:rPr>
          <w:rFonts w:ascii="Arial" w:hAnsi="Arial" w:cs="Arial"/>
          <w:sz w:val="20"/>
          <w:szCs w:val="20"/>
        </w:rPr>
        <w:t xml:space="preserve"> saison C</w:t>
      </w:r>
      <w:r w:rsidR="003332AA" w:rsidRPr="00B6647E">
        <w:rPr>
          <w:rFonts w:ascii="Arial" w:hAnsi="Arial" w:cs="Arial"/>
          <w:sz w:val="20"/>
          <w:szCs w:val="20"/>
        </w:rPr>
        <w:t xml:space="preserve"> (5</w:t>
      </w:r>
      <w:r w:rsidR="0054488A" w:rsidRPr="00B6647E">
        <w:rPr>
          <w:rFonts w:ascii="Arial" w:hAnsi="Arial" w:cs="Arial"/>
          <w:sz w:val="20"/>
          <w:szCs w:val="20"/>
        </w:rPr>
        <w:t>7</w:t>
      </w:r>
      <w:r w:rsidR="003332AA" w:rsidRPr="00B6647E">
        <w:rPr>
          <w:rFonts w:ascii="Arial" w:hAnsi="Arial" w:cs="Arial"/>
          <w:sz w:val="20"/>
          <w:szCs w:val="20"/>
        </w:rPr>
        <w:t>.</w:t>
      </w:r>
      <w:r w:rsidR="0054488A" w:rsidRPr="00B6647E">
        <w:rPr>
          <w:rFonts w:ascii="Arial" w:hAnsi="Arial" w:cs="Arial"/>
          <w:sz w:val="20"/>
          <w:szCs w:val="20"/>
        </w:rPr>
        <w:t>106</w:t>
      </w:r>
      <w:r w:rsidR="003332AA" w:rsidRPr="00B6647E">
        <w:rPr>
          <w:rFonts w:ascii="Arial" w:hAnsi="Arial" w:cs="Arial"/>
          <w:sz w:val="20"/>
          <w:szCs w:val="20"/>
        </w:rPr>
        <w:t xml:space="preserve"> ménages).</w:t>
      </w:r>
    </w:p>
    <w:p w:rsidR="00AE2D70" w:rsidRPr="00B6647E" w:rsidRDefault="00AE2D70" w:rsidP="0054488A">
      <w:pPr>
        <w:spacing w:after="0" w:line="240" w:lineRule="auto"/>
        <w:jc w:val="both"/>
        <w:rPr>
          <w:rFonts w:ascii="Arial" w:hAnsi="Arial" w:cs="Arial"/>
          <w:b/>
          <w:sz w:val="20"/>
          <w:szCs w:val="20"/>
        </w:rPr>
      </w:pPr>
      <w:r w:rsidRPr="00B6647E">
        <w:rPr>
          <w:rFonts w:ascii="Arial" w:hAnsi="Arial" w:cs="Arial"/>
          <w:b/>
          <w:sz w:val="20"/>
          <w:szCs w:val="20"/>
        </w:rPr>
        <w:t xml:space="preserve">Tableau </w:t>
      </w:r>
      <w:r w:rsidR="007602F3">
        <w:rPr>
          <w:rFonts w:ascii="Arial" w:hAnsi="Arial" w:cs="Arial"/>
          <w:b/>
          <w:sz w:val="20"/>
          <w:szCs w:val="20"/>
        </w:rPr>
        <w:t>24</w:t>
      </w:r>
      <w:r w:rsidR="00F75E61" w:rsidRPr="00B6647E">
        <w:rPr>
          <w:rFonts w:ascii="Arial" w:hAnsi="Arial" w:cs="Arial"/>
          <w:b/>
          <w:sz w:val="20"/>
          <w:szCs w:val="20"/>
        </w:rPr>
        <w:t>1</w:t>
      </w:r>
      <w:r w:rsidRPr="00B6647E">
        <w:rPr>
          <w:rFonts w:ascii="Arial" w:hAnsi="Arial" w:cs="Arial"/>
          <w:b/>
          <w:sz w:val="20"/>
          <w:szCs w:val="20"/>
        </w:rPr>
        <w:t xml:space="preserve"> : Nombre de ménages </w:t>
      </w:r>
      <w:r w:rsidR="000229E7" w:rsidRPr="00B6647E">
        <w:rPr>
          <w:rFonts w:ascii="Arial" w:hAnsi="Arial" w:cs="Arial"/>
          <w:b/>
          <w:sz w:val="20"/>
          <w:szCs w:val="20"/>
        </w:rPr>
        <w:t>encadrés</w:t>
      </w:r>
      <w:r w:rsidRPr="00B6647E">
        <w:rPr>
          <w:rFonts w:ascii="Arial" w:hAnsi="Arial" w:cs="Arial"/>
          <w:b/>
          <w:sz w:val="20"/>
          <w:szCs w:val="20"/>
        </w:rPr>
        <w:t xml:space="preserve"> par saison</w:t>
      </w:r>
    </w:p>
    <w:p w:rsidR="00AE2D70" w:rsidRPr="00B6647E" w:rsidRDefault="00AE2D70" w:rsidP="003942EF">
      <w:pPr>
        <w:spacing w:line="240" w:lineRule="auto"/>
        <w:jc w:val="both"/>
        <w:rPr>
          <w:rFonts w:ascii="Arial" w:hAnsi="Arial" w:cs="Arial"/>
          <w:sz w:val="20"/>
          <w:szCs w:val="20"/>
        </w:rPr>
      </w:pPr>
      <w:r w:rsidRPr="00B6647E">
        <w:rPr>
          <w:noProof/>
          <w:szCs w:val="20"/>
          <w:lang w:val="fr-FR" w:eastAsia="fr-FR"/>
        </w:rPr>
        <w:drawing>
          <wp:inline distT="0" distB="0" distL="0" distR="0">
            <wp:extent cx="5619750" cy="3457575"/>
            <wp:effectExtent l="19050" t="0" r="0" b="0"/>
            <wp:docPr id="15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5" cstate="print"/>
                    <a:srcRect/>
                    <a:stretch>
                      <a:fillRect/>
                    </a:stretch>
                  </pic:blipFill>
                  <pic:spPr bwMode="auto">
                    <a:xfrm>
                      <a:off x="0" y="0"/>
                      <a:ext cx="5619750" cy="3457575"/>
                    </a:xfrm>
                    <a:prstGeom prst="rect">
                      <a:avLst/>
                    </a:prstGeom>
                    <a:noFill/>
                    <a:ln w="9525">
                      <a:noFill/>
                      <a:miter lim="800000"/>
                      <a:headEnd/>
                      <a:tailEnd/>
                    </a:ln>
                  </pic:spPr>
                </pic:pic>
              </a:graphicData>
            </a:graphic>
          </wp:inline>
        </w:drawing>
      </w:r>
    </w:p>
    <w:p w:rsidR="00640707" w:rsidRPr="00B6647E" w:rsidRDefault="00640707" w:rsidP="003942EF">
      <w:pPr>
        <w:spacing w:line="240" w:lineRule="auto"/>
        <w:jc w:val="both"/>
        <w:rPr>
          <w:rFonts w:ascii="Arial" w:hAnsi="Arial" w:cs="Arial"/>
          <w:sz w:val="20"/>
          <w:szCs w:val="20"/>
        </w:rPr>
      </w:pPr>
      <w:r w:rsidRPr="00B6647E">
        <w:rPr>
          <w:rFonts w:ascii="Arial" w:hAnsi="Arial" w:cs="Arial"/>
          <w:sz w:val="20"/>
          <w:szCs w:val="20"/>
        </w:rPr>
        <w:t xml:space="preserve">En ce qui concerne les structures d’encadrement, les résultats de la saison C confirment en termes de tendance ceux des saisons A et B (voir graphique </w:t>
      </w:r>
      <w:r w:rsidR="00302B14" w:rsidRPr="00B6647E">
        <w:rPr>
          <w:rFonts w:ascii="Arial" w:hAnsi="Arial" w:cs="Arial"/>
          <w:sz w:val="20"/>
          <w:szCs w:val="20"/>
        </w:rPr>
        <w:t>26</w:t>
      </w:r>
      <w:r w:rsidRPr="00B6647E">
        <w:rPr>
          <w:rFonts w:ascii="Arial" w:hAnsi="Arial" w:cs="Arial"/>
          <w:sz w:val="20"/>
          <w:szCs w:val="20"/>
        </w:rPr>
        <w:t>)</w:t>
      </w:r>
      <w:r w:rsidR="00202010" w:rsidRPr="00B6647E">
        <w:rPr>
          <w:rFonts w:ascii="Arial" w:hAnsi="Arial" w:cs="Arial"/>
          <w:sz w:val="20"/>
          <w:szCs w:val="20"/>
        </w:rPr>
        <w:t xml:space="preserve"> montrant que les ONG/projets ont encadré plus de ménages que les structures étatiques.</w:t>
      </w:r>
    </w:p>
    <w:p w:rsidR="00A86748" w:rsidRPr="00B6647E" w:rsidRDefault="00A86748" w:rsidP="003942EF">
      <w:pPr>
        <w:spacing w:line="240" w:lineRule="auto"/>
        <w:jc w:val="both"/>
        <w:rPr>
          <w:rFonts w:cs="Arial"/>
          <w:sz w:val="20"/>
          <w:szCs w:val="20"/>
        </w:rPr>
      </w:pPr>
    </w:p>
    <w:p w:rsidR="00395B0E" w:rsidRPr="00B6647E" w:rsidRDefault="00395B0E">
      <w:pPr>
        <w:rPr>
          <w:rFonts w:ascii="Arial" w:hAnsi="Arial" w:cs="Arial"/>
          <w:b/>
          <w:sz w:val="20"/>
          <w:szCs w:val="20"/>
        </w:rPr>
      </w:pPr>
      <w:r w:rsidRPr="00B6647E">
        <w:rPr>
          <w:rFonts w:ascii="Arial" w:hAnsi="Arial" w:cs="Arial"/>
          <w:b/>
          <w:sz w:val="20"/>
          <w:szCs w:val="20"/>
        </w:rPr>
        <w:br w:type="page"/>
      </w:r>
    </w:p>
    <w:p w:rsidR="00296849" w:rsidRPr="00B6647E" w:rsidRDefault="00296849" w:rsidP="003942EF">
      <w:pPr>
        <w:spacing w:line="240" w:lineRule="auto"/>
        <w:rPr>
          <w:rFonts w:ascii="Arial" w:hAnsi="Arial" w:cs="Arial"/>
          <w:b/>
          <w:sz w:val="20"/>
          <w:szCs w:val="20"/>
        </w:rPr>
      </w:pPr>
      <w:r w:rsidRPr="00B6647E">
        <w:rPr>
          <w:rFonts w:ascii="Arial" w:hAnsi="Arial" w:cs="Arial"/>
          <w:b/>
          <w:sz w:val="20"/>
          <w:szCs w:val="20"/>
        </w:rPr>
        <w:lastRenderedPageBreak/>
        <w:t xml:space="preserve">Graphique </w:t>
      </w:r>
      <w:r w:rsidR="006F5A28" w:rsidRPr="00B6647E">
        <w:rPr>
          <w:rFonts w:ascii="Arial" w:hAnsi="Arial" w:cs="Arial"/>
          <w:b/>
          <w:sz w:val="20"/>
          <w:szCs w:val="20"/>
        </w:rPr>
        <w:t>2</w:t>
      </w:r>
      <w:r w:rsidR="002B03F3">
        <w:rPr>
          <w:rFonts w:ascii="Arial" w:hAnsi="Arial" w:cs="Arial"/>
          <w:b/>
          <w:sz w:val="20"/>
          <w:szCs w:val="20"/>
        </w:rPr>
        <w:t>8</w:t>
      </w:r>
      <w:r w:rsidRPr="00B6647E">
        <w:rPr>
          <w:rFonts w:ascii="Arial" w:hAnsi="Arial" w:cs="Arial"/>
          <w:b/>
          <w:sz w:val="20"/>
          <w:szCs w:val="20"/>
        </w:rPr>
        <w:t xml:space="preserve"> : </w:t>
      </w:r>
      <w:r w:rsidR="00EB319D" w:rsidRPr="00B6647E">
        <w:rPr>
          <w:rFonts w:ascii="Arial" w:hAnsi="Arial" w:cs="Arial"/>
          <w:b/>
          <w:sz w:val="20"/>
          <w:szCs w:val="20"/>
        </w:rPr>
        <w:t xml:space="preserve">Nombre de ménages agricoles </w:t>
      </w:r>
      <w:r w:rsidRPr="00B6647E">
        <w:rPr>
          <w:rFonts w:ascii="Arial" w:hAnsi="Arial" w:cs="Arial"/>
          <w:b/>
          <w:sz w:val="20"/>
          <w:szCs w:val="20"/>
        </w:rPr>
        <w:t xml:space="preserve">encadrés selon la structure d’encadrement </w:t>
      </w:r>
      <w:r w:rsidR="00EB319D" w:rsidRPr="00B6647E">
        <w:rPr>
          <w:rFonts w:ascii="Arial" w:hAnsi="Arial" w:cs="Arial"/>
          <w:b/>
          <w:sz w:val="20"/>
          <w:szCs w:val="20"/>
        </w:rPr>
        <w:t>au cours des trois saisons</w:t>
      </w:r>
      <w:r w:rsidRPr="00B6647E">
        <w:rPr>
          <w:rFonts w:ascii="Arial" w:hAnsi="Arial" w:cs="Arial"/>
          <w:b/>
          <w:sz w:val="20"/>
          <w:szCs w:val="20"/>
        </w:rPr>
        <w:t>.</w:t>
      </w:r>
    </w:p>
    <w:p w:rsidR="00296849" w:rsidRPr="00B6647E" w:rsidRDefault="00296849" w:rsidP="00A86748">
      <w:pPr>
        <w:jc w:val="both"/>
        <w:rPr>
          <w:rFonts w:cs="Arial"/>
          <w:sz w:val="20"/>
          <w:szCs w:val="20"/>
        </w:rPr>
      </w:pPr>
    </w:p>
    <w:p w:rsidR="00296849" w:rsidRPr="00B6647E" w:rsidRDefault="00681901" w:rsidP="00A86748">
      <w:pPr>
        <w:jc w:val="both"/>
        <w:rPr>
          <w:rFonts w:cs="Arial"/>
          <w:sz w:val="20"/>
          <w:szCs w:val="20"/>
        </w:rPr>
      </w:pPr>
      <w:r w:rsidRPr="00B6647E">
        <w:rPr>
          <w:noProof/>
          <w:szCs w:val="20"/>
          <w:lang w:val="fr-FR" w:eastAsia="fr-FR"/>
        </w:rPr>
        <w:drawing>
          <wp:inline distT="0" distB="0" distL="0" distR="0">
            <wp:extent cx="5800725" cy="3729038"/>
            <wp:effectExtent l="19050" t="0" r="9525" b="0"/>
            <wp:docPr id="1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6" cstate="print"/>
                    <a:srcRect/>
                    <a:stretch>
                      <a:fillRect/>
                    </a:stretch>
                  </pic:blipFill>
                  <pic:spPr bwMode="auto">
                    <a:xfrm>
                      <a:off x="0" y="0"/>
                      <a:ext cx="5800725" cy="3729038"/>
                    </a:xfrm>
                    <a:prstGeom prst="rect">
                      <a:avLst/>
                    </a:prstGeom>
                    <a:noFill/>
                    <a:ln w="9525">
                      <a:noFill/>
                      <a:miter lim="800000"/>
                      <a:headEnd/>
                      <a:tailEnd/>
                    </a:ln>
                  </pic:spPr>
                </pic:pic>
              </a:graphicData>
            </a:graphic>
          </wp:inline>
        </w:drawing>
      </w:r>
    </w:p>
    <w:p w:rsidR="000079F6" w:rsidRPr="00B6647E" w:rsidRDefault="000079F6">
      <w:pPr>
        <w:rPr>
          <w:rFonts w:ascii="Arial" w:eastAsia="Times New Roman" w:hAnsi="Arial" w:cs="Arial"/>
          <w:color w:val="365F91"/>
          <w:sz w:val="24"/>
          <w:szCs w:val="24"/>
          <w:lang w:eastAsia="fr-FR"/>
        </w:rPr>
      </w:pPr>
      <w:r w:rsidRPr="00B6647E">
        <w:rPr>
          <w:rFonts w:ascii="Arial" w:hAnsi="Arial" w:cs="Arial"/>
          <w:color w:val="365F91"/>
        </w:rPr>
        <w:br w:type="page"/>
      </w:r>
    </w:p>
    <w:p w:rsidR="000F18F2" w:rsidRPr="00B6647E" w:rsidRDefault="00963424" w:rsidP="00E51ED6">
      <w:pPr>
        <w:pStyle w:val="Titre1"/>
        <w:keepNext w:val="0"/>
        <w:numPr>
          <w:ilvl w:val="0"/>
          <w:numId w:val="1"/>
        </w:numPr>
        <w:tabs>
          <w:tab w:val="num" w:pos="432"/>
        </w:tabs>
        <w:ind w:left="432" w:hanging="432"/>
        <w:rPr>
          <w:rFonts w:cs="Arial"/>
          <w:color w:val="365F91"/>
        </w:rPr>
      </w:pPr>
      <w:bookmarkStart w:id="334" w:name="_Toc354313917"/>
      <w:r w:rsidRPr="00B6647E">
        <w:rPr>
          <w:rFonts w:cs="Arial"/>
          <w:color w:val="365F91"/>
        </w:rPr>
        <w:lastRenderedPageBreak/>
        <w:t xml:space="preserve">Valorisation des activités </w:t>
      </w:r>
      <w:r w:rsidR="000552AE" w:rsidRPr="00B6647E">
        <w:rPr>
          <w:rFonts w:cs="Arial"/>
          <w:color w:val="365F91"/>
        </w:rPr>
        <w:t>des ménages agricoles</w:t>
      </w:r>
      <w:bookmarkEnd w:id="334"/>
      <w:r w:rsidR="000552AE" w:rsidRPr="00B6647E">
        <w:rPr>
          <w:rFonts w:cs="Arial"/>
          <w:color w:val="365F91"/>
        </w:rPr>
        <w:t xml:space="preserve"> </w:t>
      </w:r>
    </w:p>
    <w:p w:rsidR="001A3AEF" w:rsidRPr="00B6647E" w:rsidRDefault="00DF50D8" w:rsidP="00E51ED6">
      <w:pPr>
        <w:pStyle w:val="Paragraphedeliste"/>
        <w:spacing w:after="0" w:line="240" w:lineRule="auto"/>
        <w:rPr>
          <w:rFonts w:ascii="Arial" w:hAnsi="Arial" w:cs="Arial"/>
          <w:sz w:val="20"/>
          <w:szCs w:val="20"/>
        </w:rPr>
      </w:pPr>
      <w:r w:rsidRPr="00DF50D8">
        <w:rPr>
          <w:rFonts w:ascii="Arial" w:hAnsi="Arial" w:cs="Arial"/>
          <w:noProof/>
        </w:rPr>
        <w:pict>
          <v:shape id="_x0000_s1041" type="#_x0000_t32" style="position:absolute;left:0;text-align:left;margin-left:1.15pt;margin-top:4.8pt;width:453.55pt;height:0;z-index:25169100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4ufrAIAAJcFAAAOAAAAZHJzL2Uyb0RvYy54bWysVE2PmzAQvVfqf7B8Z4FACEFLVlkCvWzb&#10;lXarnh1sglWwke18rKr+945NQjfbS1UtB+SPmTdvZt749u7Ud+jAlOZS5Di8CTBiopaUi12Ovz1X&#10;XoqRNkRQ0knBcvzCNL5bffxwexwyNpOt7ChTCECEzo5Djltjhsz3dd2ynugbOTABl41UPTGwVTuf&#10;KnIE9L7zZ0GQ+Eep6KBkzbSG0814iVcOv2lYbb42jWYGdTkGbsb9lftv7d9f3ZJsp8jQ8vpMg/wH&#10;i55wAUEnqA0xBO0V/wuq57WSWjbmppa9L5uG18zlANmEwZtsnloyMJcLFEcPU5n0+8HWXw6PCnGa&#10;42WCkSA99Gi9N9KFRjNbn+OgMzArxKOyGdYn8TQ8yPqHRkIWLRE75oyfXwbwDa2Hf+ViN3qAKNvj&#10;Z0nBhgC+K9apUb2FhDKgk+vJy9QTdjKohsP5IgmCdI5RfbnzSXZxHJQ2n5jskV3kWBtF+K41hRQC&#10;Oi9V6MKQw4M2lhbJLg42qpAV7zongE6gY46jNAwC56Flx6m9tXZa7bZFp9CBgIaiZF4txyTh5rWZ&#10;kntBHVrLCC3Pa0N4N64heicsHnOyHCnB7mRg6c4hYyeZn8tgWaZlGnvxLCm9ONhsvHVVxF5ShYv5&#10;JtoUxSb8ZYmGcdZySpmwXC/yDeN/k8d5kEbhTQKequJfo7vyAdlrputqHiziKPUWi3nkxVEZePdp&#10;VXjrIkySRXlf3JdvmJYue/0+ZKdSWlZyb5h6aukRUW7VMEujJbw+lMO4R2mQBMsFRqTbwTtVG4WR&#10;kuY7N60Tr5Wdxbjq9SyOqmQ8J93QklEB8wA+p/LJ3NVmCj9W6tJku5vadE7+Ty1BFBcBuKGxczJO&#10;3FbSl0d1GSaYfud0fqns8/J6D+vX7+nqNwAAAP//AwBQSwMEFAAGAAgAAAAhABLqZCjcAAAABQEA&#10;AA8AAABkcnMvZG93bnJldi54bWxMjlFLwzAUhd+F/YdwB76ISzdLWWvTMRRxDBGs/oC0uTbF5qY0&#10;Wdv564170cfDOXzny3ez6diIg2stCVivImBItVUtNQI+3p9ut8Ccl6RkZwkFnNHBrlhc5TJTdqI3&#10;HEvfsAAhl0kB2vs+49zVGo10K9sjhe7TDkb6EIeGq0FOAW46vomihBvZUnjQsscHjfVXeTICpjE5&#10;vtxs+fx9fC3PTRUfHvVzLMT1ct7fA/M4+78x/OoHdSiCU2VPpBzrBGzuwlBAmgALbRqlMbDqknmR&#10;8//2xQ8AAAD//wMAUEsBAi0AFAAGAAgAAAAhALaDOJL+AAAA4QEAABMAAAAAAAAAAAAAAAAAAAAA&#10;AFtDb250ZW50X1R5cGVzXS54bWxQSwECLQAUAAYACAAAACEAOP0h/9YAAACUAQAACwAAAAAAAAAA&#10;AAAAAAAvAQAAX3JlbHMvLnJlbHNQSwECLQAUAAYACAAAACEAJvOLn6wCAACXBQAADgAAAAAAAAAA&#10;AAAAAAAuAgAAZHJzL2Uyb0RvYy54bWxQSwECLQAUAAYACAAAACEAEupkKNwAAAAFAQAADwAAAAAA&#10;AAAAAAAAAAAGBQAAZHJzL2Rvd25yZXYueG1sUEsFBgAAAAAEAAQA8wAAAA8GAAAAAA==&#10;" strokecolor="#365f91" strokeweight="3pt">
            <v:shadow color="#243f60" opacity=".5" offset="1pt"/>
          </v:shape>
        </w:pict>
      </w:r>
    </w:p>
    <w:p w:rsidR="00F23209" w:rsidRPr="008C07D6" w:rsidRDefault="008C07D6" w:rsidP="00F23209">
      <w:pPr>
        <w:spacing w:line="240" w:lineRule="auto"/>
        <w:jc w:val="both"/>
        <w:rPr>
          <w:rFonts w:ascii="Arial" w:hAnsi="Arial" w:cs="Arial"/>
          <w:sz w:val="20"/>
          <w:szCs w:val="20"/>
        </w:rPr>
      </w:pPr>
      <w:r w:rsidRPr="008C07D6">
        <w:rPr>
          <w:rFonts w:ascii="Arial" w:hAnsi="Arial" w:cs="Arial"/>
          <w:sz w:val="20"/>
          <w:szCs w:val="20"/>
        </w:rPr>
        <w:t xml:space="preserve">Ce chapitre propose une estimation de la valeur des activités productives des ménages agricoles. Elle intègre les productions </w:t>
      </w:r>
      <w:r w:rsidR="00027BD9">
        <w:rPr>
          <w:rFonts w:ascii="Arial" w:hAnsi="Arial" w:cs="Arial"/>
          <w:sz w:val="20"/>
          <w:szCs w:val="20"/>
        </w:rPr>
        <w:t xml:space="preserve">vivrières </w:t>
      </w:r>
      <w:r w:rsidRPr="008C07D6">
        <w:rPr>
          <w:rFonts w:ascii="Arial" w:hAnsi="Arial" w:cs="Arial"/>
          <w:sz w:val="20"/>
          <w:szCs w:val="20"/>
        </w:rPr>
        <w:t xml:space="preserve">auto-consommées (valorisées au moyen du prix au producteur), les productions </w:t>
      </w:r>
      <w:r w:rsidR="00027BD9">
        <w:rPr>
          <w:rFonts w:ascii="Arial" w:hAnsi="Arial" w:cs="Arial"/>
          <w:sz w:val="20"/>
          <w:szCs w:val="20"/>
        </w:rPr>
        <w:t xml:space="preserve">vivrières </w:t>
      </w:r>
      <w:r w:rsidRPr="008C07D6">
        <w:rPr>
          <w:rFonts w:ascii="Arial" w:hAnsi="Arial" w:cs="Arial"/>
          <w:sz w:val="20"/>
          <w:szCs w:val="20"/>
        </w:rPr>
        <w:t>vendues (par exemple les produits de la pêche ou le miel, estimés à partir du prix de vente) ainsi que les revenus des activités non agricoles.</w:t>
      </w:r>
      <w:r w:rsidR="00F23209" w:rsidRPr="008C07D6">
        <w:rPr>
          <w:rFonts w:ascii="Arial" w:hAnsi="Arial" w:cs="Arial"/>
          <w:sz w:val="20"/>
          <w:szCs w:val="20"/>
        </w:rPr>
        <w:t xml:space="preserve"> La production vivrière a été valorisée par le prix au producteur, la quantité pêchée, le miel, le bois et le charbon par le prix de vente. Il ne s’agit donc pas de revenus au vrai sens du terme sauf en ce qui concerne les revenus des activités non agricoles.</w:t>
      </w:r>
    </w:p>
    <w:p w:rsidR="000552AE" w:rsidRPr="00B6647E" w:rsidRDefault="000F18F2" w:rsidP="0052337E">
      <w:pPr>
        <w:pStyle w:val="Titre2"/>
        <w:keepNext w:val="0"/>
        <w:numPr>
          <w:ilvl w:val="1"/>
          <w:numId w:val="1"/>
        </w:numPr>
        <w:spacing w:before="240" w:after="200"/>
        <w:ind w:left="0" w:firstLine="0"/>
        <w:rPr>
          <w:rFonts w:cs="Arial"/>
          <w:u w:val="dotDash"/>
        </w:rPr>
      </w:pPr>
      <w:bookmarkStart w:id="335" w:name="_Toc354313918"/>
      <w:r w:rsidRPr="00B6647E">
        <w:rPr>
          <w:rFonts w:cs="Arial"/>
          <w:u w:val="dotDash"/>
        </w:rPr>
        <w:t>V</w:t>
      </w:r>
      <w:r w:rsidR="000552AE" w:rsidRPr="00B6647E">
        <w:rPr>
          <w:rFonts w:cs="Arial"/>
          <w:u w:val="dotDash"/>
        </w:rPr>
        <w:t>alorisation de la produc</w:t>
      </w:r>
      <w:r w:rsidRPr="00B6647E">
        <w:rPr>
          <w:rFonts w:cs="Arial"/>
          <w:u w:val="dotDash"/>
        </w:rPr>
        <w:t>tion par les prix au producteur</w:t>
      </w:r>
      <w:bookmarkEnd w:id="335"/>
    </w:p>
    <w:p w:rsidR="00BB3F3D" w:rsidRPr="00B6647E" w:rsidRDefault="00BB3F3D" w:rsidP="00604946">
      <w:pPr>
        <w:spacing w:after="120" w:line="240" w:lineRule="auto"/>
        <w:jc w:val="both"/>
        <w:rPr>
          <w:rFonts w:ascii="Arial" w:hAnsi="Arial" w:cs="Arial"/>
          <w:sz w:val="20"/>
          <w:szCs w:val="20"/>
          <w:lang w:val="fr-FR" w:eastAsia="fr-FR"/>
        </w:rPr>
      </w:pPr>
      <w:r w:rsidRPr="00B6647E">
        <w:rPr>
          <w:rFonts w:ascii="Arial" w:hAnsi="Arial" w:cs="Arial"/>
          <w:sz w:val="20"/>
          <w:szCs w:val="20"/>
          <w:lang w:val="fr-FR" w:eastAsia="fr-FR"/>
        </w:rPr>
        <w:t>La production totale vivrière de la campagne agricole 2011-2012 a été valorisée par les prix</w:t>
      </w:r>
      <w:r w:rsidR="00D15EA2" w:rsidRPr="00B6647E">
        <w:rPr>
          <w:rStyle w:val="Appelnotedebasdep"/>
          <w:rFonts w:ascii="Arial" w:hAnsi="Arial" w:cs="Arial"/>
          <w:sz w:val="20"/>
          <w:szCs w:val="20"/>
          <w:lang w:val="fr-FR" w:eastAsia="fr-FR"/>
        </w:rPr>
        <w:footnoteReference w:id="47"/>
      </w:r>
      <w:r w:rsidRPr="00B6647E">
        <w:rPr>
          <w:rFonts w:ascii="Arial" w:hAnsi="Arial" w:cs="Arial"/>
          <w:sz w:val="20"/>
          <w:szCs w:val="20"/>
          <w:lang w:val="fr-FR" w:eastAsia="fr-FR"/>
        </w:rPr>
        <w:t xml:space="preserve"> moyens au producteur de</w:t>
      </w:r>
      <w:r w:rsidR="00D15EA2" w:rsidRPr="00B6647E">
        <w:rPr>
          <w:rFonts w:ascii="Arial" w:hAnsi="Arial" w:cs="Arial"/>
          <w:sz w:val="20"/>
          <w:szCs w:val="20"/>
          <w:lang w:val="fr-FR" w:eastAsia="fr-FR"/>
        </w:rPr>
        <w:t xml:space="preserve"> tous le</w:t>
      </w:r>
      <w:r w:rsidRPr="00B6647E">
        <w:rPr>
          <w:rFonts w:ascii="Arial" w:hAnsi="Arial" w:cs="Arial"/>
          <w:sz w:val="20"/>
          <w:szCs w:val="20"/>
          <w:lang w:val="fr-FR" w:eastAsia="fr-FR"/>
        </w:rPr>
        <w:t xml:space="preserve">s produits </w:t>
      </w:r>
      <w:r w:rsidR="00D15EA2" w:rsidRPr="00B6647E">
        <w:rPr>
          <w:rFonts w:ascii="Arial" w:hAnsi="Arial" w:cs="Arial"/>
          <w:sz w:val="20"/>
          <w:szCs w:val="20"/>
          <w:lang w:val="fr-FR" w:eastAsia="fr-FR"/>
        </w:rPr>
        <w:t xml:space="preserve">vivriers sauf le niébé, le pois cajan le soja et le tournesol pour lesquels il n’y a pas d’information sur leur prix. Il faut noter d’ailleurs que la production de ces produits est marginale. Ces prix concernant l’année 2012 ont été </w:t>
      </w:r>
      <w:r w:rsidRPr="00B6647E">
        <w:rPr>
          <w:rFonts w:ascii="Arial" w:hAnsi="Arial" w:cs="Arial"/>
          <w:sz w:val="20"/>
          <w:szCs w:val="20"/>
          <w:lang w:val="fr-FR" w:eastAsia="fr-FR"/>
        </w:rPr>
        <w:t xml:space="preserve">estimés par interview </w:t>
      </w:r>
      <w:r w:rsidR="00A1096C" w:rsidRPr="00B6647E">
        <w:rPr>
          <w:rFonts w:ascii="Arial" w:hAnsi="Arial" w:cs="Arial"/>
          <w:sz w:val="20"/>
          <w:szCs w:val="20"/>
          <w:lang w:val="fr-FR" w:eastAsia="fr-FR"/>
        </w:rPr>
        <w:t>au cours de l’enquête</w:t>
      </w:r>
      <w:r w:rsidRPr="00B6647E">
        <w:rPr>
          <w:rFonts w:ascii="Arial" w:hAnsi="Arial" w:cs="Arial"/>
          <w:sz w:val="20"/>
          <w:szCs w:val="20"/>
          <w:lang w:val="fr-FR" w:eastAsia="fr-FR"/>
        </w:rPr>
        <w:t xml:space="preserve"> </w:t>
      </w:r>
    </w:p>
    <w:p w:rsidR="00BB3F3D" w:rsidRPr="00B6647E" w:rsidRDefault="00D15EA2" w:rsidP="00604946">
      <w:pPr>
        <w:spacing w:after="120" w:line="240" w:lineRule="auto"/>
        <w:jc w:val="both"/>
        <w:rPr>
          <w:rFonts w:ascii="Arial" w:hAnsi="Arial" w:cs="Arial"/>
          <w:sz w:val="20"/>
          <w:szCs w:val="20"/>
          <w:lang w:val="fr-FR" w:eastAsia="fr-FR"/>
        </w:rPr>
      </w:pPr>
      <w:r w:rsidRPr="00B6647E">
        <w:rPr>
          <w:rFonts w:ascii="Arial" w:hAnsi="Arial" w:cs="Arial"/>
          <w:sz w:val="20"/>
          <w:szCs w:val="20"/>
          <w:lang w:val="fr-FR" w:eastAsia="fr-FR"/>
        </w:rPr>
        <w:t xml:space="preserve">La valeur totale de la production totale </w:t>
      </w:r>
      <w:r w:rsidR="000C7027" w:rsidRPr="00B6647E">
        <w:rPr>
          <w:rFonts w:ascii="Arial" w:hAnsi="Arial" w:cs="Arial"/>
          <w:sz w:val="20"/>
          <w:szCs w:val="20"/>
          <w:lang w:val="fr-FR" w:eastAsia="fr-FR"/>
        </w:rPr>
        <w:t xml:space="preserve">(blé, éleusine, maïs, riz, sorgho, haricot, petits pois, manioc, patate douce, pomme de terre, colocase igame, banane, arachide) </w:t>
      </w:r>
      <w:r w:rsidRPr="00B6647E">
        <w:rPr>
          <w:rFonts w:ascii="Arial" w:hAnsi="Arial" w:cs="Arial"/>
          <w:sz w:val="20"/>
          <w:szCs w:val="20"/>
          <w:lang w:val="fr-FR" w:eastAsia="fr-FR"/>
        </w:rPr>
        <w:t>a été estimée à 1.551.347 millions de FBu</w:t>
      </w:r>
      <w:r w:rsidR="000C7027" w:rsidRPr="00B6647E">
        <w:rPr>
          <w:rFonts w:ascii="Arial" w:hAnsi="Arial" w:cs="Arial"/>
          <w:sz w:val="20"/>
          <w:szCs w:val="20"/>
          <w:lang w:val="fr-FR" w:eastAsia="fr-FR"/>
        </w:rPr>
        <w:t xml:space="preserve">. Plus de la moitié de cette valeur est imputable à la saison B (790.340 millions de FBu, soit 52,3% de la valeur totale de la campagne agricole). </w:t>
      </w:r>
      <w:r w:rsidR="008C07D6">
        <w:rPr>
          <w:rFonts w:ascii="Arial" w:hAnsi="Arial" w:cs="Arial"/>
          <w:sz w:val="20"/>
          <w:szCs w:val="20"/>
          <w:lang w:val="fr-FR" w:eastAsia="fr-FR"/>
        </w:rPr>
        <w:t>En saison A, l</w:t>
      </w:r>
      <w:r w:rsidR="000C7027" w:rsidRPr="00B6647E">
        <w:rPr>
          <w:rFonts w:ascii="Arial" w:hAnsi="Arial" w:cs="Arial"/>
          <w:sz w:val="20"/>
          <w:szCs w:val="20"/>
          <w:lang w:val="fr-FR" w:eastAsia="fr-FR"/>
        </w:rPr>
        <w:t xml:space="preserve">a valeur a été estimée à 340.911 millions de FBU (20,2%) et celle de la saison C à 416.096 millions de FBu (27,5%). </w:t>
      </w:r>
    </w:p>
    <w:p w:rsidR="00CC058C" w:rsidRPr="00B6647E" w:rsidRDefault="00CC058C" w:rsidP="00604946">
      <w:pPr>
        <w:spacing w:after="120" w:line="240" w:lineRule="auto"/>
        <w:rPr>
          <w:rFonts w:ascii="Arial" w:hAnsi="Arial" w:cs="Arial"/>
          <w:b/>
          <w:sz w:val="20"/>
          <w:szCs w:val="20"/>
          <w:lang w:val="fr-FR" w:eastAsia="fr-FR"/>
        </w:rPr>
      </w:pPr>
      <w:r w:rsidRPr="00B6647E">
        <w:rPr>
          <w:rFonts w:ascii="Arial" w:hAnsi="Arial" w:cs="Arial"/>
          <w:b/>
          <w:sz w:val="20"/>
          <w:szCs w:val="20"/>
          <w:lang w:val="fr-FR" w:eastAsia="fr-FR"/>
        </w:rPr>
        <w:t xml:space="preserve">Graphique </w:t>
      </w:r>
      <w:r w:rsidR="006F5A28" w:rsidRPr="00B6647E">
        <w:rPr>
          <w:rFonts w:ascii="Arial" w:hAnsi="Arial" w:cs="Arial"/>
          <w:b/>
          <w:sz w:val="20"/>
          <w:szCs w:val="20"/>
          <w:lang w:val="fr-FR" w:eastAsia="fr-FR"/>
        </w:rPr>
        <w:t>2</w:t>
      </w:r>
      <w:r w:rsidR="002B03F3">
        <w:rPr>
          <w:rFonts w:ascii="Arial" w:hAnsi="Arial" w:cs="Arial"/>
          <w:b/>
          <w:sz w:val="20"/>
          <w:szCs w:val="20"/>
          <w:lang w:val="fr-FR" w:eastAsia="fr-FR"/>
        </w:rPr>
        <w:t>9</w:t>
      </w:r>
      <w:r w:rsidRPr="00B6647E">
        <w:rPr>
          <w:rFonts w:ascii="Arial" w:hAnsi="Arial" w:cs="Arial"/>
          <w:b/>
          <w:sz w:val="20"/>
          <w:szCs w:val="20"/>
          <w:lang w:val="fr-FR" w:eastAsia="fr-FR"/>
        </w:rPr>
        <w:t> : Contribution de chaque saison dans la valeur de la production vivrière totale</w:t>
      </w:r>
    </w:p>
    <w:p w:rsidR="00CC058C" w:rsidRPr="00B6647E" w:rsidRDefault="00CC058C" w:rsidP="00604946">
      <w:pPr>
        <w:spacing w:after="120" w:line="240" w:lineRule="auto"/>
        <w:rPr>
          <w:rFonts w:ascii="Arial" w:hAnsi="Arial" w:cs="Arial"/>
          <w:sz w:val="20"/>
          <w:szCs w:val="20"/>
          <w:lang w:val="fr-FR" w:eastAsia="fr-FR"/>
        </w:rPr>
      </w:pPr>
    </w:p>
    <w:p w:rsidR="00CC058C" w:rsidRPr="00B6647E" w:rsidRDefault="00CC058C" w:rsidP="00604946">
      <w:pPr>
        <w:spacing w:after="120" w:line="240" w:lineRule="auto"/>
        <w:rPr>
          <w:rFonts w:ascii="Arial" w:hAnsi="Arial" w:cs="Arial"/>
          <w:sz w:val="20"/>
          <w:szCs w:val="20"/>
          <w:lang w:val="fr-FR" w:eastAsia="fr-FR"/>
        </w:rPr>
      </w:pPr>
      <w:r w:rsidRPr="00B6647E">
        <w:rPr>
          <w:noProof/>
          <w:szCs w:val="20"/>
          <w:lang w:val="fr-FR" w:eastAsia="fr-FR"/>
        </w:rPr>
        <w:drawing>
          <wp:inline distT="0" distB="0" distL="0" distR="0">
            <wp:extent cx="5683404" cy="3419475"/>
            <wp:effectExtent l="19050" t="0" r="0" b="0"/>
            <wp:docPr id="22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7" cstate="print"/>
                    <a:srcRect/>
                    <a:stretch>
                      <a:fillRect/>
                    </a:stretch>
                  </pic:blipFill>
                  <pic:spPr bwMode="auto">
                    <a:xfrm>
                      <a:off x="0" y="0"/>
                      <a:ext cx="5684298" cy="3420013"/>
                    </a:xfrm>
                    <a:prstGeom prst="rect">
                      <a:avLst/>
                    </a:prstGeom>
                    <a:noFill/>
                    <a:ln w="9525">
                      <a:noFill/>
                      <a:miter lim="800000"/>
                      <a:headEnd/>
                      <a:tailEnd/>
                    </a:ln>
                  </pic:spPr>
                </pic:pic>
              </a:graphicData>
            </a:graphic>
          </wp:inline>
        </w:drawing>
      </w:r>
    </w:p>
    <w:p w:rsidR="00B82C4D" w:rsidRPr="00B6647E" w:rsidRDefault="00B82C4D" w:rsidP="00604946">
      <w:pPr>
        <w:spacing w:after="120" w:line="240" w:lineRule="auto"/>
        <w:jc w:val="both"/>
        <w:rPr>
          <w:rFonts w:ascii="Arial" w:hAnsi="Arial" w:cs="Arial"/>
          <w:sz w:val="20"/>
          <w:szCs w:val="20"/>
          <w:lang w:val="fr-FR" w:eastAsia="fr-FR"/>
        </w:rPr>
      </w:pPr>
    </w:p>
    <w:p w:rsidR="00CC058C" w:rsidRPr="00B6647E" w:rsidRDefault="00CC058C" w:rsidP="00604946">
      <w:pPr>
        <w:spacing w:after="120" w:line="240" w:lineRule="auto"/>
        <w:jc w:val="both"/>
        <w:rPr>
          <w:rFonts w:ascii="Arial" w:hAnsi="Arial" w:cs="Arial"/>
          <w:sz w:val="20"/>
          <w:szCs w:val="20"/>
          <w:lang w:val="fr-FR" w:eastAsia="fr-FR"/>
        </w:rPr>
      </w:pPr>
      <w:r w:rsidRPr="00B6647E">
        <w:rPr>
          <w:rFonts w:ascii="Arial" w:hAnsi="Arial" w:cs="Arial"/>
          <w:sz w:val="20"/>
          <w:szCs w:val="20"/>
          <w:lang w:val="fr-FR" w:eastAsia="fr-FR"/>
        </w:rPr>
        <w:t>Les valeurs les plus élevées ont été estimées dans la province de Kirundo avec 161.343 millions de FBu (10,7% de la valeur totale) et dans celle de Gitega avec 155.783 millions de FBu (10,3%). A l’opposé il y a sept provinces qui ont moins de 5% de la valeur totale de toute la campagne agricole : Rutana (2,5%), Mwaro (3,5%), Muramvya (3,9%), Ngozi (4,3%), Bubanza (4,4%), Cankuzo (4,7%) et Kayanza (4,8%).</w:t>
      </w:r>
    </w:p>
    <w:p w:rsidR="00CC058C" w:rsidRPr="00B6647E" w:rsidRDefault="00CC058C" w:rsidP="00604946">
      <w:pPr>
        <w:spacing w:after="120" w:line="240" w:lineRule="auto"/>
        <w:jc w:val="both"/>
        <w:rPr>
          <w:rFonts w:ascii="Arial" w:hAnsi="Arial" w:cs="Arial"/>
          <w:sz w:val="20"/>
          <w:szCs w:val="20"/>
          <w:lang w:val="fr-FR" w:eastAsia="fr-FR"/>
        </w:rPr>
      </w:pPr>
      <w:r w:rsidRPr="00B6647E">
        <w:rPr>
          <w:rFonts w:ascii="Arial" w:hAnsi="Arial" w:cs="Arial"/>
          <w:sz w:val="20"/>
          <w:szCs w:val="20"/>
          <w:lang w:val="fr-FR" w:eastAsia="fr-FR"/>
        </w:rPr>
        <w:t xml:space="preserve">La valeur moyenne par ménage agricole a été évaluée 970.973 FBu au niveau national. On note que plus de la moitié des provinces ont une moyenne par ménage supérieure à la moyenne nationale. </w:t>
      </w:r>
      <w:r w:rsidRPr="00B6647E">
        <w:rPr>
          <w:rFonts w:ascii="Arial" w:hAnsi="Arial" w:cs="Arial"/>
          <w:sz w:val="20"/>
          <w:szCs w:val="20"/>
          <w:lang w:val="fr-FR" w:eastAsia="fr-FR"/>
        </w:rPr>
        <w:lastRenderedPageBreak/>
        <w:t>Parmi ces huit provinces Karuzi (1.495.820 FBu), Cankuzo (1.488.065 FBu), Cibitoke (1.271.443 FBu), Makamba (1.177.016 FBu), Bujumbura rural (1.144.737 FBu) et Gitega (1.111.583 FBu) ont les plus grandes valeurs moyennes par ménage. A contrario, les plus petites moyennes ont été estimées dans les provinces de Ngozi (473.318 FBu), Rutana (520.201 FBu), Kayanza (606.679 FBU), Bururi (715.746 FBu).</w:t>
      </w:r>
    </w:p>
    <w:p w:rsidR="008A2C7B" w:rsidRPr="00B6647E" w:rsidRDefault="008A2C7B" w:rsidP="00604946">
      <w:pPr>
        <w:spacing w:after="120" w:line="240" w:lineRule="auto"/>
        <w:rPr>
          <w:rFonts w:ascii="Arial" w:hAnsi="Arial" w:cs="Arial"/>
          <w:b/>
          <w:sz w:val="20"/>
          <w:szCs w:val="20"/>
          <w:lang w:val="fr-FR" w:eastAsia="fr-FR"/>
        </w:rPr>
      </w:pPr>
      <w:r w:rsidRPr="00B6647E">
        <w:rPr>
          <w:rFonts w:ascii="Arial" w:hAnsi="Arial" w:cs="Arial"/>
          <w:b/>
          <w:sz w:val="20"/>
          <w:szCs w:val="20"/>
          <w:lang w:val="fr-FR" w:eastAsia="fr-FR"/>
        </w:rPr>
        <w:t xml:space="preserve">Tableau </w:t>
      </w:r>
      <w:r w:rsidR="007177FA">
        <w:rPr>
          <w:rFonts w:ascii="Arial" w:hAnsi="Arial" w:cs="Arial"/>
          <w:b/>
          <w:sz w:val="20"/>
          <w:szCs w:val="20"/>
          <w:lang w:val="fr-FR" w:eastAsia="fr-FR"/>
        </w:rPr>
        <w:t>24</w:t>
      </w:r>
      <w:r w:rsidR="00F75E61" w:rsidRPr="00B6647E">
        <w:rPr>
          <w:rFonts w:ascii="Arial" w:hAnsi="Arial" w:cs="Arial"/>
          <w:b/>
          <w:sz w:val="20"/>
          <w:szCs w:val="20"/>
          <w:lang w:val="fr-FR" w:eastAsia="fr-FR"/>
        </w:rPr>
        <w:t>2</w:t>
      </w:r>
      <w:r w:rsidRPr="00B6647E">
        <w:rPr>
          <w:rFonts w:ascii="Arial" w:hAnsi="Arial" w:cs="Arial"/>
          <w:b/>
          <w:sz w:val="20"/>
          <w:szCs w:val="20"/>
          <w:lang w:val="fr-FR" w:eastAsia="fr-FR"/>
        </w:rPr>
        <w:t> : Valeur de la production vivrière</w:t>
      </w:r>
      <w:r w:rsidR="0000399D" w:rsidRPr="00B6647E">
        <w:rPr>
          <w:rFonts w:ascii="Arial" w:hAnsi="Arial" w:cs="Arial"/>
          <w:b/>
          <w:sz w:val="20"/>
          <w:szCs w:val="20"/>
          <w:lang w:val="fr-FR" w:eastAsia="fr-FR"/>
        </w:rPr>
        <w:t xml:space="preserve"> par saison</w:t>
      </w:r>
    </w:p>
    <w:p w:rsidR="00FE7EB9" w:rsidRPr="00B6647E" w:rsidRDefault="008E78B4" w:rsidP="00604946">
      <w:pPr>
        <w:spacing w:after="120" w:line="240" w:lineRule="auto"/>
        <w:rPr>
          <w:rFonts w:ascii="Arial" w:hAnsi="Arial" w:cs="Arial"/>
          <w:sz w:val="20"/>
          <w:szCs w:val="20"/>
          <w:lang w:val="fr-FR" w:eastAsia="fr-FR"/>
        </w:rPr>
      </w:pPr>
      <w:r w:rsidRPr="00B6647E">
        <w:rPr>
          <w:noProof/>
          <w:szCs w:val="20"/>
          <w:lang w:val="fr-FR" w:eastAsia="fr-FR"/>
        </w:rPr>
        <w:drawing>
          <wp:inline distT="0" distB="0" distL="0" distR="0">
            <wp:extent cx="4667250" cy="3438525"/>
            <wp:effectExtent l="19050" t="0" r="0" b="0"/>
            <wp:docPr id="1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8" cstate="print"/>
                    <a:srcRect/>
                    <a:stretch>
                      <a:fillRect/>
                    </a:stretch>
                  </pic:blipFill>
                  <pic:spPr bwMode="auto">
                    <a:xfrm>
                      <a:off x="0" y="0"/>
                      <a:ext cx="4667250" cy="3438525"/>
                    </a:xfrm>
                    <a:prstGeom prst="rect">
                      <a:avLst/>
                    </a:prstGeom>
                    <a:noFill/>
                    <a:ln w="9525">
                      <a:noFill/>
                      <a:miter lim="800000"/>
                      <a:headEnd/>
                      <a:tailEnd/>
                    </a:ln>
                  </pic:spPr>
                </pic:pic>
              </a:graphicData>
            </a:graphic>
          </wp:inline>
        </w:drawing>
      </w:r>
    </w:p>
    <w:p w:rsidR="000F18F2" w:rsidRPr="00B6647E" w:rsidRDefault="00963424" w:rsidP="00196705">
      <w:pPr>
        <w:pStyle w:val="Titre2"/>
        <w:keepNext w:val="0"/>
        <w:numPr>
          <w:ilvl w:val="1"/>
          <w:numId w:val="1"/>
        </w:numPr>
        <w:spacing w:before="240" w:after="200"/>
        <w:ind w:left="0" w:firstLine="0"/>
        <w:rPr>
          <w:rFonts w:cs="Arial"/>
          <w:u w:val="dotDash"/>
        </w:rPr>
      </w:pPr>
      <w:bookmarkStart w:id="336" w:name="_Toc354313919"/>
      <w:r w:rsidRPr="00B6647E">
        <w:rPr>
          <w:rFonts w:cs="Arial"/>
          <w:u w:val="dotDash"/>
        </w:rPr>
        <w:t>Valorisation des activités de p</w:t>
      </w:r>
      <w:r w:rsidR="000F18F2" w:rsidRPr="00B6647E">
        <w:rPr>
          <w:rFonts w:cs="Arial"/>
          <w:u w:val="dotDash"/>
        </w:rPr>
        <w:t>êche</w:t>
      </w:r>
      <w:r w:rsidR="00B5433D" w:rsidRPr="00B6647E">
        <w:rPr>
          <w:rFonts w:cs="Arial"/>
          <w:u w:val="dotDash"/>
        </w:rPr>
        <w:t xml:space="preserve">, </w:t>
      </w:r>
      <w:r w:rsidRPr="00B6647E">
        <w:rPr>
          <w:rFonts w:cs="Arial"/>
          <w:u w:val="dotDash"/>
        </w:rPr>
        <w:t>a</w:t>
      </w:r>
      <w:r w:rsidR="000F18F2" w:rsidRPr="00B6647E">
        <w:rPr>
          <w:rFonts w:cs="Arial"/>
          <w:u w:val="dotDash"/>
        </w:rPr>
        <w:t>piculture</w:t>
      </w:r>
      <w:r w:rsidR="00B5433D" w:rsidRPr="00B6647E">
        <w:rPr>
          <w:rFonts w:cs="Arial"/>
          <w:u w:val="dotDash"/>
        </w:rPr>
        <w:t xml:space="preserve"> et </w:t>
      </w:r>
      <w:r w:rsidRPr="00B6647E">
        <w:rPr>
          <w:rFonts w:cs="Arial"/>
          <w:u w:val="dotDash"/>
        </w:rPr>
        <w:t>s</w:t>
      </w:r>
      <w:r w:rsidR="000F18F2" w:rsidRPr="00B6647E">
        <w:rPr>
          <w:rFonts w:cs="Arial"/>
          <w:u w:val="dotDash"/>
        </w:rPr>
        <w:t>ylviculture</w:t>
      </w:r>
      <w:bookmarkEnd w:id="336"/>
    </w:p>
    <w:p w:rsidR="009A39AF" w:rsidRPr="00B6647E" w:rsidRDefault="009A39AF" w:rsidP="00604946">
      <w:pPr>
        <w:spacing w:after="120" w:line="240" w:lineRule="auto"/>
        <w:jc w:val="both"/>
        <w:rPr>
          <w:rFonts w:ascii="Arial" w:hAnsi="Arial" w:cs="Arial"/>
          <w:sz w:val="20"/>
          <w:szCs w:val="20"/>
          <w:lang w:val="fr-FR" w:eastAsia="fr-FR"/>
        </w:rPr>
      </w:pPr>
      <w:r w:rsidRPr="00B6647E">
        <w:rPr>
          <w:rFonts w:ascii="Arial" w:hAnsi="Arial" w:cs="Arial"/>
          <w:sz w:val="20"/>
          <w:szCs w:val="20"/>
          <w:lang w:val="fr-FR" w:eastAsia="fr-FR"/>
        </w:rPr>
        <w:t>L</w:t>
      </w:r>
      <w:r w:rsidR="00963424" w:rsidRPr="00B6647E">
        <w:rPr>
          <w:rFonts w:ascii="Arial" w:hAnsi="Arial" w:cs="Arial"/>
          <w:sz w:val="20"/>
          <w:szCs w:val="20"/>
          <w:lang w:val="fr-FR" w:eastAsia="fr-FR"/>
        </w:rPr>
        <w:t>a  valeur</w:t>
      </w:r>
      <w:r w:rsidRPr="00B6647E">
        <w:rPr>
          <w:rFonts w:ascii="Arial" w:hAnsi="Arial" w:cs="Arial"/>
          <w:sz w:val="20"/>
          <w:szCs w:val="20"/>
          <w:lang w:val="fr-FR" w:eastAsia="fr-FR"/>
        </w:rPr>
        <w:t xml:space="preserve"> total</w:t>
      </w:r>
      <w:r w:rsidR="00963424" w:rsidRPr="00B6647E">
        <w:rPr>
          <w:rFonts w:ascii="Arial" w:hAnsi="Arial" w:cs="Arial"/>
          <w:sz w:val="20"/>
          <w:szCs w:val="20"/>
          <w:lang w:val="fr-FR" w:eastAsia="fr-FR"/>
        </w:rPr>
        <w:t>e</w:t>
      </w:r>
      <w:r w:rsidRPr="00B6647E">
        <w:rPr>
          <w:rFonts w:ascii="Arial" w:hAnsi="Arial" w:cs="Arial"/>
          <w:sz w:val="20"/>
          <w:szCs w:val="20"/>
          <w:lang w:val="fr-FR" w:eastAsia="fr-FR"/>
        </w:rPr>
        <w:t xml:space="preserve"> de la campagne agricole 2011-2012 tiré</w:t>
      </w:r>
      <w:r w:rsidR="00963424" w:rsidRPr="00B6647E">
        <w:rPr>
          <w:rFonts w:ascii="Arial" w:hAnsi="Arial" w:cs="Arial"/>
          <w:sz w:val="20"/>
          <w:szCs w:val="20"/>
          <w:lang w:val="fr-FR" w:eastAsia="fr-FR"/>
        </w:rPr>
        <w:t>e</w:t>
      </w:r>
      <w:r w:rsidRPr="00B6647E">
        <w:rPr>
          <w:rFonts w:ascii="Arial" w:hAnsi="Arial" w:cs="Arial"/>
          <w:sz w:val="20"/>
          <w:szCs w:val="20"/>
          <w:lang w:val="fr-FR" w:eastAsia="fr-FR"/>
        </w:rPr>
        <w:t xml:space="preserve"> de la production de la pêche, de l’apiculture et de la sylviculture par les ménages agricoles a été estimé</w:t>
      </w:r>
      <w:r w:rsidR="00963424" w:rsidRPr="00B6647E">
        <w:rPr>
          <w:rFonts w:ascii="Arial" w:hAnsi="Arial" w:cs="Arial"/>
          <w:sz w:val="20"/>
          <w:szCs w:val="20"/>
          <w:lang w:val="fr-FR" w:eastAsia="fr-FR"/>
        </w:rPr>
        <w:t>e</w:t>
      </w:r>
      <w:r w:rsidRPr="00B6647E">
        <w:rPr>
          <w:rFonts w:ascii="Arial" w:hAnsi="Arial" w:cs="Arial"/>
          <w:sz w:val="20"/>
          <w:szCs w:val="20"/>
          <w:lang w:val="fr-FR" w:eastAsia="fr-FR"/>
        </w:rPr>
        <w:t xml:space="preserve"> à 136.382 millions de FBu. </w:t>
      </w:r>
    </w:p>
    <w:p w:rsidR="008A2C7B" w:rsidRPr="00B6647E" w:rsidRDefault="008A2C7B" w:rsidP="00604946">
      <w:pPr>
        <w:spacing w:after="0" w:line="240" w:lineRule="auto"/>
        <w:rPr>
          <w:rFonts w:ascii="Arial" w:hAnsi="Arial" w:cs="Arial"/>
          <w:b/>
          <w:sz w:val="20"/>
          <w:szCs w:val="20"/>
          <w:lang w:val="fr-FR" w:eastAsia="fr-FR"/>
        </w:rPr>
      </w:pPr>
      <w:r w:rsidRPr="00B6647E">
        <w:rPr>
          <w:rFonts w:ascii="Arial" w:hAnsi="Arial" w:cs="Arial"/>
          <w:b/>
          <w:sz w:val="20"/>
          <w:szCs w:val="20"/>
          <w:lang w:val="fr-FR" w:eastAsia="fr-FR"/>
        </w:rPr>
        <w:t xml:space="preserve">Tableau </w:t>
      </w:r>
      <w:r w:rsidR="007177FA">
        <w:rPr>
          <w:rFonts w:ascii="Arial" w:hAnsi="Arial" w:cs="Arial"/>
          <w:b/>
          <w:sz w:val="20"/>
          <w:szCs w:val="20"/>
          <w:lang w:val="fr-FR" w:eastAsia="fr-FR"/>
        </w:rPr>
        <w:t>24</w:t>
      </w:r>
      <w:r w:rsidR="00D170FE" w:rsidRPr="00B6647E">
        <w:rPr>
          <w:rFonts w:ascii="Arial" w:hAnsi="Arial" w:cs="Arial"/>
          <w:b/>
          <w:sz w:val="20"/>
          <w:szCs w:val="20"/>
          <w:lang w:val="fr-FR" w:eastAsia="fr-FR"/>
        </w:rPr>
        <w:t>3</w:t>
      </w:r>
      <w:r w:rsidRPr="00B6647E">
        <w:rPr>
          <w:rFonts w:ascii="Arial" w:hAnsi="Arial" w:cs="Arial"/>
          <w:b/>
          <w:sz w:val="20"/>
          <w:szCs w:val="20"/>
          <w:lang w:val="fr-FR" w:eastAsia="fr-FR"/>
        </w:rPr>
        <w:t xml:space="preserve"> : </w:t>
      </w:r>
      <w:r w:rsidR="00963424" w:rsidRPr="00B6647E">
        <w:rPr>
          <w:rFonts w:ascii="Arial" w:hAnsi="Arial" w:cs="Arial"/>
          <w:b/>
          <w:sz w:val="20"/>
          <w:szCs w:val="20"/>
          <w:lang w:val="fr-FR" w:eastAsia="fr-FR"/>
        </w:rPr>
        <w:t>Valeur</w:t>
      </w:r>
      <w:r w:rsidRPr="00B6647E">
        <w:rPr>
          <w:rFonts w:ascii="Arial" w:hAnsi="Arial" w:cs="Arial"/>
          <w:b/>
          <w:sz w:val="20"/>
          <w:szCs w:val="20"/>
          <w:lang w:val="fr-FR" w:eastAsia="fr-FR"/>
        </w:rPr>
        <w:t xml:space="preserve"> tiré</w:t>
      </w:r>
      <w:r w:rsidR="00963424" w:rsidRPr="00B6647E">
        <w:rPr>
          <w:rFonts w:ascii="Arial" w:hAnsi="Arial" w:cs="Arial"/>
          <w:b/>
          <w:sz w:val="20"/>
          <w:szCs w:val="20"/>
          <w:lang w:val="fr-FR" w:eastAsia="fr-FR"/>
        </w:rPr>
        <w:t>e</w:t>
      </w:r>
      <w:r w:rsidRPr="00B6647E">
        <w:rPr>
          <w:rFonts w:ascii="Arial" w:hAnsi="Arial" w:cs="Arial"/>
          <w:b/>
          <w:sz w:val="20"/>
          <w:szCs w:val="20"/>
          <w:lang w:val="fr-FR" w:eastAsia="fr-FR"/>
        </w:rPr>
        <w:t xml:space="preserve"> de la pêche, apiculture et sylviculture</w:t>
      </w:r>
      <w:r w:rsidR="009A39AF" w:rsidRPr="00B6647E">
        <w:rPr>
          <w:rFonts w:ascii="Arial" w:hAnsi="Arial" w:cs="Arial"/>
          <w:b/>
          <w:sz w:val="20"/>
          <w:szCs w:val="20"/>
          <w:lang w:val="fr-FR" w:eastAsia="fr-FR"/>
        </w:rPr>
        <w:t xml:space="preserve"> au cours des trois saisons</w:t>
      </w:r>
    </w:p>
    <w:p w:rsidR="008A2C7B" w:rsidRPr="00B6647E" w:rsidRDefault="002E2993" w:rsidP="00604946">
      <w:pPr>
        <w:spacing w:after="0" w:line="240" w:lineRule="auto"/>
        <w:rPr>
          <w:rFonts w:ascii="Arial" w:hAnsi="Arial" w:cs="Arial"/>
          <w:sz w:val="20"/>
          <w:szCs w:val="20"/>
          <w:lang w:val="fr-FR" w:eastAsia="fr-FR"/>
        </w:rPr>
      </w:pPr>
      <w:r w:rsidRPr="00B6647E">
        <w:rPr>
          <w:rFonts w:ascii="Arial" w:hAnsi="Arial" w:cs="Arial"/>
          <w:noProof/>
          <w:sz w:val="20"/>
          <w:szCs w:val="20"/>
          <w:lang w:val="fr-FR" w:eastAsia="fr-FR"/>
        </w:rPr>
        <w:drawing>
          <wp:inline distT="0" distB="0" distL="0" distR="0">
            <wp:extent cx="4667250" cy="3438525"/>
            <wp:effectExtent l="19050" t="0" r="0" b="0"/>
            <wp:docPr id="2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9" cstate="print"/>
                    <a:srcRect/>
                    <a:stretch>
                      <a:fillRect/>
                    </a:stretch>
                  </pic:blipFill>
                  <pic:spPr bwMode="auto">
                    <a:xfrm>
                      <a:off x="0" y="0"/>
                      <a:ext cx="4667250" cy="3438525"/>
                    </a:xfrm>
                    <a:prstGeom prst="rect">
                      <a:avLst/>
                    </a:prstGeom>
                    <a:noFill/>
                    <a:ln w="9525">
                      <a:noFill/>
                      <a:miter lim="800000"/>
                      <a:headEnd/>
                      <a:tailEnd/>
                    </a:ln>
                  </pic:spPr>
                </pic:pic>
              </a:graphicData>
            </a:graphic>
          </wp:inline>
        </w:drawing>
      </w:r>
    </w:p>
    <w:p w:rsidR="005E02C3" w:rsidRPr="00B6647E" w:rsidRDefault="005E02C3" w:rsidP="005E02C3">
      <w:pPr>
        <w:spacing w:after="120" w:line="240" w:lineRule="auto"/>
        <w:jc w:val="both"/>
        <w:rPr>
          <w:rFonts w:ascii="Arial" w:hAnsi="Arial" w:cs="Arial"/>
          <w:sz w:val="20"/>
          <w:szCs w:val="20"/>
          <w:lang w:val="fr-FR" w:eastAsia="fr-FR"/>
        </w:rPr>
      </w:pPr>
      <w:r w:rsidRPr="00B6647E">
        <w:rPr>
          <w:rFonts w:ascii="Arial" w:hAnsi="Arial" w:cs="Arial"/>
          <w:sz w:val="20"/>
          <w:szCs w:val="20"/>
          <w:lang w:val="fr-FR" w:eastAsia="fr-FR"/>
        </w:rPr>
        <w:lastRenderedPageBreak/>
        <w:t>L’essentiel de cette valeur provient de la sylviculture avec 113.063 millions de FBu (82,9% de la valeur totale de ces trois activités). La pêche a contribué à 19.230 millions de FBu (14,1%) et l’apiculture à 4.089 millions de FBu (3%).</w:t>
      </w:r>
    </w:p>
    <w:p w:rsidR="00CC058C" w:rsidRPr="00B6647E" w:rsidRDefault="00CC058C" w:rsidP="00604946">
      <w:pPr>
        <w:spacing w:after="120" w:line="240" w:lineRule="auto"/>
        <w:jc w:val="both"/>
        <w:rPr>
          <w:rFonts w:ascii="Arial" w:hAnsi="Arial" w:cs="Arial"/>
          <w:sz w:val="20"/>
          <w:szCs w:val="20"/>
          <w:lang w:val="fr-FR" w:eastAsia="fr-FR"/>
        </w:rPr>
      </w:pPr>
      <w:r w:rsidRPr="00B6647E">
        <w:rPr>
          <w:rFonts w:ascii="Arial" w:hAnsi="Arial" w:cs="Arial"/>
          <w:sz w:val="20"/>
          <w:szCs w:val="20"/>
          <w:lang w:val="fr-FR" w:eastAsia="fr-FR"/>
        </w:rPr>
        <w:t>L</w:t>
      </w:r>
      <w:r w:rsidR="00963424" w:rsidRPr="00B6647E">
        <w:rPr>
          <w:rFonts w:ascii="Arial" w:hAnsi="Arial" w:cs="Arial"/>
          <w:sz w:val="20"/>
          <w:szCs w:val="20"/>
          <w:lang w:val="fr-FR" w:eastAsia="fr-FR"/>
        </w:rPr>
        <w:t>a valeur</w:t>
      </w:r>
      <w:r w:rsidRPr="00B6647E">
        <w:rPr>
          <w:rFonts w:ascii="Arial" w:hAnsi="Arial" w:cs="Arial"/>
          <w:sz w:val="20"/>
          <w:szCs w:val="20"/>
          <w:lang w:val="fr-FR" w:eastAsia="fr-FR"/>
        </w:rPr>
        <w:t xml:space="preserve"> de la saison A estimé</w:t>
      </w:r>
      <w:r w:rsidR="00FE6752" w:rsidRPr="00B6647E">
        <w:rPr>
          <w:rFonts w:ascii="Arial" w:hAnsi="Arial" w:cs="Arial"/>
          <w:sz w:val="20"/>
          <w:szCs w:val="20"/>
          <w:lang w:val="fr-FR" w:eastAsia="fr-FR"/>
        </w:rPr>
        <w:t>e</w:t>
      </w:r>
      <w:r w:rsidRPr="00B6647E">
        <w:rPr>
          <w:rFonts w:ascii="Arial" w:hAnsi="Arial" w:cs="Arial"/>
          <w:sz w:val="20"/>
          <w:szCs w:val="20"/>
          <w:lang w:val="fr-FR" w:eastAsia="fr-FR"/>
        </w:rPr>
        <w:t xml:space="preserve"> </w:t>
      </w:r>
      <w:r w:rsidR="00FE6752" w:rsidRPr="00B6647E">
        <w:rPr>
          <w:rFonts w:ascii="Arial" w:hAnsi="Arial" w:cs="Arial"/>
          <w:sz w:val="20"/>
          <w:szCs w:val="20"/>
          <w:lang w:val="fr-FR" w:eastAsia="fr-FR"/>
        </w:rPr>
        <w:t xml:space="preserve">à </w:t>
      </w:r>
      <w:r w:rsidRPr="00B6647E">
        <w:rPr>
          <w:rFonts w:ascii="Arial" w:hAnsi="Arial" w:cs="Arial"/>
          <w:sz w:val="20"/>
          <w:szCs w:val="20"/>
          <w:lang w:val="fr-FR" w:eastAsia="fr-FR"/>
        </w:rPr>
        <w:t>117.965 millions de FBu représente 86,5% d</w:t>
      </w:r>
      <w:r w:rsidR="00FE6752" w:rsidRPr="00B6647E">
        <w:rPr>
          <w:rFonts w:ascii="Arial" w:hAnsi="Arial" w:cs="Arial"/>
          <w:sz w:val="20"/>
          <w:szCs w:val="20"/>
          <w:lang w:val="fr-FR" w:eastAsia="fr-FR"/>
        </w:rPr>
        <w:t xml:space="preserve">e la valeur totale </w:t>
      </w:r>
      <w:r w:rsidRPr="00B6647E">
        <w:rPr>
          <w:rFonts w:ascii="Arial" w:hAnsi="Arial" w:cs="Arial"/>
          <w:sz w:val="20"/>
          <w:szCs w:val="20"/>
          <w:lang w:val="fr-FR" w:eastAsia="fr-FR"/>
        </w:rPr>
        <w:t>de ces trois activités de toute la campagne agricole. Cel</w:t>
      </w:r>
      <w:r w:rsidR="00FE6752" w:rsidRPr="00B6647E">
        <w:rPr>
          <w:rFonts w:ascii="Arial" w:hAnsi="Arial" w:cs="Arial"/>
          <w:sz w:val="20"/>
          <w:szCs w:val="20"/>
          <w:lang w:val="fr-FR" w:eastAsia="fr-FR"/>
        </w:rPr>
        <w:t>le</w:t>
      </w:r>
      <w:r w:rsidRPr="00B6647E">
        <w:rPr>
          <w:rFonts w:ascii="Arial" w:hAnsi="Arial" w:cs="Arial"/>
          <w:sz w:val="20"/>
          <w:szCs w:val="20"/>
          <w:lang w:val="fr-FR" w:eastAsia="fr-FR"/>
        </w:rPr>
        <w:t xml:space="preserve"> de la saison B a été évalué</w:t>
      </w:r>
      <w:r w:rsidR="00FE6752" w:rsidRPr="00B6647E">
        <w:rPr>
          <w:rFonts w:ascii="Arial" w:hAnsi="Arial" w:cs="Arial"/>
          <w:sz w:val="20"/>
          <w:szCs w:val="20"/>
          <w:lang w:val="fr-FR" w:eastAsia="fr-FR"/>
        </w:rPr>
        <w:t>e</w:t>
      </w:r>
      <w:r w:rsidRPr="00B6647E">
        <w:rPr>
          <w:rFonts w:ascii="Arial" w:hAnsi="Arial" w:cs="Arial"/>
          <w:sz w:val="20"/>
          <w:szCs w:val="20"/>
          <w:lang w:val="fr-FR" w:eastAsia="fr-FR"/>
        </w:rPr>
        <w:t xml:space="preserve"> à 8.172 millions de FBu (6%) et </w:t>
      </w:r>
      <w:r w:rsidR="00FE6752" w:rsidRPr="00B6647E">
        <w:rPr>
          <w:rFonts w:ascii="Arial" w:hAnsi="Arial" w:cs="Arial"/>
          <w:sz w:val="20"/>
          <w:szCs w:val="20"/>
          <w:lang w:val="fr-FR" w:eastAsia="fr-FR"/>
        </w:rPr>
        <w:t>elle</w:t>
      </w:r>
      <w:r w:rsidRPr="00B6647E">
        <w:rPr>
          <w:rFonts w:ascii="Arial" w:hAnsi="Arial" w:cs="Arial"/>
          <w:sz w:val="20"/>
          <w:szCs w:val="20"/>
          <w:lang w:val="fr-FR" w:eastAsia="fr-FR"/>
        </w:rPr>
        <w:t xml:space="preserve"> </w:t>
      </w:r>
      <w:r w:rsidR="00FE6752" w:rsidRPr="00B6647E">
        <w:rPr>
          <w:rFonts w:ascii="Arial" w:hAnsi="Arial" w:cs="Arial"/>
          <w:sz w:val="20"/>
          <w:szCs w:val="20"/>
          <w:lang w:val="fr-FR" w:eastAsia="fr-FR"/>
        </w:rPr>
        <w:t xml:space="preserve">vaut </w:t>
      </w:r>
      <w:r w:rsidRPr="00B6647E">
        <w:rPr>
          <w:rFonts w:ascii="Arial" w:hAnsi="Arial" w:cs="Arial"/>
          <w:sz w:val="20"/>
          <w:szCs w:val="20"/>
          <w:lang w:val="fr-FR" w:eastAsia="fr-FR"/>
        </w:rPr>
        <w:t>10.246 millions de FBU (7,5%) au cours de la saison.</w:t>
      </w:r>
    </w:p>
    <w:p w:rsidR="009D3279" w:rsidRPr="00B6647E" w:rsidRDefault="002E2993" w:rsidP="00604946">
      <w:pPr>
        <w:spacing w:after="120" w:line="240" w:lineRule="auto"/>
        <w:jc w:val="both"/>
        <w:rPr>
          <w:rFonts w:ascii="Arial" w:hAnsi="Arial" w:cs="Arial"/>
          <w:sz w:val="20"/>
          <w:szCs w:val="20"/>
          <w:lang w:val="fr-FR" w:eastAsia="fr-FR"/>
        </w:rPr>
      </w:pPr>
      <w:r w:rsidRPr="00B6647E">
        <w:rPr>
          <w:rFonts w:ascii="Arial" w:hAnsi="Arial" w:cs="Arial"/>
          <w:sz w:val="20"/>
          <w:szCs w:val="20"/>
          <w:lang w:val="fr-FR" w:eastAsia="fr-FR"/>
        </w:rPr>
        <w:t>Les plus grandes valeurs cumulées des trois activ</w:t>
      </w:r>
      <w:r w:rsidR="0040494C" w:rsidRPr="00B6647E">
        <w:rPr>
          <w:rFonts w:ascii="Arial" w:hAnsi="Arial" w:cs="Arial"/>
          <w:sz w:val="20"/>
          <w:szCs w:val="20"/>
          <w:lang w:val="fr-FR" w:eastAsia="fr-FR"/>
        </w:rPr>
        <w:t>it</w:t>
      </w:r>
      <w:r w:rsidRPr="00B6647E">
        <w:rPr>
          <w:rFonts w:ascii="Arial" w:hAnsi="Arial" w:cs="Arial"/>
          <w:sz w:val="20"/>
          <w:szCs w:val="20"/>
          <w:lang w:val="fr-FR" w:eastAsia="fr-FR"/>
        </w:rPr>
        <w:t>és ont été évaluées dans les provinces de Mwaro (54.000 millions de FBu), Gitega (48.576 millions de FBu) et loin derrière dans Bururi (12.441 millions de FBu) grâce principalement à la sylviculture.</w:t>
      </w:r>
      <w:r w:rsidR="00E15205" w:rsidRPr="00B6647E">
        <w:rPr>
          <w:rFonts w:ascii="Arial" w:hAnsi="Arial" w:cs="Arial"/>
          <w:sz w:val="20"/>
          <w:szCs w:val="20"/>
          <w:lang w:val="fr-FR" w:eastAsia="fr-FR"/>
        </w:rPr>
        <w:t xml:space="preserve"> Les valeurs les plus petites ont été enregistrées dans les provinces de </w:t>
      </w:r>
      <w:r w:rsidR="00337437" w:rsidRPr="00B6647E">
        <w:rPr>
          <w:rFonts w:ascii="Arial" w:hAnsi="Arial" w:cs="Arial"/>
          <w:sz w:val="20"/>
          <w:szCs w:val="20"/>
          <w:lang w:val="fr-FR" w:eastAsia="fr-FR"/>
        </w:rPr>
        <w:t xml:space="preserve">Cankuzo (467 millions de FBu), </w:t>
      </w:r>
      <w:r w:rsidR="00E15205" w:rsidRPr="00B6647E">
        <w:rPr>
          <w:rFonts w:ascii="Arial" w:hAnsi="Arial" w:cs="Arial"/>
          <w:sz w:val="20"/>
          <w:szCs w:val="20"/>
          <w:lang w:val="fr-FR" w:eastAsia="fr-FR"/>
        </w:rPr>
        <w:t xml:space="preserve">Karuzi (598 millions de FBu), </w:t>
      </w:r>
      <w:r w:rsidR="00337437" w:rsidRPr="00B6647E">
        <w:rPr>
          <w:rFonts w:ascii="Arial" w:hAnsi="Arial" w:cs="Arial"/>
          <w:sz w:val="20"/>
          <w:szCs w:val="20"/>
          <w:lang w:val="fr-FR" w:eastAsia="fr-FR"/>
        </w:rPr>
        <w:t>Bubanza (743 millions FBu) et Ruyigi (973 millions de FBu).</w:t>
      </w:r>
    </w:p>
    <w:p w:rsidR="002E2993" w:rsidRPr="00B6647E" w:rsidRDefault="00DA3864" w:rsidP="00604946">
      <w:pPr>
        <w:spacing w:after="120" w:line="240" w:lineRule="auto"/>
        <w:jc w:val="both"/>
        <w:rPr>
          <w:rFonts w:ascii="Arial" w:hAnsi="Arial" w:cs="Arial"/>
          <w:sz w:val="20"/>
          <w:szCs w:val="20"/>
          <w:lang w:val="fr-FR" w:eastAsia="fr-FR"/>
        </w:rPr>
      </w:pPr>
      <w:r w:rsidRPr="00B6647E">
        <w:rPr>
          <w:rFonts w:ascii="Arial" w:hAnsi="Arial" w:cs="Arial"/>
          <w:sz w:val="20"/>
          <w:szCs w:val="20"/>
          <w:lang w:val="fr-FR" w:eastAsia="fr-FR"/>
        </w:rPr>
        <w:t>Au niveau national, le montant</w:t>
      </w:r>
      <w:r w:rsidR="00854EF0" w:rsidRPr="00B6647E">
        <w:rPr>
          <w:rFonts w:ascii="Arial" w:hAnsi="Arial" w:cs="Arial"/>
          <w:sz w:val="20"/>
          <w:szCs w:val="20"/>
          <w:lang w:val="fr-FR" w:eastAsia="fr-FR"/>
        </w:rPr>
        <w:t xml:space="preserve"> moyen par ménage a été estimé à 87.620 FBu</w:t>
      </w:r>
      <w:r w:rsidRPr="00B6647E">
        <w:rPr>
          <w:rFonts w:ascii="Arial" w:hAnsi="Arial" w:cs="Arial"/>
          <w:sz w:val="20"/>
          <w:szCs w:val="20"/>
          <w:lang w:val="fr-FR" w:eastAsia="fr-FR"/>
        </w:rPr>
        <w:t xml:space="preserve"> pour les trois activités (pêche, apiculture et sylviculture)</w:t>
      </w:r>
      <w:r w:rsidR="00854EF0" w:rsidRPr="00B6647E">
        <w:rPr>
          <w:rFonts w:ascii="Arial" w:hAnsi="Arial" w:cs="Arial"/>
          <w:sz w:val="20"/>
          <w:szCs w:val="20"/>
          <w:lang w:val="fr-FR" w:eastAsia="fr-FR"/>
        </w:rPr>
        <w:t xml:space="preserve">. Seules </w:t>
      </w:r>
      <w:r w:rsidR="0040494C" w:rsidRPr="00B6647E">
        <w:rPr>
          <w:rFonts w:ascii="Arial" w:hAnsi="Arial" w:cs="Arial"/>
          <w:sz w:val="20"/>
          <w:szCs w:val="20"/>
          <w:lang w:val="fr-FR" w:eastAsia="fr-FR"/>
        </w:rPr>
        <w:t xml:space="preserve">les </w:t>
      </w:r>
      <w:r w:rsidR="00854EF0" w:rsidRPr="00B6647E">
        <w:rPr>
          <w:rFonts w:ascii="Arial" w:hAnsi="Arial" w:cs="Arial"/>
          <w:sz w:val="20"/>
          <w:szCs w:val="20"/>
          <w:lang w:val="fr-FR" w:eastAsia="fr-FR"/>
        </w:rPr>
        <w:t xml:space="preserve">trois provinces </w:t>
      </w:r>
      <w:r w:rsidR="0040494C" w:rsidRPr="00B6647E">
        <w:rPr>
          <w:rFonts w:ascii="Arial" w:hAnsi="Arial" w:cs="Arial"/>
          <w:sz w:val="20"/>
          <w:szCs w:val="20"/>
          <w:lang w:val="fr-FR" w:eastAsia="fr-FR"/>
        </w:rPr>
        <w:t xml:space="preserve">qui ont d’ailleurs les </w:t>
      </w:r>
      <w:r w:rsidRPr="00B6647E">
        <w:rPr>
          <w:rFonts w:ascii="Arial" w:hAnsi="Arial" w:cs="Arial"/>
          <w:sz w:val="20"/>
          <w:szCs w:val="20"/>
          <w:lang w:val="fr-FR" w:eastAsia="fr-FR"/>
        </w:rPr>
        <w:t>montants</w:t>
      </w:r>
      <w:r w:rsidR="0040494C" w:rsidRPr="00B6647E">
        <w:rPr>
          <w:rFonts w:ascii="Arial" w:hAnsi="Arial" w:cs="Arial"/>
          <w:sz w:val="20"/>
          <w:szCs w:val="20"/>
          <w:lang w:val="fr-FR" w:eastAsia="fr-FR"/>
        </w:rPr>
        <w:t xml:space="preserve"> cumulés des trois activités les plus élevés </w:t>
      </w:r>
      <w:r w:rsidR="00854EF0" w:rsidRPr="00B6647E">
        <w:rPr>
          <w:rFonts w:ascii="Arial" w:hAnsi="Arial" w:cs="Arial"/>
          <w:sz w:val="20"/>
          <w:szCs w:val="20"/>
          <w:lang w:val="fr-FR" w:eastAsia="fr-FR"/>
        </w:rPr>
        <w:t xml:space="preserve">ont </w:t>
      </w:r>
      <w:r w:rsidR="0040494C" w:rsidRPr="00B6647E">
        <w:rPr>
          <w:rFonts w:ascii="Arial" w:hAnsi="Arial" w:cs="Arial"/>
          <w:sz w:val="20"/>
          <w:szCs w:val="20"/>
          <w:lang w:val="fr-FR" w:eastAsia="fr-FR"/>
        </w:rPr>
        <w:t xml:space="preserve">aussi </w:t>
      </w:r>
      <w:r w:rsidR="00854EF0" w:rsidRPr="00B6647E">
        <w:rPr>
          <w:rFonts w:ascii="Arial" w:hAnsi="Arial" w:cs="Arial"/>
          <w:sz w:val="20"/>
          <w:szCs w:val="20"/>
          <w:lang w:val="fr-FR" w:eastAsia="fr-FR"/>
        </w:rPr>
        <w:t xml:space="preserve">des </w:t>
      </w:r>
      <w:r w:rsidRPr="00B6647E">
        <w:rPr>
          <w:rFonts w:ascii="Arial" w:hAnsi="Arial" w:cs="Arial"/>
          <w:sz w:val="20"/>
          <w:szCs w:val="20"/>
          <w:lang w:val="fr-FR" w:eastAsia="fr-FR"/>
        </w:rPr>
        <w:t>montants</w:t>
      </w:r>
      <w:r w:rsidR="00854EF0" w:rsidRPr="00B6647E">
        <w:rPr>
          <w:rFonts w:ascii="Arial" w:hAnsi="Arial" w:cs="Arial"/>
          <w:sz w:val="20"/>
          <w:szCs w:val="20"/>
          <w:lang w:val="fr-FR" w:eastAsia="fr-FR"/>
        </w:rPr>
        <w:t xml:space="preserve"> moyens supérieurs à </w:t>
      </w:r>
      <w:r w:rsidR="0040494C" w:rsidRPr="00B6647E">
        <w:rPr>
          <w:rFonts w:ascii="Arial" w:hAnsi="Arial" w:cs="Arial"/>
          <w:sz w:val="20"/>
          <w:szCs w:val="20"/>
          <w:lang w:val="fr-FR" w:eastAsia="fr-FR"/>
        </w:rPr>
        <w:t>la</w:t>
      </w:r>
      <w:r w:rsidR="00854EF0" w:rsidRPr="00B6647E">
        <w:rPr>
          <w:rFonts w:ascii="Arial" w:hAnsi="Arial" w:cs="Arial"/>
          <w:sz w:val="20"/>
          <w:szCs w:val="20"/>
          <w:lang w:val="fr-FR" w:eastAsia="fr-FR"/>
        </w:rPr>
        <w:t xml:space="preserve"> moyenne nationale : Mwaro (936.847 FBu), Gitega (346.615 FBu) et Bururi (116.128 FBu).</w:t>
      </w:r>
      <w:r w:rsidR="00E15205" w:rsidRPr="00B6647E">
        <w:rPr>
          <w:rFonts w:ascii="Arial" w:hAnsi="Arial" w:cs="Arial"/>
          <w:sz w:val="20"/>
          <w:szCs w:val="20"/>
          <w:lang w:val="fr-FR" w:eastAsia="fr-FR"/>
        </w:rPr>
        <w:t>Il y a dix provinces qui ont des moyennes très faibles inférieures à 20.000 FBu parmi lesquelles on note trois qui ont des moyennes estimées inférieures à 10.000 FBu </w:t>
      </w:r>
      <w:r w:rsidR="00745133" w:rsidRPr="00B6647E">
        <w:rPr>
          <w:rFonts w:ascii="Arial" w:hAnsi="Arial" w:cs="Arial"/>
          <w:sz w:val="20"/>
          <w:szCs w:val="20"/>
          <w:lang w:val="fr-FR" w:eastAsia="fr-FR"/>
        </w:rPr>
        <w:t>: Karuzi</w:t>
      </w:r>
      <w:r w:rsidR="00E15205" w:rsidRPr="00B6647E">
        <w:rPr>
          <w:rFonts w:ascii="Arial" w:hAnsi="Arial" w:cs="Arial"/>
          <w:sz w:val="20"/>
          <w:szCs w:val="20"/>
          <w:lang w:val="fr-FR" w:eastAsia="fr-FR"/>
        </w:rPr>
        <w:t xml:space="preserve"> (6.246 FBu), Ngozi (8.799 FBu) et Cankuzo (9.784 FBu).</w:t>
      </w:r>
    </w:p>
    <w:p w:rsidR="000F18F2" w:rsidRPr="00B6647E" w:rsidRDefault="00932C54" w:rsidP="0052337E">
      <w:pPr>
        <w:pStyle w:val="Titre2"/>
        <w:keepNext w:val="0"/>
        <w:numPr>
          <w:ilvl w:val="1"/>
          <w:numId w:val="1"/>
        </w:numPr>
        <w:spacing w:before="240" w:after="200"/>
        <w:ind w:left="0" w:firstLine="0"/>
        <w:rPr>
          <w:rFonts w:cs="Arial"/>
          <w:u w:val="dotDash"/>
        </w:rPr>
      </w:pPr>
      <w:bookmarkStart w:id="337" w:name="_Toc354313920"/>
      <w:r w:rsidRPr="00B6647E">
        <w:rPr>
          <w:rFonts w:cs="Arial"/>
          <w:u w:val="dotDash"/>
        </w:rPr>
        <w:t>Revenus des a</w:t>
      </w:r>
      <w:r w:rsidR="008273B0" w:rsidRPr="00B6647E">
        <w:rPr>
          <w:rFonts w:cs="Arial"/>
          <w:u w:val="dotDash"/>
        </w:rPr>
        <w:t>ctivités non agricoles</w:t>
      </w:r>
      <w:bookmarkEnd w:id="337"/>
    </w:p>
    <w:p w:rsidR="00DC4906" w:rsidRPr="00B6647E" w:rsidRDefault="001C5639" w:rsidP="00604946">
      <w:pPr>
        <w:spacing w:after="120" w:line="240" w:lineRule="auto"/>
        <w:jc w:val="both"/>
        <w:rPr>
          <w:rFonts w:ascii="Arial" w:hAnsi="Arial" w:cs="Arial"/>
          <w:sz w:val="20"/>
          <w:szCs w:val="20"/>
          <w:lang w:val="fr-FR" w:eastAsia="fr-FR"/>
        </w:rPr>
      </w:pPr>
      <w:r w:rsidRPr="00B6647E">
        <w:rPr>
          <w:rFonts w:ascii="Arial" w:hAnsi="Arial" w:cs="Arial"/>
          <w:sz w:val="20"/>
          <w:szCs w:val="20"/>
          <w:lang w:val="fr-FR" w:eastAsia="fr-FR"/>
        </w:rPr>
        <w:t xml:space="preserve">Les revenus des activités non agricoles mentionnés dans ce chapitre font référence à </w:t>
      </w:r>
      <w:r w:rsidR="00A40C70" w:rsidRPr="00B6647E">
        <w:rPr>
          <w:rFonts w:ascii="Arial" w:hAnsi="Arial" w:cs="Arial"/>
          <w:sz w:val="20"/>
          <w:szCs w:val="20"/>
          <w:lang w:val="fr-FR" w:eastAsia="fr-FR"/>
        </w:rPr>
        <w:t xml:space="preserve">une période de douze mois correspondant à </w:t>
      </w:r>
      <w:r w:rsidRPr="00B6647E">
        <w:rPr>
          <w:rFonts w:ascii="Arial" w:hAnsi="Arial" w:cs="Arial"/>
          <w:sz w:val="20"/>
          <w:szCs w:val="20"/>
          <w:lang w:val="fr-FR" w:eastAsia="fr-FR"/>
        </w:rPr>
        <w:t xml:space="preserve">la campagne </w:t>
      </w:r>
      <w:r w:rsidR="00A40C70" w:rsidRPr="00B6647E">
        <w:rPr>
          <w:rFonts w:ascii="Arial" w:hAnsi="Arial" w:cs="Arial"/>
          <w:sz w:val="20"/>
          <w:szCs w:val="20"/>
          <w:lang w:val="fr-FR" w:eastAsia="fr-FR"/>
        </w:rPr>
        <w:t xml:space="preserve">agricole </w:t>
      </w:r>
      <w:r w:rsidRPr="00B6647E">
        <w:rPr>
          <w:rFonts w:ascii="Arial" w:hAnsi="Arial" w:cs="Arial"/>
          <w:sz w:val="20"/>
          <w:szCs w:val="20"/>
          <w:lang w:val="fr-FR" w:eastAsia="fr-FR"/>
        </w:rPr>
        <w:t xml:space="preserve">2010-2011 antérieure à </w:t>
      </w:r>
      <w:r w:rsidR="00A40C70" w:rsidRPr="00B6647E">
        <w:rPr>
          <w:rFonts w:ascii="Arial" w:hAnsi="Arial" w:cs="Arial"/>
          <w:sz w:val="20"/>
          <w:szCs w:val="20"/>
          <w:lang w:val="fr-FR" w:eastAsia="fr-FR"/>
        </w:rPr>
        <w:t>celle</w:t>
      </w:r>
      <w:r w:rsidRPr="00B6647E">
        <w:rPr>
          <w:rFonts w:ascii="Arial" w:hAnsi="Arial" w:cs="Arial"/>
          <w:sz w:val="20"/>
          <w:szCs w:val="20"/>
          <w:lang w:val="fr-FR" w:eastAsia="fr-FR"/>
        </w:rPr>
        <w:t xml:space="preserve"> de l’enquête. Il</w:t>
      </w:r>
      <w:r w:rsidR="00A40C70" w:rsidRPr="00B6647E">
        <w:rPr>
          <w:rFonts w:ascii="Arial" w:hAnsi="Arial" w:cs="Arial"/>
          <w:sz w:val="20"/>
          <w:szCs w:val="20"/>
          <w:lang w:val="fr-FR" w:eastAsia="fr-FR"/>
        </w:rPr>
        <w:t xml:space="preserve">s ont été estimés par interview. En l’absence d’informations </w:t>
      </w:r>
      <w:r w:rsidR="00DC4906" w:rsidRPr="00B6647E">
        <w:rPr>
          <w:rFonts w:ascii="Arial" w:hAnsi="Arial" w:cs="Arial"/>
          <w:sz w:val="20"/>
          <w:szCs w:val="20"/>
          <w:lang w:val="fr-FR" w:eastAsia="fr-FR"/>
        </w:rPr>
        <w:t>et en supposant qu’ils sont du même ordre de grandeur pour les deux campagnes, ces revenus ont été reportés sur la campagne 2011-2012.</w:t>
      </w:r>
    </w:p>
    <w:p w:rsidR="000B50B8" w:rsidRPr="00B6647E" w:rsidRDefault="00DC4906" w:rsidP="00604946">
      <w:pPr>
        <w:spacing w:after="120" w:line="240" w:lineRule="auto"/>
        <w:jc w:val="both"/>
        <w:rPr>
          <w:rFonts w:ascii="Arial" w:hAnsi="Arial" w:cs="Arial"/>
          <w:sz w:val="20"/>
          <w:szCs w:val="20"/>
          <w:lang w:val="fr-FR" w:eastAsia="fr-FR"/>
        </w:rPr>
      </w:pPr>
      <w:r w:rsidRPr="00B6647E">
        <w:rPr>
          <w:rFonts w:ascii="Arial" w:hAnsi="Arial" w:cs="Arial"/>
          <w:sz w:val="20"/>
          <w:szCs w:val="20"/>
          <w:lang w:val="fr-FR" w:eastAsia="fr-FR"/>
        </w:rPr>
        <w:t xml:space="preserve">Le revenu total </w:t>
      </w:r>
      <w:r w:rsidR="000B50B8" w:rsidRPr="00B6647E">
        <w:rPr>
          <w:rFonts w:ascii="Arial" w:hAnsi="Arial" w:cs="Arial"/>
          <w:sz w:val="20"/>
          <w:szCs w:val="20"/>
          <w:lang w:val="fr-FR" w:eastAsia="fr-FR"/>
        </w:rPr>
        <w:t>tiré</w:t>
      </w:r>
      <w:r w:rsidRPr="00B6647E">
        <w:rPr>
          <w:rFonts w:ascii="Arial" w:hAnsi="Arial" w:cs="Arial"/>
          <w:sz w:val="20"/>
          <w:szCs w:val="20"/>
          <w:lang w:val="fr-FR" w:eastAsia="fr-FR"/>
        </w:rPr>
        <w:t xml:space="preserve"> des </w:t>
      </w:r>
      <w:r w:rsidR="000B50B8" w:rsidRPr="00B6647E">
        <w:rPr>
          <w:rFonts w:ascii="Arial" w:hAnsi="Arial" w:cs="Arial"/>
          <w:sz w:val="20"/>
          <w:szCs w:val="20"/>
          <w:lang w:val="fr-FR" w:eastAsia="fr-FR"/>
        </w:rPr>
        <w:t>activités</w:t>
      </w:r>
      <w:r w:rsidRPr="00B6647E">
        <w:rPr>
          <w:rFonts w:ascii="Arial" w:hAnsi="Arial" w:cs="Arial"/>
          <w:sz w:val="20"/>
          <w:szCs w:val="20"/>
          <w:lang w:val="fr-FR" w:eastAsia="fr-FR"/>
        </w:rPr>
        <w:t xml:space="preserve"> </w:t>
      </w:r>
      <w:r w:rsidR="000B50B8" w:rsidRPr="00B6647E">
        <w:rPr>
          <w:rFonts w:ascii="Arial" w:hAnsi="Arial" w:cs="Arial"/>
          <w:sz w:val="20"/>
          <w:szCs w:val="20"/>
          <w:lang w:val="fr-FR" w:eastAsia="fr-FR"/>
        </w:rPr>
        <w:t xml:space="preserve">non agricoles (commerce, artisanat, activité extractives, etc.) a été estimé à 291.818 millions de FBu. Pour le commerce, ce revenu a été évalué à 132.338 millions, soit 45,3% du revenu total des activités non agricoles. Les autres activités non agricoles </w:t>
      </w:r>
      <w:r w:rsidR="001E58DA" w:rsidRPr="00B6647E">
        <w:rPr>
          <w:rFonts w:ascii="Arial" w:hAnsi="Arial" w:cs="Arial"/>
          <w:sz w:val="20"/>
          <w:szCs w:val="20"/>
          <w:lang w:val="fr-FR" w:eastAsia="fr-FR"/>
        </w:rPr>
        <w:t xml:space="preserve">(activités extractives,…) </w:t>
      </w:r>
      <w:r w:rsidR="000B50B8" w:rsidRPr="00B6647E">
        <w:rPr>
          <w:rFonts w:ascii="Arial" w:hAnsi="Arial" w:cs="Arial"/>
          <w:sz w:val="20"/>
          <w:szCs w:val="20"/>
          <w:lang w:val="fr-FR" w:eastAsia="fr-FR"/>
        </w:rPr>
        <w:t xml:space="preserve">donnent un revenu de 124.454 millions de FBu (42,6%) et celui de l’artisanat est estimé à 35.026 millions de FBu (12%). </w:t>
      </w:r>
    </w:p>
    <w:p w:rsidR="008A2C7B" w:rsidRPr="00B6647E" w:rsidRDefault="008A2C7B" w:rsidP="00604946">
      <w:pPr>
        <w:spacing w:after="120" w:line="240" w:lineRule="auto"/>
        <w:rPr>
          <w:rFonts w:ascii="Arial" w:hAnsi="Arial" w:cs="Arial"/>
          <w:b/>
          <w:sz w:val="20"/>
          <w:szCs w:val="20"/>
          <w:lang w:val="fr-FR" w:eastAsia="fr-FR"/>
        </w:rPr>
      </w:pPr>
      <w:r w:rsidRPr="00B6647E">
        <w:rPr>
          <w:rFonts w:ascii="Arial" w:hAnsi="Arial" w:cs="Arial"/>
          <w:b/>
          <w:sz w:val="20"/>
          <w:szCs w:val="20"/>
          <w:lang w:val="fr-FR" w:eastAsia="fr-FR"/>
        </w:rPr>
        <w:t xml:space="preserve">Tableau </w:t>
      </w:r>
      <w:r w:rsidR="007177FA">
        <w:rPr>
          <w:rFonts w:ascii="Arial" w:hAnsi="Arial" w:cs="Arial"/>
          <w:b/>
          <w:sz w:val="20"/>
          <w:szCs w:val="20"/>
          <w:lang w:val="fr-FR" w:eastAsia="fr-FR"/>
        </w:rPr>
        <w:t>24</w:t>
      </w:r>
      <w:r w:rsidR="00D170FE" w:rsidRPr="00B6647E">
        <w:rPr>
          <w:rFonts w:ascii="Arial" w:hAnsi="Arial" w:cs="Arial"/>
          <w:b/>
          <w:sz w:val="20"/>
          <w:szCs w:val="20"/>
          <w:lang w:val="fr-FR" w:eastAsia="fr-FR"/>
        </w:rPr>
        <w:t>4</w:t>
      </w:r>
      <w:r w:rsidRPr="00B6647E">
        <w:rPr>
          <w:rFonts w:ascii="Arial" w:hAnsi="Arial" w:cs="Arial"/>
          <w:b/>
          <w:sz w:val="20"/>
          <w:szCs w:val="20"/>
          <w:lang w:val="fr-FR" w:eastAsia="fr-FR"/>
        </w:rPr>
        <w:t> : Revenu</w:t>
      </w:r>
      <w:r w:rsidR="001E58DA" w:rsidRPr="00B6647E">
        <w:rPr>
          <w:rFonts w:ascii="Arial" w:hAnsi="Arial" w:cs="Arial"/>
          <w:b/>
          <w:sz w:val="20"/>
          <w:szCs w:val="20"/>
          <w:lang w:val="fr-FR" w:eastAsia="fr-FR"/>
        </w:rPr>
        <w:t>s tirés des activités</w:t>
      </w:r>
      <w:r w:rsidRPr="00B6647E">
        <w:rPr>
          <w:rFonts w:ascii="Arial" w:hAnsi="Arial" w:cs="Arial"/>
          <w:b/>
          <w:sz w:val="20"/>
          <w:szCs w:val="20"/>
          <w:lang w:val="fr-FR" w:eastAsia="fr-FR"/>
        </w:rPr>
        <w:t xml:space="preserve"> non agricoles</w:t>
      </w:r>
    </w:p>
    <w:p w:rsidR="008A2C7B" w:rsidRPr="00B6647E" w:rsidRDefault="000B50B8" w:rsidP="00604946">
      <w:pPr>
        <w:spacing w:after="120" w:line="240" w:lineRule="auto"/>
        <w:rPr>
          <w:rFonts w:ascii="Arial" w:hAnsi="Arial" w:cs="Arial"/>
          <w:sz w:val="20"/>
          <w:szCs w:val="20"/>
          <w:lang w:val="fr-FR" w:eastAsia="fr-FR"/>
        </w:rPr>
      </w:pPr>
      <w:r w:rsidRPr="00B6647E">
        <w:rPr>
          <w:noProof/>
          <w:lang w:val="fr-FR" w:eastAsia="fr-FR"/>
        </w:rPr>
        <w:drawing>
          <wp:inline distT="0" distB="0" distL="0" distR="0">
            <wp:extent cx="4667250" cy="3438525"/>
            <wp:effectExtent l="19050" t="0" r="0" b="0"/>
            <wp:docPr id="2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0" cstate="print"/>
                    <a:srcRect/>
                    <a:stretch>
                      <a:fillRect/>
                    </a:stretch>
                  </pic:blipFill>
                  <pic:spPr bwMode="auto">
                    <a:xfrm>
                      <a:off x="0" y="0"/>
                      <a:ext cx="4667250" cy="3438525"/>
                    </a:xfrm>
                    <a:prstGeom prst="rect">
                      <a:avLst/>
                    </a:prstGeom>
                    <a:noFill/>
                    <a:ln w="9525">
                      <a:noFill/>
                      <a:miter lim="800000"/>
                      <a:headEnd/>
                      <a:tailEnd/>
                    </a:ln>
                  </pic:spPr>
                </pic:pic>
              </a:graphicData>
            </a:graphic>
          </wp:inline>
        </w:drawing>
      </w:r>
    </w:p>
    <w:p w:rsidR="001E58DA" w:rsidRPr="00B6647E" w:rsidRDefault="00960498" w:rsidP="00D049DB">
      <w:pPr>
        <w:spacing w:before="120" w:after="120" w:line="240" w:lineRule="auto"/>
        <w:jc w:val="both"/>
        <w:rPr>
          <w:rFonts w:ascii="Arial" w:hAnsi="Arial" w:cs="Arial"/>
          <w:sz w:val="20"/>
          <w:szCs w:val="20"/>
          <w:lang w:val="fr-FR" w:eastAsia="fr-FR"/>
        </w:rPr>
      </w:pPr>
      <w:r w:rsidRPr="00B6647E">
        <w:rPr>
          <w:rFonts w:ascii="Arial" w:hAnsi="Arial" w:cs="Arial"/>
          <w:sz w:val="20"/>
          <w:szCs w:val="20"/>
          <w:lang w:val="fr-FR" w:eastAsia="fr-FR"/>
        </w:rPr>
        <w:t xml:space="preserve">Les revenus </w:t>
      </w:r>
      <w:r w:rsidR="00E83ADD" w:rsidRPr="00B6647E">
        <w:rPr>
          <w:rFonts w:ascii="Arial" w:hAnsi="Arial" w:cs="Arial"/>
          <w:sz w:val="20"/>
          <w:szCs w:val="20"/>
          <w:lang w:val="fr-FR" w:eastAsia="fr-FR"/>
        </w:rPr>
        <w:t>les plus élevés ont été enregistrés pour le</w:t>
      </w:r>
      <w:r w:rsidRPr="00B6647E">
        <w:rPr>
          <w:rFonts w:ascii="Arial" w:hAnsi="Arial" w:cs="Arial"/>
          <w:sz w:val="20"/>
          <w:szCs w:val="20"/>
          <w:lang w:val="fr-FR" w:eastAsia="fr-FR"/>
        </w:rPr>
        <w:t xml:space="preserve"> commerce dans Muyinga (</w:t>
      </w:r>
      <w:r w:rsidR="00E83ADD" w:rsidRPr="00B6647E">
        <w:rPr>
          <w:rFonts w:ascii="Arial" w:hAnsi="Arial" w:cs="Arial"/>
          <w:sz w:val="20"/>
          <w:szCs w:val="20"/>
          <w:lang w:val="fr-FR" w:eastAsia="fr-FR"/>
        </w:rPr>
        <w:t xml:space="preserve">34.486 millions de FBu) </w:t>
      </w:r>
      <w:r w:rsidRPr="00B6647E">
        <w:rPr>
          <w:rFonts w:ascii="Arial" w:hAnsi="Arial" w:cs="Arial"/>
          <w:sz w:val="20"/>
          <w:szCs w:val="20"/>
          <w:lang w:val="fr-FR" w:eastAsia="fr-FR"/>
        </w:rPr>
        <w:t>et Kirundo</w:t>
      </w:r>
      <w:r w:rsidR="00E83ADD" w:rsidRPr="00B6647E">
        <w:rPr>
          <w:rFonts w:ascii="Arial" w:hAnsi="Arial" w:cs="Arial"/>
          <w:sz w:val="20"/>
          <w:szCs w:val="20"/>
          <w:lang w:val="fr-FR" w:eastAsia="fr-FR"/>
        </w:rPr>
        <w:t xml:space="preserve"> (28.283 millions de FBu), pour l’artisanat dans Makamba (14.778 millions de FBu) et Bujumbura rural (7.915 millions de FBu) et des autres activités non </w:t>
      </w:r>
      <w:r w:rsidR="00DE183E" w:rsidRPr="00B6647E">
        <w:rPr>
          <w:rFonts w:ascii="Arial" w:hAnsi="Arial" w:cs="Arial"/>
          <w:sz w:val="20"/>
          <w:szCs w:val="20"/>
          <w:lang w:val="fr-FR" w:eastAsia="fr-FR"/>
        </w:rPr>
        <w:t>agricoles</w:t>
      </w:r>
      <w:r w:rsidR="00E83ADD" w:rsidRPr="00B6647E">
        <w:rPr>
          <w:rFonts w:ascii="Arial" w:hAnsi="Arial" w:cs="Arial"/>
          <w:sz w:val="20"/>
          <w:szCs w:val="20"/>
          <w:lang w:val="fr-FR" w:eastAsia="fr-FR"/>
        </w:rPr>
        <w:t xml:space="preserve"> (activités extractives, …) </w:t>
      </w:r>
      <w:r w:rsidR="00E83ADD" w:rsidRPr="00B6647E">
        <w:rPr>
          <w:rFonts w:ascii="Arial" w:hAnsi="Arial" w:cs="Arial"/>
          <w:sz w:val="20"/>
          <w:szCs w:val="20"/>
          <w:lang w:val="fr-FR" w:eastAsia="fr-FR"/>
        </w:rPr>
        <w:lastRenderedPageBreak/>
        <w:t>dans Rutana (21.492 millions de FBu), Muyinga (14.970 millions de FBu), Ngozi (13.221 millions de FBu) et</w:t>
      </w:r>
      <w:r w:rsidR="00DE183E" w:rsidRPr="00B6647E">
        <w:rPr>
          <w:rFonts w:ascii="Arial" w:hAnsi="Arial" w:cs="Arial"/>
          <w:sz w:val="20"/>
          <w:szCs w:val="20"/>
          <w:lang w:val="fr-FR" w:eastAsia="fr-FR"/>
        </w:rPr>
        <w:t xml:space="preserve"> </w:t>
      </w:r>
      <w:r w:rsidR="00E83ADD" w:rsidRPr="00B6647E">
        <w:rPr>
          <w:rFonts w:ascii="Arial" w:hAnsi="Arial" w:cs="Arial"/>
          <w:sz w:val="20"/>
          <w:szCs w:val="20"/>
          <w:lang w:val="fr-FR" w:eastAsia="fr-FR"/>
        </w:rPr>
        <w:t>Makamba (10.590 millions de FBu).</w:t>
      </w:r>
      <w:r w:rsidR="00604946" w:rsidRPr="00B6647E">
        <w:rPr>
          <w:rFonts w:ascii="Arial" w:hAnsi="Arial" w:cs="Arial"/>
          <w:sz w:val="20"/>
          <w:szCs w:val="20"/>
          <w:lang w:val="fr-FR" w:eastAsia="fr-FR"/>
        </w:rPr>
        <w:t xml:space="preserve">en ce qui concerne les revenus non agricoles, </w:t>
      </w:r>
      <w:r w:rsidR="002902BC" w:rsidRPr="00B6647E">
        <w:rPr>
          <w:rFonts w:ascii="Arial" w:hAnsi="Arial" w:cs="Arial"/>
          <w:sz w:val="20"/>
          <w:szCs w:val="20"/>
          <w:lang w:val="fr-FR" w:eastAsia="fr-FR"/>
        </w:rPr>
        <w:t>Muyinga est en tête avec un revenu estimé à 49.776 millions de FBu. Viennent ensuite dans l’ordre Kirundo (36.194 millions de FBu), Makamba (33.501 millions de FBu), Bujumbura rural (33.019 millions de FBu), Rutana (25.893 millions FBU), Bururi (25.799 millions de FBu). Quatre provinces ont enregistré des revenus non agricoles inférieurs à 5.000 millions : Cankuzo (4.127 millions de FBu), Karuzi (3.116 millions de FBu), Muramvya (4.953 millions de FBu) et Ruyigi (4.326 millions de FBu).</w:t>
      </w:r>
    </w:p>
    <w:p w:rsidR="001E58DA" w:rsidRPr="00B6647E" w:rsidRDefault="00376276" w:rsidP="00604946">
      <w:pPr>
        <w:spacing w:after="120" w:line="240" w:lineRule="auto"/>
        <w:jc w:val="both"/>
        <w:rPr>
          <w:rFonts w:ascii="Arial" w:hAnsi="Arial" w:cs="Arial"/>
          <w:sz w:val="20"/>
          <w:szCs w:val="20"/>
          <w:lang w:val="fr-FR" w:eastAsia="fr-FR"/>
        </w:rPr>
      </w:pPr>
      <w:r w:rsidRPr="00B6647E">
        <w:rPr>
          <w:rFonts w:ascii="Arial" w:hAnsi="Arial" w:cs="Arial"/>
          <w:sz w:val="20"/>
          <w:szCs w:val="20"/>
          <w:lang w:val="fr-FR" w:eastAsia="fr-FR"/>
        </w:rPr>
        <w:t xml:space="preserve">Le revenu moyen national par ménage tiré des activités non agricoles a été estimé à 187.480 FBu. Plus </w:t>
      </w:r>
      <w:r w:rsidR="008B4146">
        <w:rPr>
          <w:rFonts w:ascii="Arial" w:hAnsi="Arial" w:cs="Arial"/>
          <w:sz w:val="20"/>
          <w:szCs w:val="20"/>
          <w:lang w:val="fr-FR" w:eastAsia="fr-FR"/>
        </w:rPr>
        <w:t>d</w:t>
      </w:r>
      <w:r w:rsidRPr="00B6647E">
        <w:rPr>
          <w:rFonts w:ascii="Arial" w:hAnsi="Arial" w:cs="Arial"/>
          <w:sz w:val="20"/>
          <w:szCs w:val="20"/>
          <w:lang w:val="fr-FR" w:eastAsia="fr-FR"/>
        </w:rPr>
        <w:t xml:space="preserve">e la moitié des provinces a revenu moyen par ménage inférieur à la moyenne nationale. </w:t>
      </w:r>
      <w:r w:rsidR="007A6CDC" w:rsidRPr="00B6647E">
        <w:rPr>
          <w:rFonts w:ascii="Arial" w:hAnsi="Arial" w:cs="Arial"/>
          <w:sz w:val="20"/>
          <w:szCs w:val="20"/>
          <w:lang w:val="fr-FR" w:eastAsia="fr-FR"/>
        </w:rPr>
        <w:t>Des</w:t>
      </w:r>
      <w:r w:rsidRPr="00B6647E">
        <w:rPr>
          <w:rFonts w:ascii="Arial" w:hAnsi="Arial" w:cs="Arial"/>
          <w:sz w:val="20"/>
          <w:szCs w:val="20"/>
          <w:lang w:val="fr-FR" w:eastAsia="fr-FR"/>
        </w:rPr>
        <w:t xml:space="preserve"> revenus moyens </w:t>
      </w:r>
      <w:r w:rsidR="007A6CDC" w:rsidRPr="00B6647E">
        <w:rPr>
          <w:rFonts w:ascii="Arial" w:hAnsi="Arial" w:cs="Arial"/>
          <w:sz w:val="20"/>
          <w:szCs w:val="20"/>
          <w:lang w:val="fr-FR" w:eastAsia="fr-FR"/>
        </w:rPr>
        <w:t>inférieurs à 100.000 FBu</w:t>
      </w:r>
      <w:r w:rsidRPr="00B6647E">
        <w:rPr>
          <w:rFonts w:ascii="Arial" w:hAnsi="Arial" w:cs="Arial"/>
          <w:sz w:val="20"/>
          <w:szCs w:val="20"/>
          <w:lang w:val="fr-FR" w:eastAsia="fr-FR"/>
        </w:rPr>
        <w:t xml:space="preserve"> ont été évalués dans Karuzi (32.5-3 FBu), Ruyigi (49.831 FBu), Gitega (74.344 FBu), Muramvya (81.941 FBu), Cankuzo (86.533 FBu) et Bubanza (87.456 FBu).</w:t>
      </w:r>
      <w:r w:rsidR="00DE183E" w:rsidRPr="00B6647E">
        <w:rPr>
          <w:rFonts w:ascii="Arial" w:hAnsi="Arial" w:cs="Arial"/>
          <w:sz w:val="20"/>
          <w:szCs w:val="20"/>
          <w:lang w:val="fr-FR" w:eastAsia="fr-FR"/>
        </w:rPr>
        <w:t xml:space="preserve"> </w:t>
      </w:r>
      <w:r w:rsidR="00960498" w:rsidRPr="00B6647E">
        <w:rPr>
          <w:rFonts w:ascii="Arial" w:hAnsi="Arial" w:cs="Arial"/>
          <w:sz w:val="20"/>
          <w:szCs w:val="20"/>
          <w:lang w:val="fr-FR" w:eastAsia="fr-FR"/>
        </w:rPr>
        <w:t>Sept</w:t>
      </w:r>
      <w:r w:rsidR="007A6CDC" w:rsidRPr="00B6647E">
        <w:rPr>
          <w:rFonts w:ascii="Arial" w:hAnsi="Arial" w:cs="Arial"/>
          <w:sz w:val="20"/>
          <w:szCs w:val="20"/>
          <w:lang w:val="fr-FR" w:eastAsia="fr-FR"/>
        </w:rPr>
        <w:t xml:space="preserve"> provinces ont enregistré des revenus non agricoles moyens par ménages supérieurs à </w:t>
      </w:r>
      <w:r w:rsidR="00960498" w:rsidRPr="00B6647E">
        <w:rPr>
          <w:rFonts w:ascii="Arial" w:hAnsi="Arial" w:cs="Arial"/>
          <w:sz w:val="20"/>
          <w:szCs w:val="20"/>
          <w:lang w:val="fr-FR" w:eastAsia="fr-FR"/>
        </w:rPr>
        <w:t>2</w:t>
      </w:r>
      <w:r w:rsidR="007A6CDC" w:rsidRPr="00B6647E">
        <w:rPr>
          <w:rFonts w:ascii="Arial" w:hAnsi="Arial" w:cs="Arial"/>
          <w:sz w:val="20"/>
          <w:szCs w:val="20"/>
          <w:lang w:val="fr-FR" w:eastAsia="fr-FR"/>
        </w:rPr>
        <w:t>00.000 FBU : Makamba (426.415 FBu), Rutana (359.151 FBu), Muyinga (349.952 FBu), Bujumbura rural (315.960 FBu)</w:t>
      </w:r>
      <w:r w:rsidR="00960498" w:rsidRPr="00B6647E">
        <w:rPr>
          <w:rFonts w:ascii="Arial" w:hAnsi="Arial" w:cs="Arial"/>
          <w:sz w:val="20"/>
          <w:szCs w:val="20"/>
          <w:lang w:val="fr-FR" w:eastAsia="fr-FR"/>
        </w:rPr>
        <w:t>, Bururi (240.812 FBu), Kirundo (238.492 FBu) et Mwaro (203.699 FBu).</w:t>
      </w:r>
    </w:p>
    <w:p w:rsidR="00405B28" w:rsidRPr="00B6647E" w:rsidRDefault="00651089" w:rsidP="0052337E">
      <w:pPr>
        <w:pStyle w:val="Titre2"/>
        <w:keepNext w:val="0"/>
        <w:numPr>
          <w:ilvl w:val="1"/>
          <w:numId w:val="1"/>
        </w:numPr>
        <w:spacing w:before="240" w:after="200"/>
        <w:ind w:left="0" w:firstLine="0"/>
        <w:rPr>
          <w:rFonts w:cs="Arial"/>
          <w:u w:val="dotDash"/>
        </w:rPr>
      </w:pPr>
      <w:bookmarkStart w:id="338" w:name="_Toc354313921"/>
      <w:r w:rsidRPr="00B6647E">
        <w:rPr>
          <w:rFonts w:cs="Arial"/>
          <w:u w:val="dotDash"/>
        </w:rPr>
        <w:t xml:space="preserve">Valeur totale des activités </w:t>
      </w:r>
      <w:r w:rsidR="00405B28" w:rsidRPr="00B6647E">
        <w:rPr>
          <w:rFonts w:cs="Arial"/>
          <w:u w:val="dotDash"/>
        </w:rPr>
        <w:t xml:space="preserve">des ménages </w:t>
      </w:r>
      <w:r w:rsidR="00BD1FF2" w:rsidRPr="00B6647E">
        <w:rPr>
          <w:rFonts w:cs="Arial"/>
          <w:u w:val="dotDash"/>
        </w:rPr>
        <w:t>agricoles</w:t>
      </w:r>
      <w:bookmarkEnd w:id="338"/>
    </w:p>
    <w:p w:rsidR="00BD1FF2" w:rsidRPr="00B6647E" w:rsidRDefault="00FB3A8C" w:rsidP="00604946">
      <w:pPr>
        <w:spacing w:after="120" w:line="240" w:lineRule="auto"/>
        <w:jc w:val="both"/>
        <w:rPr>
          <w:rFonts w:ascii="Arial" w:hAnsi="Arial" w:cs="Arial"/>
          <w:sz w:val="20"/>
          <w:szCs w:val="20"/>
        </w:rPr>
      </w:pPr>
      <w:r w:rsidRPr="00B6647E">
        <w:rPr>
          <w:rFonts w:ascii="Arial" w:hAnsi="Arial" w:cs="Arial"/>
          <w:sz w:val="20"/>
          <w:szCs w:val="20"/>
        </w:rPr>
        <w:t>Pour toute la campagne agricole 2011-2012, l</w:t>
      </w:r>
      <w:r w:rsidR="00651089" w:rsidRPr="00B6647E">
        <w:rPr>
          <w:rFonts w:ascii="Arial" w:hAnsi="Arial" w:cs="Arial"/>
          <w:sz w:val="20"/>
          <w:szCs w:val="20"/>
        </w:rPr>
        <w:t>a</w:t>
      </w:r>
      <w:r w:rsidR="00BD1FF2" w:rsidRPr="00B6647E">
        <w:rPr>
          <w:rFonts w:ascii="Arial" w:hAnsi="Arial" w:cs="Arial"/>
          <w:sz w:val="20"/>
          <w:szCs w:val="20"/>
        </w:rPr>
        <w:t xml:space="preserve"> </w:t>
      </w:r>
      <w:r w:rsidR="00651089" w:rsidRPr="00B6647E">
        <w:rPr>
          <w:rFonts w:ascii="Arial" w:hAnsi="Arial" w:cs="Arial"/>
          <w:sz w:val="20"/>
          <w:szCs w:val="20"/>
        </w:rPr>
        <w:t>valeur</w:t>
      </w:r>
      <w:r w:rsidR="00BD1FF2" w:rsidRPr="00B6647E">
        <w:rPr>
          <w:rStyle w:val="Appelnotedebasdep"/>
          <w:rFonts w:ascii="Arial" w:hAnsi="Arial" w:cs="Arial"/>
          <w:sz w:val="20"/>
          <w:szCs w:val="20"/>
        </w:rPr>
        <w:footnoteReference w:id="48"/>
      </w:r>
      <w:r w:rsidR="00BD1FF2" w:rsidRPr="00B6647E">
        <w:rPr>
          <w:rFonts w:ascii="Arial" w:hAnsi="Arial" w:cs="Arial"/>
          <w:sz w:val="20"/>
          <w:szCs w:val="20"/>
        </w:rPr>
        <w:t xml:space="preserve"> total</w:t>
      </w:r>
      <w:r w:rsidR="00651089" w:rsidRPr="00B6647E">
        <w:rPr>
          <w:rFonts w:ascii="Arial" w:hAnsi="Arial" w:cs="Arial"/>
          <w:sz w:val="20"/>
          <w:szCs w:val="20"/>
        </w:rPr>
        <w:t>e</w:t>
      </w:r>
      <w:r w:rsidR="00BD1FF2" w:rsidRPr="00B6647E">
        <w:rPr>
          <w:rFonts w:ascii="Arial" w:hAnsi="Arial" w:cs="Arial"/>
          <w:sz w:val="20"/>
          <w:szCs w:val="20"/>
        </w:rPr>
        <w:t xml:space="preserve"> des </w:t>
      </w:r>
      <w:r w:rsidR="00651089" w:rsidRPr="00B6647E">
        <w:rPr>
          <w:rFonts w:ascii="Arial" w:hAnsi="Arial" w:cs="Arial"/>
          <w:sz w:val="20"/>
          <w:szCs w:val="20"/>
        </w:rPr>
        <w:t xml:space="preserve">activités des </w:t>
      </w:r>
      <w:r w:rsidR="00BD1FF2" w:rsidRPr="00B6647E">
        <w:rPr>
          <w:rFonts w:ascii="Arial" w:hAnsi="Arial" w:cs="Arial"/>
          <w:sz w:val="20"/>
          <w:szCs w:val="20"/>
        </w:rPr>
        <w:t>ménages agricoles a été estimé</w:t>
      </w:r>
      <w:r w:rsidR="00651089" w:rsidRPr="00B6647E">
        <w:rPr>
          <w:rFonts w:ascii="Arial" w:hAnsi="Arial" w:cs="Arial"/>
          <w:sz w:val="20"/>
          <w:szCs w:val="20"/>
        </w:rPr>
        <w:t>e</w:t>
      </w:r>
      <w:r w:rsidR="00BD1FF2" w:rsidRPr="00B6647E">
        <w:rPr>
          <w:rFonts w:ascii="Arial" w:hAnsi="Arial" w:cs="Arial"/>
          <w:sz w:val="20"/>
          <w:szCs w:val="20"/>
        </w:rPr>
        <w:t xml:space="preserve"> à 1.</w:t>
      </w:r>
      <w:r w:rsidR="00DC1123" w:rsidRPr="00B6647E">
        <w:rPr>
          <w:rFonts w:ascii="Arial" w:hAnsi="Arial" w:cs="Arial"/>
          <w:sz w:val="20"/>
          <w:szCs w:val="20"/>
        </w:rPr>
        <w:t>939</w:t>
      </w:r>
      <w:r w:rsidR="00BD1FF2" w:rsidRPr="00B6647E">
        <w:rPr>
          <w:rFonts w:ascii="Arial" w:hAnsi="Arial" w:cs="Arial"/>
          <w:sz w:val="20"/>
          <w:szCs w:val="20"/>
        </w:rPr>
        <w:t>.</w:t>
      </w:r>
      <w:r w:rsidR="00DC1123" w:rsidRPr="00B6647E">
        <w:rPr>
          <w:rFonts w:ascii="Arial" w:hAnsi="Arial" w:cs="Arial"/>
          <w:sz w:val="20"/>
          <w:szCs w:val="20"/>
        </w:rPr>
        <w:t>548</w:t>
      </w:r>
      <w:r w:rsidR="00BD1FF2" w:rsidRPr="00B6647E">
        <w:rPr>
          <w:rFonts w:ascii="Arial" w:hAnsi="Arial" w:cs="Arial"/>
          <w:sz w:val="20"/>
          <w:szCs w:val="20"/>
        </w:rPr>
        <w:t xml:space="preserve"> millions de FBu qui se répartissent en 1.</w:t>
      </w:r>
      <w:r w:rsidR="00DC1123" w:rsidRPr="00B6647E">
        <w:rPr>
          <w:rFonts w:ascii="Arial" w:hAnsi="Arial" w:cs="Arial"/>
          <w:sz w:val="20"/>
          <w:szCs w:val="20"/>
        </w:rPr>
        <w:t>511</w:t>
      </w:r>
      <w:r w:rsidR="00BD1FF2" w:rsidRPr="00B6647E">
        <w:rPr>
          <w:rFonts w:ascii="Arial" w:hAnsi="Arial" w:cs="Arial"/>
          <w:sz w:val="20"/>
          <w:szCs w:val="20"/>
        </w:rPr>
        <w:t>.</w:t>
      </w:r>
      <w:r w:rsidR="00DC1123" w:rsidRPr="00B6647E">
        <w:rPr>
          <w:rFonts w:ascii="Arial" w:hAnsi="Arial" w:cs="Arial"/>
          <w:sz w:val="20"/>
          <w:szCs w:val="20"/>
        </w:rPr>
        <w:t>347</w:t>
      </w:r>
      <w:r w:rsidR="00BD1FF2" w:rsidRPr="00B6647E">
        <w:rPr>
          <w:rFonts w:ascii="Arial" w:hAnsi="Arial" w:cs="Arial"/>
          <w:sz w:val="20"/>
          <w:szCs w:val="20"/>
        </w:rPr>
        <w:t xml:space="preserve"> millions de FBu </w:t>
      </w:r>
      <w:r w:rsidR="00822C85" w:rsidRPr="00B6647E">
        <w:rPr>
          <w:rFonts w:ascii="Arial" w:hAnsi="Arial" w:cs="Arial"/>
          <w:sz w:val="20"/>
          <w:szCs w:val="20"/>
        </w:rPr>
        <w:t>(</w:t>
      </w:r>
      <w:r w:rsidR="00DC1123" w:rsidRPr="00B6647E">
        <w:rPr>
          <w:rFonts w:ascii="Arial" w:hAnsi="Arial" w:cs="Arial"/>
          <w:sz w:val="20"/>
          <w:szCs w:val="20"/>
        </w:rPr>
        <w:t>77</w:t>
      </w:r>
      <w:r w:rsidR="00822C85" w:rsidRPr="00B6647E">
        <w:rPr>
          <w:rFonts w:ascii="Arial" w:hAnsi="Arial" w:cs="Arial"/>
          <w:sz w:val="20"/>
          <w:szCs w:val="20"/>
        </w:rPr>
        <w:t>,</w:t>
      </w:r>
      <w:r w:rsidR="00DC1123" w:rsidRPr="00B6647E">
        <w:rPr>
          <w:rFonts w:ascii="Arial" w:hAnsi="Arial" w:cs="Arial"/>
          <w:sz w:val="20"/>
          <w:szCs w:val="20"/>
        </w:rPr>
        <w:t>9</w:t>
      </w:r>
      <w:r w:rsidR="00822C85" w:rsidRPr="00B6647E">
        <w:rPr>
          <w:rFonts w:ascii="Arial" w:hAnsi="Arial" w:cs="Arial"/>
          <w:sz w:val="20"/>
          <w:szCs w:val="20"/>
        </w:rPr>
        <w:t>% d</w:t>
      </w:r>
      <w:r w:rsidR="00651089" w:rsidRPr="00B6647E">
        <w:rPr>
          <w:rFonts w:ascii="Arial" w:hAnsi="Arial" w:cs="Arial"/>
          <w:sz w:val="20"/>
          <w:szCs w:val="20"/>
        </w:rPr>
        <w:t xml:space="preserve">e la valeur </w:t>
      </w:r>
      <w:r w:rsidR="00822C85" w:rsidRPr="00B6647E">
        <w:rPr>
          <w:rFonts w:ascii="Arial" w:hAnsi="Arial" w:cs="Arial"/>
          <w:sz w:val="20"/>
          <w:szCs w:val="20"/>
        </w:rPr>
        <w:t>total</w:t>
      </w:r>
      <w:r w:rsidR="00651089" w:rsidRPr="00B6647E">
        <w:rPr>
          <w:rFonts w:ascii="Arial" w:hAnsi="Arial" w:cs="Arial"/>
          <w:sz w:val="20"/>
          <w:szCs w:val="20"/>
        </w:rPr>
        <w:t>e</w:t>
      </w:r>
      <w:r w:rsidR="00822C85" w:rsidRPr="00B6647E">
        <w:rPr>
          <w:rFonts w:ascii="Arial" w:hAnsi="Arial" w:cs="Arial"/>
          <w:sz w:val="20"/>
          <w:szCs w:val="20"/>
        </w:rPr>
        <w:t xml:space="preserve">) </w:t>
      </w:r>
      <w:r w:rsidR="00BD1FF2" w:rsidRPr="00B6647E">
        <w:rPr>
          <w:rFonts w:ascii="Arial" w:hAnsi="Arial" w:cs="Arial"/>
          <w:sz w:val="20"/>
          <w:szCs w:val="20"/>
        </w:rPr>
        <w:t xml:space="preserve">valeur la production vivrière, </w:t>
      </w:r>
      <w:r w:rsidR="00DC1123" w:rsidRPr="00B6647E">
        <w:rPr>
          <w:rFonts w:ascii="Arial" w:hAnsi="Arial" w:cs="Arial"/>
          <w:sz w:val="20"/>
          <w:szCs w:val="20"/>
        </w:rPr>
        <w:t>291</w:t>
      </w:r>
      <w:r w:rsidR="00BD1FF2" w:rsidRPr="00B6647E">
        <w:rPr>
          <w:rFonts w:ascii="Arial" w:hAnsi="Arial" w:cs="Arial"/>
          <w:sz w:val="20"/>
          <w:szCs w:val="20"/>
        </w:rPr>
        <w:t>.</w:t>
      </w:r>
      <w:r w:rsidR="00DC1123" w:rsidRPr="00B6647E">
        <w:rPr>
          <w:rFonts w:ascii="Arial" w:hAnsi="Arial" w:cs="Arial"/>
          <w:sz w:val="20"/>
          <w:szCs w:val="20"/>
        </w:rPr>
        <w:t>818</w:t>
      </w:r>
      <w:r w:rsidR="00BD1FF2" w:rsidRPr="00B6647E">
        <w:rPr>
          <w:rFonts w:ascii="Arial" w:hAnsi="Arial" w:cs="Arial"/>
          <w:sz w:val="20"/>
          <w:szCs w:val="20"/>
        </w:rPr>
        <w:t xml:space="preserve"> millions de FBu </w:t>
      </w:r>
      <w:r w:rsidR="00822C85" w:rsidRPr="00B6647E">
        <w:rPr>
          <w:rFonts w:ascii="Arial" w:hAnsi="Arial" w:cs="Arial"/>
          <w:sz w:val="20"/>
          <w:szCs w:val="20"/>
        </w:rPr>
        <w:t>(</w:t>
      </w:r>
      <w:r w:rsidR="00DC1123" w:rsidRPr="00B6647E">
        <w:rPr>
          <w:rFonts w:ascii="Arial" w:hAnsi="Arial" w:cs="Arial"/>
          <w:sz w:val="20"/>
          <w:szCs w:val="20"/>
        </w:rPr>
        <w:t>15</w:t>
      </w:r>
      <w:r w:rsidR="00822C85" w:rsidRPr="00B6647E">
        <w:rPr>
          <w:rFonts w:ascii="Arial" w:hAnsi="Arial" w:cs="Arial"/>
          <w:sz w:val="20"/>
          <w:szCs w:val="20"/>
        </w:rPr>
        <w:t xml:space="preserve">%) </w:t>
      </w:r>
      <w:r w:rsidR="00BD1FF2" w:rsidRPr="00B6647E">
        <w:rPr>
          <w:rFonts w:ascii="Arial" w:hAnsi="Arial" w:cs="Arial"/>
          <w:sz w:val="20"/>
          <w:szCs w:val="20"/>
        </w:rPr>
        <w:t xml:space="preserve">de revenus non </w:t>
      </w:r>
      <w:r w:rsidR="00822C85" w:rsidRPr="00B6647E">
        <w:rPr>
          <w:rFonts w:ascii="Arial" w:hAnsi="Arial" w:cs="Arial"/>
          <w:sz w:val="20"/>
          <w:szCs w:val="20"/>
        </w:rPr>
        <w:t>agricoles</w:t>
      </w:r>
      <w:r w:rsidR="00BD1FF2" w:rsidRPr="00B6647E">
        <w:rPr>
          <w:rFonts w:ascii="Arial" w:hAnsi="Arial" w:cs="Arial"/>
          <w:sz w:val="20"/>
          <w:szCs w:val="20"/>
        </w:rPr>
        <w:t xml:space="preserve"> (commerce, artisanat, activités extractives,…), 113.063 millions de</w:t>
      </w:r>
      <w:r w:rsidR="00822C85" w:rsidRPr="00B6647E">
        <w:rPr>
          <w:rFonts w:ascii="Arial" w:hAnsi="Arial" w:cs="Arial"/>
          <w:sz w:val="20"/>
          <w:szCs w:val="20"/>
        </w:rPr>
        <w:t xml:space="preserve"> FBu (</w:t>
      </w:r>
      <w:r w:rsidR="00DC1123" w:rsidRPr="00B6647E">
        <w:rPr>
          <w:rFonts w:ascii="Arial" w:hAnsi="Arial" w:cs="Arial"/>
          <w:sz w:val="20"/>
          <w:szCs w:val="20"/>
        </w:rPr>
        <w:t>5,8</w:t>
      </w:r>
      <w:r w:rsidR="00822C85" w:rsidRPr="00B6647E">
        <w:rPr>
          <w:rFonts w:ascii="Arial" w:hAnsi="Arial" w:cs="Arial"/>
          <w:sz w:val="20"/>
          <w:szCs w:val="20"/>
        </w:rPr>
        <w:t xml:space="preserve">%) de </w:t>
      </w:r>
      <w:r w:rsidR="00651089" w:rsidRPr="00B6647E">
        <w:rPr>
          <w:rFonts w:ascii="Arial" w:hAnsi="Arial" w:cs="Arial"/>
          <w:sz w:val="20"/>
          <w:szCs w:val="20"/>
        </w:rPr>
        <w:t>la valeur des activités de sylviculture</w:t>
      </w:r>
      <w:r w:rsidR="00822C85" w:rsidRPr="00B6647E">
        <w:rPr>
          <w:rFonts w:ascii="Arial" w:hAnsi="Arial" w:cs="Arial"/>
          <w:sz w:val="20"/>
          <w:szCs w:val="20"/>
        </w:rPr>
        <w:t>, 19.230 millions de FBu (1%) tirés de la pêche et 4.089 millions FBu (0,2%) provenant de l’apiculture.</w:t>
      </w:r>
    </w:p>
    <w:p w:rsidR="004A7BF0" w:rsidRPr="00B6647E" w:rsidRDefault="004A7BF0" w:rsidP="00604946">
      <w:pPr>
        <w:spacing w:after="120" w:line="240" w:lineRule="auto"/>
        <w:rPr>
          <w:rFonts w:ascii="Arial" w:hAnsi="Arial" w:cs="Arial"/>
          <w:b/>
          <w:sz w:val="20"/>
          <w:szCs w:val="20"/>
          <w:lang w:val="fr-FR"/>
        </w:rPr>
      </w:pPr>
      <w:r w:rsidRPr="00B6647E">
        <w:rPr>
          <w:rFonts w:ascii="Arial" w:hAnsi="Arial" w:cs="Arial"/>
          <w:b/>
          <w:sz w:val="20"/>
          <w:szCs w:val="20"/>
          <w:lang w:val="fr-FR"/>
        </w:rPr>
        <w:t xml:space="preserve">Graphique </w:t>
      </w:r>
      <w:r w:rsidR="002B03F3">
        <w:rPr>
          <w:rFonts w:ascii="Arial" w:hAnsi="Arial" w:cs="Arial"/>
          <w:b/>
          <w:sz w:val="20"/>
          <w:szCs w:val="20"/>
          <w:lang w:val="fr-FR"/>
        </w:rPr>
        <w:t>30</w:t>
      </w:r>
      <w:r w:rsidRPr="00B6647E">
        <w:rPr>
          <w:rFonts w:ascii="Arial" w:hAnsi="Arial" w:cs="Arial"/>
          <w:b/>
          <w:sz w:val="20"/>
          <w:szCs w:val="20"/>
          <w:lang w:val="fr-FR"/>
        </w:rPr>
        <w:t> : Répartition de</w:t>
      </w:r>
      <w:r w:rsidR="0096609F" w:rsidRPr="00B6647E">
        <w:rPr>
          <w:rFonts w:ascii="Arial" w:hAnsi="Arial" w:cs="Arial"/>
          <w:b/>
          <w:sz w:val="20"/>
          <w:szCs w:val="20"/>
          <w:lang w:val="fr-FR"/>
        </w:rPr>
        <w:t xml:space="preserve">s valeurs tirées des activités </w:t>
      </w:r>
      <w:r w:rsidRPr="00B6647E">
        <w:rPr>
          <w:rFonts w:ascii="Arial" w:hAnsi="Arial" w:cs="Arial"/>
          <w:b/>
          <w:sz w:val="20"/>
          <w:szCs w:val="20"/>
          <w:lang w:val="fr-FR"/>
        </w:rPr>
        <w:t xml:space="preserve">des ménages agricoles selon </w:t>
      </w:r>
      <w:r w:rsidR="002930BE" w:rsidRPr="00B6647E">
        <w:rPr>
          <w:rFonts w:ascii="Arial" w:hAnsi="Arial" w:cs="Arial"/>
          <w:b/>
          <w:sz w:val="20"/>
          <w:szCs w:val="20"/>
          <w:lang w:val="fr-FR"/>
        </w:rPr>
        <w:t>la source</w:t>
      </w:r>
    </w:p>
    <w:p w:rsidR="004A7BF0" w:rsidRPr="00B6647E" w:rsidRDefault="008B4146" w:rsidP="00604946">
      <w:pPr>
        <w:spacing w:after="120" w:line="240" w:lineRule="auto"/>
        <w:rPr>
          <w:rFonts w:ascii="Arial" w:hAnsi="Arial" w:cs="Arial"/>
          <w:sz w:val="20"/>
          <w:szCs w:val="20"/>
          <w:lang w:val="fr-FR"/>
        </w:rPr>
      </w:pPr>
      <w:r w:rsidRPr="008B4146">
        <w:rPr>
          <w:noProof/>
          <w:szCs w:val="20"/>
          <w:lang w:val="fr-FR" w:eastAsia="fr-FR"/>
        </w:rPr>
        <w:drawing>
          <wp:inline distT="0" distB="0" distL="0" distR="0">
            <wp:extent cx="5760559" cy="3466531"/>
            <wp:effectExtent l="19050" t="0" r="0" b="0"/>
            <wp:docPr id="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1" cstate="print"/>
                    <a:srcRect/>
                    <a:stretch>
                      <a:fillRect/>
                    </a:stretch>
                  </pic:blipFill>
                  <pic:spPr bwMode="auto">
                    <a:xfrm>
                      <a:off x="0" y="0"/>
                      <a:ext cx="5760242" cy="3466340"/>
                    </a:xfrm>
                    <a:prstGeom prst="rect">
                      <a:avLst/>
                    </a:prstGeom>
                    <a:noFill/>
                    <a:ln w="9525">
                      <a:noFill/>
                      <a:miter lim="800000"/>
                      <a:headEnd/>
                      <a:tailEnd/>
                    </a:ln>
                  </pic:spPr>
                </pic:pic>
              </a:graphicData>
            </a:graphic>
          </wp:inline>
        </w:drawing>
      </w:r>
    </w:p>
    <w:p w:rsidR="004A7BF0" w:rsidRPr="00B6647E" w:rsidRDefault="004A7BF0" w:rsidP="00604946">
      <w:pPr>
        <w:spacing w:after="120" w:line="240" w:lineRule="auto"/>
        <w:jc w:val="both"/>
        <w:rPr>
          <w:rFonts w:ascii="Arial" w:hAnsi="Arial" w:cs="Arial"/>
          <w:sz w:val="20"/>
          <w:szCs w:val="20"/>
          <w:lang w:val="fr-FR"/>
        </w:rPr>
      </w:pPr>
      <w:r w:rsidRPr="00B6647E">
        <w:rPr>
          <w:rFonts w:ascii="Arial" w:hAnsi="Arial" w:cs="Arial"/>
          <w:sz w:val="20"/>
          <w:szCs w:val="20"/>
          <w:lang w:val="fr-FR"/>
        </w:rPr>
        <w:t xml:space="preserve">En volume, le </w:t>
      </w:r>
      <w:r w:rsidR="0096609F" w:rsidRPr="00B6647E">
        <w:rPr>
          <w:rFonts w:ascii="Arial" w:hAnsi="Arial" w:cs="Arial"/>
          <w:sz w:val="20"/>
          <w:szCs w:val="20"/>
          <w:lang w:val="fr-FR"/>
        </w:rPr>
        <w:t>montant</w:t>
      </w:r>
      <w:r w:rsidRPr="00B6647E">
        <w:rPr>
          <w:rFonts w:ascii="Arial" w:hAnsi="Arial" w:cs="Arial"/>
          <w:sz w:val="20"/>
          <w:szCs w:val="20"/>
          <w:lang w:val="fr-FR"/>
        </w:rPr>
        <w:t xml:space="preserve"> le plus élevé a été estimé dan</w:t>
      </w:r>
      <w:r w:rsidR="008D7958" w:rsidRPr="00B6647E">
        <w:rPr>
          <w:rFonts w:ascii="Arial" w:hAnsi="Arial" w:cs="Arial"/>
          <w:sz w:val="20"/>
          <w:szCs w:val="20"/>
          <w:lang w:val="fr-FR"/>
        </w:rPr>
        <w:t>s la province de Gitega avec 214.779</w:t>
      </w:r>
      <w:r w:rsidRPr="00B6647E">
        <w:rPr>
          <w:rFonts w:ascii="Arial" w:hAnsi="Arial" w:cs="Arial"/>
          <w:sz w:val="20"/>
          <w:szCs w:val="20"/>
          <w:lang w:val="fr-FR"/>
        </w:rPr>
        <w:t xml:space="preserve"> million</w:t>
      </w:r>
      <w:r w:rsidR="008D7958" w:rsidRPr="00B6647E">
        <w:rPr>
          <w:rFonts w:ascii="Arial" w:hAnsi="Arial" w:cs="Arial"/>
          <w:sz w:val="20"/>
          <w:szCs w:val="20"/>
          <w:lang w:val="fr-FR"/>
        </w:rPr>
        <w:t>s de</w:t>
      </w:r>
      <w:r w:rsidR="0096609F" w:rsidRPr="00B6647E">
        <w:rPr>
          <w:rFonts w:ascii="Arial" w:hAnsi="Arial" w:cs="Arial"/>
          <w:sz w:val="20"/>
          <w:szCs w:val="20"/>
          <w:lang w:val="fr-FR"/>
        </w:rPr>
        <w:t xml:space="preserve"> francs correspondant à 11,1% de la valeur totale</w:t>
      </w:r>
      <w:r w:rsidR="008D7958" w:rsidRPr="00B6647E">
        <w:rPr>
          <w:rFonts w:ascii="Arial" w:hAnsi="Arial" w:cs="Arial"/>
          <w:sz w:val="20"/>
          <w:szCs w:val="20"/>
          <w:lang w:val="fr-FR"/>
        </w:rPr>
        <w:t>. En</w:t>
      </w:r>
      <w:r w:rsidRPr="00B6647E">
        <w:rPr>
          <w:rFonts w:ascii="Arial" w:hAnsi="Arial" w:cs="Arial"/>
          <w:sz w:val="20"/>
          <w:szCs w:val="20"/>
          <w:lang w:val="fr-FR"/>
        </w:rPr>
        <w:t>suite viennent dans l’ordre Ki</w:t>
      </w:r>
      <w:r w:rsidR="008D7958" w:rsidRPr="00B6647E">
        <w:rPr>
          <w:rFonts w:ascii="Arial" w:hAnsi="Arial" w:cs="Arial"/>
          <w:sz w:val="20"/>
          <w:szCs w:val="20"/>
          <w:lang w:val="fr-FR"/>
        </w:rPr>
        <w:t>rundo (201</w:t>
      </w:r>
      <w:r w:rsidRPr="00B6647E">
        <w:rPr>
          <w:rFonts w:ascii="Arial" w:hAnsi="Arial" w:cs="Arial"/>
          <w:sz w:val="20"/>
          <w:szCs w:val="20"/>
          <w:lang w:val="fr-FR"/>
        </w:rPr>
        <w:t>.</w:t>
      </w:r>
      <w:r w:rsidR="008D7958" w:rsidRPr="00B6647E">
        <w:rPr>
          <w:rFonts w:ascii="Arial" w:hAnsi="Arial" w:cs="Arial"/>
          <w:sz w:val="20"/>
          <w:szCs w:val="20"/>
          <w:lang w:val="fr-FR"/>
        </w:rPr>
        <w:t>744</w:t>
      </w:r>
      <w:r w:rsidRPr="00B6647E">
        <w:rPr>
          <w:rFonts w:ascii="Arial" w:hAnsi="Arial" w:cs="Arial"/>
          <w:sz w:val="20"/>
          <w:szCs w:val="20"/>
          <w:lang w:val="fr-FR"/>
        </w:rPr>
        <w:t xml:space="preserve"> millions FBu, soit </w:t>
      </w:r>
      <w:r w:rsidR="008D7958" w:rsidRPr="00B6647E">
        <w:rPr>
          <w:rFonts w:ascii="Arial" w:hAnsi="Arial" w:cs="Arial"/>
          <w:sz w:val="20"/>
          <w:szCs w:val="20"/>
          <w:lang w:val="fr-FR"/>
        </w:rPr>
        <w:t>10,4</w:t>
      </w:r>
      <w:r w:rsidRPr="00B6647E">
        <w:rPr>
          <w:rFonts w:ascii="Arial" w:hAnsi="Arial" w:cs="Arial"/>
          <w:sz w:val="20"/>
          <w:szCs w:val="20"/>
          <w:lang w:val="fr-FR"/>
        </w:rPr>
        <w:t>%), Muyinga (1</w:t>
      </w:r>
      <w:r w:rsidR="008D7958" w:rsidRPr="00B6647E">
        <w:rPr>
          <w:rFonts w:ascii="Arial" w:hAnsi="Arial" w:cs="Arial"/>
          <w:sz w:val="20"/>
          <w:szCs w:val="20"/>
          <w:lang w:val="fr-FR"/>
        </w:rPr>
        <w:t>87.970</w:t>
      </w:r>
      <w:r w:rsidRPr="00B6647E">
        <w:rPr>
          <w:rFonts w:ascii="Arial" w:hAnsi="Arial" w:cs="Arial"/>
          <w:sz w:val="20"/>
          <w:szCs w:val="20"/>
          <w:lang w:val="fr-FR"/>
        </w:rPr>
        <w:t xml:space="preserve"> millions de FBu, soit </w:t>
      </w:r>
      <w:r w:rsidR="008D7958" w:rsidRPr="00B6647E">
        <w:rPr>
          <w:rFonts w:ascii="Arial" w:hAnsi="Arial" w:cs="Arial"/>
          <w:sz w:val="20"/>
          <w:szCs w:val="20"/>
          <w:lang w:val="fr-FR"/>
        </w:rPr>
        <w:t>9,7</w:t>
      </w:r>
      <w:r w:rsidRPr="00B6647E">
        <w:rPr>
          <w:rFonts w:ascii="Arial" w:hAnsi="Arial" w:cs="Arial"/>
          <w:sz w:val="20"/>
          <w:szCs w:val="20"/>
          <w:lang w:val="fr-FR"/>
        </w:rPr>
        <w:t xml:space="preserve">%) et </w:t>
      </w:r>
      <w:r w:rsidR="008D7958" w:rsidRPr="00B6647E">
        <w:rPr>
          <w:rFonts w:ascii="Arial" w:hAnsi="Arial" w:cs="Arial"/>
          <w:sz w:val="20"/>
          <w:szCs w:val="20"/>
          <w:lang w:val="fr-FR"/>
        </w:rPr>
        <w:t>Bujumbura rural</w:t>
      </w:r>
      <w:r w:rsidRPr="00B6647E">
        <w:rPr>
          <w:rFonts w:ascii="Arial" w:hAnsi="Arial" w:cs="Arial"/>
          <w:sz w:val="20"/>
          <w:szCs w:val="20"/>
          <w:lang w:val="fr-FR"/>
        </w:rPr>
        <w:t xml:space="preserve"> (1</w:t>
      </w:r>
      <w:r w:rsidR="008D7958" w:rsidRPr="00B6647E">
        <w:rPr>
          <w:rFonts w:ascii="Arial" w:hAnsi="Arial" w:cs="Arial"/>
          <w:sz w:val="20"/>
          <w:szCs w:val="20"/>
          <w:lang w:val="fr-FR"/>
        </w:rPr>
        <w:t>54</w:t>
      </w:r>
      <w:r w:rsidRPr="00B6647E">
        <w:rPr>
          <w:rFonts w:ascii="Arial" w:hAnsi="Arial" w:cs="Arial"/>
          <w:sz w:val="20"/>
          <w:szCs w:val="20"/>
          <w:lang w:val="fr-FR"/>
        </w:rPr>
        <w:t>.</w:t>
      </w:r>
      <w:r w:rsidR="008D7958" w:rsidRPr="00B6647E">
        <w:rPr>
          <w:rFonts w:ascii="Arial" w:hAnsi="Arial" w:cs="Arial"/>
          <w:sz w:val="20"/>
          <w:szCs w:val="20"/>
          <w:lang w:val="fr-FR"/>
        </w:rPr>
        <w:t>573</w:t>
      </w:r>
      <w:r w:rsidRPr="00B6647E">
        <w:rPr>
          <w:rFonts w:ascii="Arial" w:hAnsi="Arial" w:cs="Arial"/>
          <w:sz w:val="20"/>
          <w:szCs w:val="20"/>
          <w:lang w:val="fr-FR"/>
        </w:rPr>
        <w:t xml:space="preserve"> millions de FBu, soit 8%).</w:t>
      </w:r>
    </w:p>
    <w:p w:rsidR="004A7BF0" w:rsidRPr="00B6647E" w:rsidRDefault="004A7BF0" w:rsidP="00604946">
      <w:pPr>
        <w:spacing w:after="120" w:line="240" w:lineRule="auto"/>
        <w:jc w:val="both"/>
        <w:rPr>
          <w:rFonts w:ascii="Arial" w:hAnsi="Arial" w:cs="Arial"/>
          <w:sz w:val="20"/>
          <w:szCs w:val="20"/>
          <w:lang w:val="fr-FR"/>
        </w:rPr>
      </w:pPr>
      <w:r w:rsidRPr="00B6647E">
        <w:rPr>
          <w:rFonts w:ascii="Arial" w:hAnsi="Arial" w:cs="Arial"/>
          <w:sz w:val="20"/>
          <w:szCs w:val="20"/>
          <w:lang w:val="fr-FR"/>
        </w:rPr>
        <w:t xml:space="preserve">Au plan national, le </w:t>
      </w:r>
      <w:r w:rsidR="0096609F" w:rsidRPr="00B6647E">
        <w:rPr>
          <w:rFonts w:ascii="Arial" w:hAnsi="Arial" w:cs="Arial"/>
          <w:sz w:val="20"/>
          <w:szCs w:val="20"/>
          <w:lang w:val="fr-FR"/>
        </w:rPr>
        <w:t>montant</w:t>
      </w:r>
      <w:r w:rsidRPr="00B6647E">
        <w:rPr>
          <w:rFonts w:ascii="Arial" w:hAnsi="Arial" w:cs="Arial"/>
          <w:sz w:val="20"/>
          <w:szCs w:val="20"/>
          <w:lang w:val="fr-FR"/>
        </w:rPr>
        <w:t xml:space="preserve"> moyen par ménage agricole correspondant à l’ensemble de la production vivrière, de la pêche, de l’apiculture, de la sylviculture et des activités non agricoles (commerce, </w:t>
      </w:r>
      <w:r w:rsidRPr="00B6647E">
        <w:rPr>
          <w:rFonts w:ascii="Arial" w:hAnsi="Arial" w:cs="Arial"/>
          <w:sz w:val="20"/>
          <w:szCs w:val="20"/>
          <w:lang w:val="fr-FR"/>
        </w:rPr>
        <w:lastRenderedPageBreak/>
        <w:t>artisanat, activités extractives, …) a été estimé à 1.</w:t>
      </w:r>
      <w:r w:rsidR="00B85F11" w:rsidRPr="00B6647E">
        <w:rPr>
          <w:rFonts w:ascii="Arial" w:hAnsi="Arial" w:cs="Arial"/>
          <w:sz w:val="20"/>
          <w:szCs w:val="20"/>
          <w:lang w:val="fr-FR"/>
        </w:rPr>
        <w:t>246</w:t>
      </w:r>
      <w:r w:rsidRPr="00B6647E">
        <w:rPr>
          <w:rFonts w:ascii="Arial" w:hAnsi="Arial" w:cs="Arial"/>
          <w:sz w:val="20"/>
          <w:szCs w:val="20"/>
          <w:lang w:val="fr-FR"/>
        </w:rPr>
        <w:t>.</w:t>
      </w:r>
      <w:r w:rsidR="00B85F11" w:rsidRPr="00B6647E">
        <w:rPr>
          <w:rFonts w:ascii="Arial" w:hAnsi="Arial" w:cs="Arial"/>
          <w:sz w:val="20"/>
          <w:szCs w:val="20"/>
          <w:lang w:val="fr-FR"/>
        </w:rPr>
        <w:t>072</w:t>
      </w:r>
      <w:r w:rsidRPr="00B6647E">
        <w:rPr>
          <w:rFonts w:ascii="Arial" w:hAnsi="Arial" w:cs="Arial"/>
          <w:sz w:val="20"/>
          <w:szCs w:val="20"/>
          <w:lang w:val="fr-FR"/>
        </w:rPr>
        <w:t xml:space="preserve"> FBu. Il ya neuf provinces qui </w:t>
      </w:r>
      <w:r w:rsidR="008B4146">
        <w:rPr>
          <w:rFonts w:ascii="Arial" w:hAnsi="Arial" w:cs="Arial"/>
          <w:sz w:val="20"/>
          <w:szCs w:val="20"/>
          <w:lang w:val="fr-FR"/>
        </w:rPr>
        <w:t xml:space="preserve">ont </w:t>
      </w:r>
      <w:r w:rsidRPr="00B6647E">
        <w:rPr>
          <w:rFonts w:ascii="Arial" w:hAnsi="Arial" w:cs="Arial"/>
          <w:sz w:val="20"/>
          <w:szCs w:val="20"/>
          <w:lang w:val="fr-FR"/>
        </w:rPr>
        <w:t xml:space="preserve">un </w:t>
      </w:r>
      <w:r w:rsidR="0096609F" w:rsidRPr="00B6647E">
        <w:rPr>
          <w:rFonts w:ascii="Arial" w:hAnsi="Arial" w:cs="Arial"/>
          <w:sz w:val="20"/>
          <w:szCs w:val="20"/>
          <w:lang w:val="fr-FR"/>
        </w:rPr>
        <w:t>montant</w:t>
      </w:r>
      <w:r w:rsidRPr="00B6647E">
        <w:rPr>
          <w:rFonts w:ascii="Arial" w:hAnsi="Arial" w:cs="Arial"/>
          <w:sz w:val="20"/>
          <w:szCs w:val="20"/>
          <w:lang w:val="fr-FR"/>
        </w:rPr>
        <w:t xml:space="preserve"> moyen supérieur à la moyenne nationale. Parm</w:t>
      </w:r>
      <w:r w:rsidR="0096609F" w:rsidRPr="00B6647E">
        <w:rPr>
          <w:rFonts w:ascii="Arial" w:hAnsi="Arial" w:cs="Arial"/>
          <w:sz w:val="20"/>
          <w:szCs w:val="20"/>
          <w:lang w:val="fr-FR"/>
        </w:rPr>
        <w:t>i ces provinces, le plus grand montant</w:t>
      </w:r>
      <w:r w:rsidRPr="00B6647E">
        <w:rPr>
          <w:rFonts w:ascii="Arial" w:hAnsi="Arial" w:cs="Arial"/>
          <w:sz w:val="20"/>
          <w:szCs w:val="20"/>
          <w:lang w:val="fr-FR"/>
        </w:rPr>
        <w:t xml:space="preserve"> moyen par ménage a été enregistré dans Mwaro (2.0</w:t>
      </w:r>
      <w:r w:rsidR="00B85F11" w:rsidRPr="00B6647E">
        <w:rPr>
          <w:rFonts w:ascii="Arial" w:hAnsi="Arial" w:cs="Arial"/>
          <w:sz w:val="20"/>
          <w:szCs w:val="20"/>
          <w:lang w:val="fr-FR"/>
        </w:rPr>
        <w:t>66</w:t>
      </w:r>
      <w:r w:rsidRPr="00B6647E">
        <w:rPr>
          <w:rFonts w:ascii="Arial" w:hAnsi="Arial" w:cs="Arial"/>
          <w:sz w:val="20"/>
          <w:szCs w:val="20"/>
          <w:lang w:val="fr-FR"/>
        </w:rPr>
        <w:t>.</w:t>
      </w:r>
      <w:r w:rsidR="00B85F11" w:rsidRPr="00B6647E">
        <w:rPr>
          <w:rFonts w:ascii="Arial" w:hAnsi="Arial" w:cs="Arial"/>
          <w:sz w:val="20"/>
          <w:szCs w:val="20"/>
          <w:lang w:val="fr-FR"/>
        </w:rPr>
        <w:t>318</w:t>
      </w:r>
      <w:r w:rsidRPr="00B6647E">
        <w:rPr>
          <w:rFonts w:ascii="Arial" w:hAnsi="Arial" w:cs="Arial"/>
          <w:sz w:val="20"/>
          <w:szCs w:val="20"/>
          <w:lang w:val="fr-FR"/>
        </w:rPr>
        <w:t xml:space="preserve"> FBu). Cette province est suivie par </w:t>
      </w:r>
      <w:r w:rsidR="00B85F11" w:rsidRPr="00B6647E">
        <w:rPr>
          <w:rFonts w:ascii="Arial" w:hAnsi="Arial" w:cs="Arial"/>
          <w:sz w:val="20"/>
          <w:szCs w:val="20"/>
          <w:lang w:val="fr-FR"/>
        </w:rPr>
        <w:t xml:space="preserve">Makamba (1.621.757 FBu), Cankuzo (1.584.383 FBu), </w:t>
      </w:r>
      <w:r w:rsidRPr="00B6647E">
        <w:rPr>
          <w:rFonts w:ascii="Arial" w:hAnsi="Arial" w:cs="Arial"/>
          <w:sz w:val="20"/>
          <w:szCs w:val="20"/>
          <w:lang w:val="fr-FR"/>
        </w:rPr>
        <w:t>Karuzi (1.53</w:t>
      </w:r>
      <w:r w:rsidR="00B85F11" w:rsidRPr="00B6647E">
        <w:rPr>
          <w:rFonts w:ascii="Arial" w:hAnsi="Arial" w:cs="Arial"/>
          <w:sz w:val="20"/>
          <w:szCs w:val="20"/>
          <w:lang w:val="fr-FR"/>
        </w:rPr>
        <w:t>4</w:t>
      </w:r>
      <w:r w:rsidRPr="00B6647E">
        <w:rPr>
          <w:rFonts w:ascii="Arial" w:hAnsi="Arial" w:cs="Arial"/>
          <w:sz w:val="20"/>
          <w:szCs w:val="20"/>
          <w:lang w:val="fr-FR"/>
        </w:rPr>
        <w:t>.</w:t>
      </w:r>
      <w:r w:rsidR="00B85F11" w:rsidRPr="00B6647E">
        <w:rPr>
          <w:rFonts w:ascii="Arial" w:hAnsi="Arial" w:cs="Arial"/>
          <w:sz w:val="20"/>
          <w:szCs w:val="20"/>
          <w:lang w:val="fr-FR"/>
        </w:rPr>
        <w:t>630</w:t>
      </w:r>
      <w:r w:rsidRPr="00B6647E">
        <w:rPr>
          <w:rFonts w:ascii="Arial" w:hAnsi="Arial" w:cs="Arial"/>
          <w:sz w:val="20"/>
          <w:szCs w:val="20"/>
          <w:lang w:val="fr-FR"/>
        </w:rPr>
        <w:t xml:space="preserve"> FBu), </w:t>
      </w:r>
      <w:r w:rsidR="00B85F11" w:rsidRPr="00B6647E">
        <w:rPr>
          <w:rFonts w:ascii="Arial" w:hAnsi="Arial" w:cs="Arial"/>
          <w:sz w:val="20"/>
          <w:szCs w:val="20"/>
          <w:lang w:val="fr-FR"/>
        </w:rPr>
        <w:t>Gitega (1.532.542 FBu), Bujumbura rural (1.479</w:t>
      </w:r>
      <w:r w:rsidRPr="00B6647E">
        <w:rPr>
          <w:rFonts w:ascii="Arial" w:hAnsi="Arial" w:cs="Arial"/>
          <w:sz w:val="20"/>
          <w:szCs w:val="20"/>
          <w:lang w:val="fr-FR"/>
        </w:rPr>
        <w:t>.</w:t>
      </w:r>
      <w:r w:rsidR="00B85F11" w:rsidRPr="00B6647E">
        <w:rPr>
          <w:rFonts w:ascii="Arial" w:hAnsi="Arial" w:cs="Arial"/>
          <w:sz w:val="20"/>
          <w:szCs w:val="20"/>
          <w:lang w:val="fr-FR"/>
        </w:rPr>
        <w:t>129 FBu) et Cibitoke (1.416.099 FBu),</w:t>
      </w:r>
    </w:p>
    <w:p w:rsidR="007E38E0" w:rsidRPr="00B6647E" w:rsidRDefault="007E38E0" w:rsidP="00604946">
      <w:pPr>
        <w:spacing w:after="120" w:line="240" w:lineRule="auto"/>
        <w:rPr>
          <w:rFonts w:ascii="Arial" w:hAnsi="Arial" w:cs="Arial"/>
          <w:b/>
          <w:sz w:val="20"/>
          <w:szCs w:val="20"/>
        </w:rPr>
      </w:pPr>
      <w:r w:rsidRPr="00B6647E">
        <w:rPr>
          <w:rFonts w:ascii="Arial" w:hAnsi="Arial" w:cs="Arial"/>
          <w:b/>
          <w:sz w:val="20"/>
          <w:szCs w:val="20"/>
        </w:rPr>
        <w:t xml:space="preserve">Tableau </w:t>
      </w:r>
      <w:r w:rsidR="007177FA">
        <w:rPr>
          <w:rFonts w:ascii="Arial" w:hAnsi="Arial" w:cs="Arial"/>
          <w:b/>
          <w:sz w:val="20"/>
          <w:szCs w:val="20"/>
        </w:rPr>
        <w:t>24</w:t>
      </w:r>
      <w:r w:rsidR="00705DF7" w:rsidRPr="00B6647E">
        <w:rPr>
          <w:rFonts w:ascii="Arial" w:hAnsi="Arial" w:cs="Arial"/>
          <w:b/>
          <w:sz w:val="20"/>
          <w:szCs w:val="20"/>
        </w:rPr>
        <w:t>5</w:t>
      </w:r>
      <w:r w:rsidRPr="00B6647E">
        <w:rPr>
          <w:rFonts w:ascii="Arial" w:hAnsi="Arial" w:cs="Arial"/>
          <w:b/>
          <w:sz w:val="20"/>
          <w:szCs w:val="20"/>
        </w:rPr>
        <w:t xml:space="preserve"> : </w:t>
      </w:r>
      <w:r w:rsidR="0096609F" w:rsidRPr="00B6647E">
        <w:rPr>
          <w:rFonts w:ascii="Arial" w:hAnsi="Arial" w:cs="Arial"/>
          <w:b/>
          <w:sz w:val="20"/>
          <w:szCs w:val="20"/>
        </w:rPr>
        <w:t xml:space="preserve">Valeur totale des activités </w:t>
      </w:r>
      <w:r w:rsidRPr="00B6647E">
        <w:rPr>
          <w:rFonts w:ascii="Arial" w:hAnsi="Arial" w:cs="Arial"/>
          <w:b/>
          <w:sz w:val="20"/>
          <w:szCs w:val="20"/>
        </w:rPr>
        <w:t>des ménages agricoles</w:t>
      </w:r>
    </w:p>
    <w:p w:rsidR="007E38E0" w:rsidRPr="00B6647E" w:rsidRDefault="0096609F" w:rsidP="00604946">
      <w:pPr>
        <w:spacing w:after="120" w:line="240" w:lineRule="auto"/>
        <w:rPr>
          <w:rFonts w:ascii="Arial" w:hAnsi="Arial" w:cs="Arial"/>
          <w:sz w:val="20"/>
          <w:szCs w:val="20"/>
        </w:rPr>
      </w:pPr>
      <w:r w:rsidRPr="00B6647E">
        <w:rPr>
          <w:noProof/>
          <w:szCs w:val="20"/>
          <w:lang w:val="fr-FR" w:eastAsia="fr-FR"/>
        </w:rPr>
        <w:drawing>
          <wp:inline distT="0" distB="0" distL="0" distR="0">
            <wp:extent cx="5731510" cy="3089826"/>
            <wp:effectExtent l="19050" t="0" r="2540" b="0"/>
            <wp:docPr id="9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2" cstate="print"/>
                    <a:srcRect/>
                    <a:stretch>
                      <a:fillRect/>
                    </a:stretch>
                  </pic:blipFill>
                  <pic:spPr bwMode="auto">
                    <a:xfrm>
                      <a:off x="0" y="0"/>
                      <a:ext cx="5731510" cy="3089826"/>
                    </a:xfrm>
                    <a:prstGeom prst="rect">
                      <a:avLst/>
                    </a:prstGeom>
                    <a:noFill/>
                    <a:ln w="9525">
                      <a:noFill/>
                      <a:miter lim="800000"/>
                      <a:headEnd/>
                      <a:tailEnd/>
                    </a:ln>
                  </pic:spPr>
                </pic:pic>
              </a:graphicData>
            </a:graphic>
          </wp:inline>
        </w:drawing>
      </w:r>
    </w:p>
    <w:p w:rsidR="00FB01FC" w:rsidRPr="00B6647E" w:rsidRDefault="00322758" w:rsidP="00604946">
      <w:pPr>
        <w:spacing w:after="120" w:line="240" w:lineRule="auto"/>
        <w:rPr>
          <w:rFonts w:ascii="Arial" w:hAnsi="Arial" w:cs="Arial"/>
          <w:sz w:val="20"/>
          <w:szCs w:val="20"/>
          <w:lang w:val="fr-FR"/>
        </w:rPr>
      </w:pPr>
      <w:r w:rsidRPr="00B6647E">
        <w:rPr>
          <w:rFonts w:ascii="Arial" w:hAnsi="Arial" w:cs="Arial"/>
          <w:sz w:val="20"/>
          <w:szCs w:val="20"/>
          <w:lang w:val="fr-FR"/>
        </w:rPr>
        <w:t xml:space="preserve">Sur les sept provinces qui ont </w:t>
      </w:r>
      <w:r w:rsidR="00AD1D1E" w:rsidRPr="00B6647E">
        <w:rPr>
          <w:rFonts w:ascii="Arial" w:hAnsi="Arial" w:cs="Arial"/>
          <w:sz w:val="20"/>
          <w:szCs w:val="20"/>
          <w:lang w:val="fr-FR"/>
        </w:rPr>
        <w:t>des montants</w:t>
      </w:r>
      <w:r w:rsidRPr="00B6647E">
        <w:rPr>
          <w:rFonts w:ascii="Arial" w:hAnsi="Arial" w:cs="Arial"/>
          <w:sz w:val="20"/>
          <w:szCs w:val="20"/>
          <w:lang w:val="fr-FR"/>
        </w:rPr>
        <w:t xml:space="preserve"> moyens inférieurs à la moyenne nationale, </w:t>
      </w:r>
      <w:r w:rsidR="00725BFD" w:rsidRPr="00B6647E">
        <w:rPr>
          <w:rFonts w:ascii="Arial" w:hAnsi="Arial" w:cs="Arial"/>
          <w:sz w:val="20"/>
          <w:szCs w:val="20"/>
          <w:lang w:val="fr-FR"/>
        </w:rPr>
        <w:t>trois</w:t>
      </w:r>
      <w:r w:rsidRPr="00B6647E">
        <w:rPr>
          <w:rFonts w:ascii="Arial" w:hAnsi="Arial" w:cs="Arial"/>
          <w:sz w:val="20"/>
          <w:szCs w:val="20"/>
          <w:lang w:val="fr-FR"/>
        </w:rPr>
        <w:t xml:space="preserve"> parmi elles ont des </w:t>
      </w:r>
      <w:r w:rsidR="00AD1D1E" w:rsidRPr="00B6647E">
        <w:rPr>
          <w:rFonts w:ascii="Arial" w:hAnsi="Arial" w:cs="Arial"/>
          <w:sz w:val="20"/>
          <w:szCs w:val="20"/>
          <w:lang w:val="fr-FR"/>
        </w:rPr>
        <w:t>montants</w:t>
      </w:r>
      <w:r w:rsidR="009B0A77" w:rsidRPr="00B6647E">
        <w:rPr>
          <w:rFonts w:ascii="Arial" w:hAnsi="Arial" w:cs="Arial"/>
          <w:sz w:val="20"/>
          <w:szCs w:val="20"/>
          <w:lang w:val="fr-FR"/>
        </w:rPr>
        <w:t xml:space="preserve"> moyens estimés </w:t>
      </w:r>
      <w:r w:rsidRPr="00B6647E">
        <w:rPr>
          <w:rFonts w:ascii="Arial" w:hAnsi="Arial" w:cs="Arial"/>
          <w:sz w:val="20"/>
          <w:szCs w:val="20"/>
          <w:lang w:val="fr-FR"/>
        </w:rPr>
        <w:t>inférieurs à un million de FBu :</w:t>
      </w:r>
      <w:r w:rsidR="00725BFD" w:rsidRPr="00B6647E">
        <w:rPr>
          <w:rFonts w:ascii="Arial" w:hAnsi="Arial" w:cs="Arial"/>
          <w:sz w:val="20"/>
          <w:szCs w:val="20"/>
          <w:lang w:val="fr-FR"/>
        </w:rPr>
        <w:t xml:space="preserve"> Ngozi (620.080</w:t>
      </w:r>
      <w:r w:rsidR="009B0A77" w:rsidRPr="00B6647E">
        <w:rPr>
          <w:rFonts w:ascii="Arial" w:hAnsi="Arial" w:cs="Arial"/>
          <w:sz w:val="20"/>
          <w:szCs w:val="20"/>
          <w:lang w:val="fr-FR"/>
        </w:rPr>
        <w:t xml:space="preserve"> FBu), Kayanza (7</w:t>
      </w:r>
      <w:r w:rsidR="00725BFD" w:rsidRPr="00B6647E">
        <w:rPr>
          <w:rFonts w:ascii="Arial" w:hAnsi="Arial" w:cs="Arial"/>
          <w:sz w:val="20"/>
          <w:szCs w:val="20"/>
          <w:lang w:val="fr-FR"/>
        </w:rPr>
        <w:t>2</w:t>
      </w:r>
      <w:r w:rsidR="009B0A77" w:rsidRPr="00B6647E">
        <w:rPr>
          <w:rFonts w:ascii="Arial" w:hAnsi="Arial" w:cs="Arial"/>
          <w:sz w:val="20"/>
          <w:szCs w:val="20"/>
          <w:lang w:val="fr-FR"/>
        </w:rPr>
        <w:t>6.</w:t>
      </w:r>
      <w:r w:rsidR="00725BFD" w:rsidRPr="00B6647E">
        <w:rPr>
          <w:rFonts w:ascii="Arial" w:hAnsi="Arial" w:cs="Arial"/>
          <w:sz w:val="20"/>
          <w:szCs w:val="20"/>
          <w:lang w:val="fr-FR"/>
        </w:rPr>
        <w:t>586</w:t>
      </w:r>
      <w:r w:rsidR="009B0A77" w:rsidRPr="00B6647E">
        <w:rPr>
          <w:rFonts w:ascii="Arial" w:hAnsi="Arial" w:cs="Arial"/>
          <w:sz w:val="20"/>
          <w:szCs w:val="20"/>
          <w:lang w:val="fr-FR"/>
        </w:rPr>
        <w:t xml:space="preserve"> FBu) et </w:t>
      </w:r>
      <w:r w:rsidR="00725BFD" w:rsidRPr="00B6647E">
        <w:rPr>
          <w:rFonts w:ascii="Arial" w:hAnsi="Arial" w:cs="Arial"/>
          <w:sz w:val="20"/>
          <w:szCs w:val="20"/>
          <w:lang w:val="fr-FR"/>
        </w:rPr>
        <w:t>Rutana</w:t>
      </w:r>
      <w:r w:rsidR="009B0A77" w:rsidRPr="00B6647E">
        <w:rPr>
          <w:rFonts w:ascii="Arial" w:hAnsi="Arial" w:cs="Arial"/>
          <w:sz w:val="20"/>
          <w:szCs w:val="20"/>
          <w:lang w:val="fr-FR"/>
        </w:rPr>
        <w:t xml:space="preserve"> (</w:t>
      </w:r>
      <w:r w:rsidR="00725BFD" w:rsidRPr="00B6647E">
        <w:rPr>
          <w:rFonts w:ascii="Arial" w:hAnsi="Arial" w:cs="Arial"/>
          <w:sz w:val="20"/>
          <w:szCs w:val="20"/>
          <w:lang w:val="fr-FR"/>
        </w:rPr>
        <w:t>899</w:t>
      </w:r>
      <w:r w:rsidR="009B0A77" w:rsidRPr="00B6647E">
        <w:rPr>
          <w:rFonts w:ascii="Arial" w:hAnsi="Arial" w:cs="Arial"/>
          <w:sz w:val="20"/>
          <w:szCs w:val="20"/>
          <w:lang w:val="fr-FR"/>
        </w:rPr>
        <w:t>.</w:t>
      </w:r>
      <w:r w:rsidR="00725BFD" w:rsidRPr="00B6647E">
        <w:rPr>
          <w:rFonts w:ascii="Arial" w:hAnsi="Arial" w:cs="Arial"/>
          <w:sz w:val="20"/>
          <w:szCs w:val="20"/>
          <w:lang w:val="fr-FR"/>
        </w:rPr>
        <w:t>291</w:t>
      </w:r>
      <w:r w:rsidR="009B0A77" w:rsidRPr="00B6647E">
        <w:rPr>
          <w:rFonts w:ascii="Arial" w:hAnsi="Arial" w:cs="Arial"/>
          <w:sz w:val="20"/>
          <w:szCs w:val="20"/>
          <w:lang w:val="fr-FR"/>
        </w:rPr>
        <w:t xml:space="preserve"> FBu)</w:t>
      </w:r>
    </w:p>
    <w:p w:rsidR="00FB01FC" w:rsidRPr="00B6647E" w:rsidRDefault="001362FC" w:rsidP="00604946">
      <w:pPr>
        <w:spacing w:after="120" w:line="240" w:lineRule="auto"/>
        <w:rPr>
          <w:rFonts w:ascii="Arial" w:hAnsi="Arial" w:cs="Arial"/>
          <w:b/>
          <w:sz w:val="20"/>
          <w:szCs w:val="20"/>
          <w:lang w:val="fr-FR"/>
        </w:rPr>
      </w:pPr>
      <w:r w:rsidRPr="00B6647E">
        <w:rPr>
          <w:rFonts w:ascii="Arial" w:hAnsi="Arial" w:cs="Arial"/>
          <w:b/>
          <w:sz w:val="20"/>
          <w:szCs w:val="20"/>
          <w:lang w:val="fr-FR"/>
        </w:rPr>
        <w:t xml:space="preserve">Graphique </w:t>
      </w:r>
      <w:r w:rsidR="002B03F3">
        <w:rPr>
          <w:rFonts w:ascii="Arial" w:hAnsi="Arial" w:cs="Arial"/>
          <w:b/>
          <w:sz w:val="20"/>
          <w:szCs w:val="20"/>
          <w:lang w:val="fr-FR"/>
        </w:rPr>
        <w:t>31</w:t>
      </w:r>
      <w:r w:rsidRPr="00B6647E">
        <w:rPr>
          <w:rFonts w:ascii="Arial" w:hAnsi="Arial" w:cs="Arial"/>
          <w:b/>
          <w:sz w:val="20"/>
          <w:szCs w:val="20"/>
          <w:lang w:val="fr-FR"/>
        </w:rPr>
        <w:t xml:space="preserve"> : </w:t>
      </w:r>
      <w:r w:rsidR="00AD1D1E" w:rsidRPr="00B6647E">
        <w:rPr>
          <w:rFonts w:ascii="Arial" w:hAnsi="Arial" w:cs="Arial"/>
          <w:b/>
          <w:sz w:val="20"/>
          <w:szCs w:val="20"/>
          <w:lang w:val="fr-FR"/>
        </w:rPr>
        <w:t>Montant</w:t>
      </w:r>
      <w:r w:rsidRPr="00B6647E">
        <w:rPr>
          <w:rFonts w:ascii="Arial" w:hAnsi="Arial" w:cs="Arial"/>
          <w:b/>
          <w:sz w:val="20"/>
          <w:szCs w:val="20"/>
          <w:lang w:val="fr-FR"/>
        </w:rPr>
        <w:t xml:space="preserve"> moyen par ménage agricole et par province (en </w:t>
      </w:r>
      <w:r w:rsidR="00D96EC8" w:rsidRPr="00B6647E">
        <w:rPr>
          <w:rFonts w:ascii="Arial" w:hAnsi="Arial" w:cs="Arial"/>
          <w:b/>
          <w:sz w:val="20"/>
          <w:szCs w:val="20"/>
          <w:lang w:val="fr-FR"/>
        </w:rPr>
        <w:t xml:space="preserve">milliers de </w:t>
      </w:r>
      <w:r w:rsidRPr="00B6647E">
        <w:rPr>
          <w:rFonts w:ascii="Arial" w:hAnsi="Arial" w:cs="Arial"/>
          <w:b/>
          <w:sz w:val="20"/>
          <w:szCs w:val="20"/>
          <w:lang w:val="fr-FR"/>
        </w:rPr>
        <w:t>FBu)</w:t>
      </w:r>
    </w:p>
    <w:p w:rsidR="00FB01FC" w:rsidRPr="00B6647E" w:rsidRDefault="001F543B" w:rsidP="00604946">
      <w:pPr>
        <w:spacing w:after="120" w:line="240" w:lineRule="auto"/>
        <w:rPr>
          <w:rFonts w:ascii="Arial" w:hAnsi="Arial" w:cs="Arial"/>
          <w:sz w:val="20"/>
          <w:szCs w:val="20"/>
          <w:lang w:val="fr-FR"/>
        </w:rPr>
      </w:pPr>
      <w:r w:rsidRPr="00B6647E">
        <w:rPr>
          <w:noProof/>
          <w:szCs w:val="20"/>
          <w:lang w:val="fr-FR" w:eastAsia="fr-FR"/>
        </w:rPr>
        <w:drawing>
          <wp:inline distT="0" distB="0" distL="0" distR="0">
            <wp:extent cx="5731510" cy="3185106"/>
            <wp:effectExtent l="19050" t="0" r="2540" b="0"/>
            <wp:docPr id="21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3" cstate="print"/>
                    <a:srcRect/>
                    <a:stretch>
                      <a:fillRect/>
                    </a:stretch>
                  </pic:blipFill>
                  <pic:spPr bwMode="auto">
                    <a:xfrm>
                      <a:off x="0" y="0"/>
                      <a:ext cx="5731510" cy="3185106"/>
                    </a:xfrm>
                    <a:prstGeom prst="rect">
                      <a:avLst/>
                    </a:prstGeom>
                    <a:noFill/>
                    <a:ln w="9525">
                      <a:noFill/>
                      <a:miter lim="800000"/>
                      <a:headEnd/>
                      <a:tailEnd/>
                    </a:ln>
                  </pic:spPr>
                </pic:pic>
              </a:graphicData>
            </a:graphic>
          </wp:inline>
        </w:drawing>
      </w:r>
      <w:r w:rsidR="00DC1123" w:rsidRPr="00B6647E">
        <w:rPr>
          <w:rFonts w:ascii="Arial" w:hAnsi="Arial" w:cs="Arial"/>
          <w:sz w:val="20"/>
          <w:szCs w:val="20"/>
          <w:lang w:val="fr-FR"/>
        </w:rPr>
        <w:t xml:space="preserve"> </w:t>
      </w:r>
    </w:p>
    <w:p w:rsidR="000079F6" w:rsidRPr="00B6647E" w:rsidRDefault="000079F6">
      <w:pPr>
        <w:rPr>
          <w:rFonts w:ascii="Arial" w:eastAsia="Times New Roman" w:hAnsi="Arial" w:cs="Arial"/>
          <w:color w:val="365F91"/>
          <w:sz w:val="24"/>
          <w:szCs w:val="24"/>
          <w:lang w:eastAsia="fr-FR"/>
        </w:rPr>
      </w:pPr>
      <w:r w:rsidRPr="00B6647E">
        <w:rPr>
          <w:rFonts w:ascii="Arial" w:hAnsi="Arial" w:cs="Arial"/>
          <w:color w:val="365F91"/>
        </w:rPr>
        <w:br w:type="page"/>
      </w:r>
    </w:p>
    <w:p w:rsidR="000F18F2" w:rsidRPr="00B6647E" w:rsidRDefault="00703D0F" w:rsidP="007B009C">
      <w:pPr>
        <w:pStyle w:val="Titre1"/>
        <w:keepNext w:val="0"/>
        <w:numPr>
          <w:ilvl w:val="0"/>
          <w:numId w:val="1"/>
        </w:numPr>
        <w:tabs>
          <w:tab w:val="num" w:pos="432"/>
        </w:tabs>
        <w:ind w:left="432" w:hanging="432"/>
        <w:rPr>
          <w:rFonts w:cs="Arial"/>
          <w:color w:val="365F91"/>
        </w:rPr>
      </w:pPr>
      <w:bookmarkStart w:id="339" w:name="_Toc354313922"/>
      <w:r w:rsidRPr="00B6647E">
        <w:rPr>
          <w:rFonts w:cs="Arial"/>
          <w:color w:val="365F91"/>
        </w:rPr>
        <w:lastRenderedPageBreak/>
        <w:t>Principaux résultats par genre</w:t>
      </w:r>
      <w:bookmarkEnd w:id="339"/>
    </w:p>
    <w:p w:rsidR="001A3AEF" w:rsidRPr="00B6647E" w:rsidRDefault="00DF50D8" w:rsidP="00E51ED6">
      <w:pPr>
        <w:pStyle w:val="Paragraphedeliste"/>
        <w:spacing w:after="0" w:line="240" w:lineRule="auto"/>
        <w:rPr>
          <w:rFonts w:ascii="Arial" w:hAnsi="Arial" w:cs="Arial"/>
          <w:sz w:val="20"/>
          <w:szCs w:val="20"/>
        </w:rPr>
      </w:pPr>
      <w:r w:rsidRPr="00DF50D8">
        <w:rPr>
          <w:rFonts w:ascii="Arial" w:hAnsi="Arial" w:cs="Arial"/>
          <w:noProof/>
        </w:rPr>
        <w:pict>
          <v:shape id="_x0000_s1042" type="#_x0000_t32" style="position:absolute;left:0;text-align:left;margin-left:1.15pt;margin-top:4.8pt;width:453.55pt;height:0;z-index:25169305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4ufrAIAAJcFAAAOAAAAZHJzL2Uyb0RvYy54bWysVE2PmzAQvVfqf7B8Z4FACEFLVlkCvWzb&#10;lXarnh1sglWwke18rKr+945NQjfbS1UtB+SPmTdvZt749u7Ud+jAlOZS5Di8CTBiopaUi12Ovz1X&#10;XoqRNkRQ0knBcvzCNL5bffxwexwyNpOt7ChTCECEzo5Djltjhsz3dd2ynugbOTABl41UPTGwVTuf&#10;KnIE9L7zZ0GQ+Eep6KBkzbSG0814iVcOv2lYbb42jWYGdTkGbsb9lftv7d9f3ZJsp8jQ8vpMg/wH&#10;i55wAUEnqA0xBO0V/wuq57WSWjbmppa9L5uG18zlANmEwZtsnloyMJcLFEcPU5n0+8HWXw6PCnGa&#10;42WCkSA99Gi9N9KFRjNbn+OgMzArxKOyGdYn8TQ8yPqHRkIWLRE75oyfXwbwDa2Hf+ViN3qAKNvj&#10;Z0nBhgC+K9apUb2FhDKgk+vJy9QTdjKohsP5IgmCdI5RfbnzSXZxHJQ2n5jskV3kWBtF+K41hRQC&#10;Oi9V6MKQw4M2lhbJLg42qpAV7zongE6gY46jNAwC56Flx6m9tXZa7bZFp9CBgIaiZF4txyTh5rWZ&#10;kntBHVrLCC3Pa0N4N64heicsHnOyHCnB7mRg6c4hYyeZn8tgWaZlGnvxLCm9ONhsvHVVxF5ShYv5&#10;JtoUxSb8ZYmGcdZySpmwXC/yDeN/k8d5kEbhTQKequJfo7vyAdlrputqHiziKPUWi3nkxVEZePdp&#10;VXjrIkySRXlf3JdvmJYue/0+ZKdSWlZyb5h6aukRUW7VMEujJbw+lMO4R2mQBMsFRqTbwTtVG4WR&#10;kuY7N60Tr5Wdxbjq9SyOqmQ8J93QklEB8wA+p/LJ3NVmCj9W6tJku5vadE7+Ty1BFBcBuKGxczJO&#10;3FbSl0d1GSaYfud0fqns8/J6D+vX7+nqNwAAAP//AwBQSwMEFAAGAAgAAAAhABLqZCjcAAAABQEA&#10;AA8AAABkcnMvZG93bnJldi54bWxMjlFLwzAUhd+F/YdwB76ISzdLWWvTMRRxDBGs/oC0uTbF5qY0&#10;Wdv564170cfDOXzny3ez6diIg2stCVivImBItVUtNQI+3p9ut8Ccl6RkZwkFnNHBrlhc5TJTdqI3&#10;HEvfsAAhl0kB2vs+49zVGo10K9sjhe7TDkb6EIeGq0FOAW46vomihBvZUnjQsscHjfVXeTICpjE5&#10;vtxs+fx9fC3PTRUfHvVzLMT1ct7fA/M4+78x/OoHdSiCU2VPpBzrBGzuwlBAmgALbRqlMbDqknmR&#10;8//2xQ8AAAD//wMAUEsBAi0AFAAGAAgAAAAhALaDOJL+AAAA4QEAABMAAAAAAAAAAAAAAAAAAAAA&#10;AFtDb250ZW50X1R5cGVzXS54bWxQSwECLQAUAAYACAAAACEAOP0h/9YAAACUAQAACwAAAAAAAAAA&#10;AAAAAAAvAQAAX3JlbHMvLnJlbHNQSwECLQAUAAYACAAAACEAJvOLn6wCAACXBQAADgAAAAAAAAAA&#10;AAAAAAAuAgAAZHJzL2Uyb0RvYy54bWxQSwECLQAUAAYACAAAACEAEupkKNwAAAAFAQAADwAAAAAA&#10;AAAAAAAAAAAGBQAAZHJzL2Rvd25yZXYueG1sUEsFBgAAAAAEAAQA8wAAAA8GAAAAAA==&#10;" strokecolor="#365f91" strokeweight="3pt">
            <v:shadow color="#243f60" opacity=".5" offset="1pt"/>
          </v:shape>
        </w:pict>
      </w:r>
    </w:p>
    <w:p w:rsidR="000F18F2" w:rsidRPr="00B6647E" w:rsidRDefault="000F18F2" w:rsidP="0052337E">
      <w:pPr>
        <w:pStyle w:val="Titre2"/>
        <w:keepNext w:val="0"/>
        <w:numPr>
          <w:ilvl w:val="1"/>
          <w:numId w:val="1"/>
        </w:numPr>
        <w:spacing w:before="240" w:after="200"/>
        <w:ind w:left="0" w:firstLine="0"/>
        <w:rPr>
          <w:rFonts w:cs="Arial"/>
          <w:u w:val="dotDash"/>
        </w:rPr>
      </w:pPr>
      <w:bookmarkStart w:id="340" w:name="_Toc354313923"/>
      <w:r w:rsidRPr="00B6647E">
        <w:rPr>
          <w:rFonts w:cs="Arial"/>
          <w:u w:val="dotDash"/>
        </w:rPr>
        <w:t xml:space="preserve">Démographie des </w:t>
      </w:r>
      <w:r w:rsidR="00350C67" w:rsidRPr="00B6647E">
        <w:rPr>
          <w:rFonts w:cs="Arial"/>
          <w:u w:val="dotDash"/>
        </w:rPr>
        <w:t>m</w:t>
      </w:r>
      <w:r w:rsidR="00D55773" w:rsidRPr="00B6647E">
        <w:rPr>
          <w:rFonts w:cs="Arial"/>
          <w:u w:val="dotDash"/>
        </w:rPr>
        <w:t>énages agricoles</w:t>
      </w:r>
      <w:bookmarkEnd w:id="340"/>
    </w:p>
    <w:p w:rsidR="00A35E4E" w:rsidRPr="00B6647E" w:rsidRDefault="00A35E4E" w:rsidP="007049B3">
      <w:pPr>
        <w:pStyle w:val="Corpsdutexte"/>
        <w:rPr>
          <w:rFonts w:cs="Arial"/>
          <w:sz w:val="20"/>
          <w:szCs w:val="20"/>
        </w:rPr>
      </w:pPr>
      <w:r w:rsidRPr="00B6647E">
        <w:rPr>
          <w:rFonts w:cs="Arial"/>
          <w:sz w:val="20"/>
          <w:szCs w:val="20"/>
        </w:rPr>
        <w:t xml:space="preserve">Un </w:t>
      </w:r>
      <w:r w:rsidR="00D049DB" w:rsidRPr="00B6647E">
        <w:rPr>
          <w:rFonts w:cs="Arial"/>
          <w:sz w:val="20"/>
          <w:szCs w:val="20"/>
        </w:rPr>
        <w:t xml:space="preserve">effectif de 1.556.529 ménages agricoles </w:t>
      </w:r>
      <w:r w:rsidRPr="00B6647E">
        <w:rPr>
          <w:rFonts w:cs="Arial"/>
          <w:sz w:val="20"/>
          <w:szCs w:val="20"/>
        </w:rPr>
        <w:t xml:space="preserve">a été estimé dans le pays en </w:t>
      </w:r>
      <w:r w:rsidR="00D049DB" w:rsidRPr="00B6647E">
        <w:rPr>
          <w:rFonts w:cs="Arial"/>
          <w:sz w:val="20"/>
          <w:szCs w:val="20"/>
        </w:rPr>
        <w:t>2011</w:t>
      </w:r>
      <w:r w:rsidRPr="00B6647E">
        <w:rPr>
          <w:rFonts w:cs="Arial"/>
          <w:sz w:val="20"/>
          <w:szCs w:val="20"/>
        </w:rPr>
        <w:t xml:space="preserve"> par l’enquête agricole. </w:t>
      </w:r>
    </w:p>
    <w:p w:rsidR="000F68D2" w:rsidRPr="00B6647E" w:rsidRDefault="000F68D2" w:rsidP="00D049DB">
      <w:pPr>
        <w:pStyle w:val="Corpsdutexte"/>
        <w:rPr>
          <w:rFonts w:cs="Arial"/>
          <w:sz w:val="20"/>
          <w:szCs w:val="20"/>
        </w:rPr>
      </w:pPr>
      <w:r w:rsidRPr="00B6647E">
        <w:rPr>
          <w:rFonts w:cs="Arial"/>
          <w:sz w:val="20"/>
          <w:szCs w:val="20"/>
        </w:rPr>
        <w:t>La</w:t>
      </w:r>
      <w:r w:rsidR="00D049DB" w:rsidRPr="00B6647E">
        <w:rPr>
          <w:rFonts w:cs="Arial"/>
          <w:sz w:val="20"/>
          <w:szCs w:val="20"/>
        </w:rPr>
        <w:t xml:space="preserve"> proportion nationale des ménages dirigés par des hommes est estimée à 78,5 % </w:t>
      </w:r>
      <w:r w:rsidR="00663FE3" w:rsidRPr="00B6647E">
        <w:rPr>
          <w:rFonts w:cs="Arial"/>
          <w:sz w:val="20"/>
          <w:szCs w:val="20"/>
        </w:rPr>
        <w:t xml:space="preserve">(1.221.688 ménages) </w:t>
      </w:r>
      <w:r w:rsidR="00D049DB" w:rsidRPr="00B6647E">
        <w:rPr>
          <w:rFonts w:cs="Arial"/>
          <w:sz w:val="20"/>
          <w:szCs w:val="20"/>
        </w:rPr>
        <w:t xml:space="preserve">contre 21,5% </w:t>
      </w:r>
      <w:r w:rsidR="00663FE3" w:rsidRPr="00B6647E">
        <w:rPr>
          <w:rFonts w:cs="Arial"/>
          <w:sz w:val="20"/>
          <w:szCs w:val="20"/>
        </w:rPr>
        <w:t xml:space="preserve">(334.841 ménages) </w:t>
      </w:r>
      <w:r w:rsidR="00D049DB" w:rsidRPr="00B6647E">
        <w:rPr>
          <w:rFonts w:cs="Arial"/>
          <w:sz w:val="20"/>
          <w:szCs w:val="20"/>
        </w:rPr>
        <w:t>pour ceux qui sont dirigés</w:t>
      </w:r>
      <w:r w:rsidR="00A35E4E" w:rsidRPr="00B6647E">
        <w:rPr>
          <w:rFonts w:cs="Arial"/>
          <w:sz w:val="20"/>
          <w:szCs w:val="20"/>
        </w:rPr>
        <w:t xml:space="preserve"> par des femmes.</w:t>
      </w:r>
      <w:r w:rsidR="00D049DB" w:rsidRPr="00B6647E">
        <w:rPr>
          <w:rFonts w:cs="Arial"/>
          <w:sz w:val="20"/>
          <w:szCs w:val="20"/>
        </w:rPr>
        <w:t xml:space="preserve"> La moitié des seize provinces a des proportions des ménages dirigés par des femmes supérieures à la moyenne nationale (21,5%). </w:t>
      </w:r>
    </w:p>
    <w:p w:rsidR="00D049DB" w:rsidRPr="00B6647E" w:rsidRDefault="00D049DB" w:rsidP="00D049DB">
      <w:pPr>
        <w:pStyle w:val="Corpsdutexte"/>
        <w:rPr>
          <w:rFonts w:cs="Arial"/>
          <w:sz w:val="20"/>
          <w:szCs w:val="20"/>
        </w:rPr>
      </w:pPr>
      <w:r w:rsidRPr="00B6647E">
        <w:rPr>
          <w:rFonts w:cs="Arial"/>
          <w:sz w:val="20"/>
          <w:szCs w:val="20"/>
        </w:rPr>
        <w:t>En haut du classement se trouvent les provinces de Gitega (28,4%), Kayanza (27,3%), Mwaro (26,9%). A l’opposé, les provinces de Makamba (11,6%), de Cankuzo (15,7%) et de Rutana (17,7%) ont les plus faibles proportions.</w:t>
      </w:r>
    </w:p>
    <w:p w:rsidR="00D049DB" w:rsidRPr="00B6647E" w:rsidRDefault="00D049DB" w:rsidP="00A774B2">
      <w:pPr>
        <w:rPr>
          <w:rFonts w:ascii="Arial" w:hAnsi="Arial" w:cs="Arial"/>
          <w:sz w:val="20"/>
          <w:szCs w:val="20"/>
          <w:lang w:val="fr-FR"/>
        </w:rPr>
      </w:pPr>
    </w:p>
    <w:p w:rsidR="00AC6594" w:rsidRPr="00B6647E" w:rsidRDefault="00AC6594" w:rsidP="00A774B2">
      <w:pPr>
        <w:rPr>
          <w:rFonts w:ascii="Arial" w:hAnsi="Arial" w:cs="Arial"/>
          <w:b/>
          <w:sz w:val="20"/>
          <w:szCs w:val="20"/>
          <w:lang w:val="fr-FR" w:eastAsia="fr-FR"/>
        </w:rPr>
      </w:pPr>
      <w:r w:rsidRPr="00B6647E">
        <w:rPr>
          <w:rFonts w:ascii="Arial" w:hAnsi="Arial" w:cs="Arial"/>
          <w:b/>
          <w:sz w:val="20"/>
          <w:szCs w:val="20"/>
          <w:lang w:val="fr-FR" w:eastAsia="fr-FR"/>
        </w:rPr>
        <w:t xml:space="preserve">Tableaux </w:t>
      </w:r>
      <w:r w:rsidR="007177FA">
        <w:rPr>
          <w:rFonts w:ascii="Arial" w:hAnsi="Arial" w:cs="Arial"/>
          <w:b/>
          <w:sz w:val="20"/>
          <w:szCs w:val="20"/>
          <w:lang w:val="fr-FR" w:eastAsia="fr-FR"/>
        </w:rPr>
        <w:t>24</w:t>
      </w:r>
      <w:r w:rsidR="00705DF7" w:rsidRPr="00B6647E">
        <w:rPr>
          <w:rFonts w:ascii="Arial" w:hAnsi="Arial" w:cs="Arial"/>
          <w:b/>
          <w:sz w:val="20"/>
          <w:szCs w:val="20"/>
          <w:lang w:val="fr-FR" w:eastAsia="fr-FR"/>
        </w:rPr>
        <w:t>6</w:t>
      </w:r>
      <w:r w:rsidRPr="00B6647E">
        <w:rPr>
          <w:rFonts w:ascii="Arial" w:hAnsi="Arial" w:cs="Arial"/>
          <w:b/>
          <w:sz w:val="20"/>
          <w:szCs w:val="20"/>
          <w:lang w:val="fr-FR" w:eastAsia="fr-FR"/>
        </w:rPr>
        <w:t> : Nombre de ménages selon le sexe du chef de ménage et par province</w:t>
      </w:r>
    </w:p>
    <w:p w:rsidR="00A774B2" w:rsidRPr="00B6647E" w:rsidRDefault="00DA2681" w:rsidP="00A774B2">
      <w:pPr>
        <w:rPr>
          <w:lang w:val="fr-FR" w:eastAsia="fr-FR"/>
        </w:rPr>
      </w:pPr>
      <w:r w:rsidRPr="00B6647E">
        <w:rPr>
          <w:noProof/>
          <w:lang w:val="fr-FR" w:eastAsia="fr-FR"/>
        </w:rPr>
        <w:drawing>
          <wp:inline distT="0" distB="0" distL="0" distR="0">
            <wp:extent cx="5731510" cy="3262664"/>
            <wp:effectExtent l="19050" t="0" r="2540" b="0"/>
            <wp:docPr id="23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4" cstate="print"/>
                    <a:srcRect/>
                    <a:stretch>
                      <a:fillRect/>
                    </a:stretch>
                  </pic:blipFill>
                  <pic:spPr bwMode="auto">
                    <a:xfrm>
                      <a:off x="0" y="0"/>
                      <a:ext cx="5731510" cy="3262664"/>
                    </a:xfrm>
                    <a:prstGeom prst="rect">
                      <a:avLst/>
                    </a:prstGeom>
                    <a:noFill/>
                    <a:ln w="9525">
                      <a:noFill/>
                      <a:miter lim="800000"/>
                      <a:headEnd/>
                      <a:tailEnd/>
                    </a:ln>
                  </pic:spPr>
                </pic:pic>
              </a:graphicData>
            </a:graphic>
          </wp:inline>
        </w:drawing>
      </w:r>
    </w:p>
    <w:p w:rsidR="00663FE3" w:rsidRPr="00B6647E" w:rsidRDefault="00663FE3" w:rsidP="00663FE3">
      <w:pPr>
        <w:pStyle w:val="Corpsdutexte"/>
        <w:rPr>
          <w:rFonts w:cs="Arial"/>
          <w:sz w:val="20"/>
          <w:szCs w:val="20"/>
        </w:rPr>
      </w:pPr>
      <w:r w:rsidRPr="00B6647E">
        <w:rPr>
          <w:rFonts w:cs="Arial"/>
          <w:sz w:val="20"/>
          <w:szCs w:val="20"/>
        </w:rPr>
        <w:t>Au niveau national, la taille moyenne d’un ménage agricole est de 5,1 personnes. Toutefois, cette moyenne varie selon que le ménage est dirigé par un homme ou par une femme. En effet, elle est de 5,4 personnes dans les ménages dirigés par des hommes et de 3,9 personnes pour les ménages dirigés par des femmes.</w:t>
      </w:r>
    </w:p>
    <w:p w:rsidR="000F68D2" w:rsidRPr="00B6647E" w:rsidRDefault="00663FE3" w:rsidP="00663FE3">
      <w:pPr>
        <w:pStyle w:val="Corpsdutexte"/>
        <w:rPr>
          <w:rFonts w:cs="Arial"/>
          <w:sz w:val="20"/>
          <w:szCs w:val="20"/>
        </w:rPr>
      </w:pPr>
      <w:r w:rsidRPr="00B6647E">
        <w:rPr>
          <w:rFonts w:cs="Arial"/>
          <w:sz w:val="20"/>
          <w:szCs w:val="20"/>
        </w:rPr>
        <w:t xml:space="preserve">L’âge moyen d’un chef de ménage agricole est de 42,7 ans au niveau du pays. Cet âge est de 40,5 ans pour les chefs de ménage hommes et de 51,1 ans pour les chefs de ménage femmes. </w:t>
      </w:r>
    </w:p>
    <w:p w:rsidR="00663FE3" w:rsidRPr="00B6647E" w:rsidRDefault="00663FE3" w:rsidP="00663FE3">
      <w:pPr>
        <w:pStyle w:val="Corpsdutexte"/>
        <w:rPr>
          <w:rFonts w:cs="Arial"/>
          <w:sz w:val="20"/>
          <w:szCs w:val="20"/>
        </w:rPr>
      </w:pPr>
      <w:r w:rsidRPr="00B6647E">
        <w:rPr>
          <w:rFonts w:cs="Arial"/>
          <w:sz w:val="20"/>
          <w:szCs w:val="20"/>
        </w:rPr>
        <w:t>Les âges moyens les plus élevés sont estimés dans les provinces de Mwaro (47,4 ans), de Bururi (46,3 ans) et les plus faibles sont enregistrés dans les provinces de Karuzi (39,7 ans) et Kirundo (39,8 ans).</w:t>
      </w:r>
    </w:p>
    <w:p w:rsidR="00663FE3" w:rsidRPr="00B6647E" w:rsidRDefault="00663FE3" w:rsidP="00663FE3">
      <w:pPr>
        <w:spacing w:line="240" w:lineRule="auto"/>
        <w:jc w:val="both"/>
        <w:rPr>
          <w:rFonts w:ascii="Arial" w:hAnsi="Arial" w:cs="Arial"/>
          <w:noProof/>
          <w:sz w:val="20"/>
          <w:szCs w:val="20"/>
          <w:lang w:eastAsia="en-US"/>
        </w:rPr>
      </w:pPr>
      <w:r w:rsidRPr="00B6647E">
        <w:rPr>
          <w:rFonts w:ascii="Arial" w:hAnsi="Arial" w:cs="Arial"/>
          <w:noProof/>
          <w:sz w:val="20"/>
          <w:szCs w:val="20"/>
          <w:lang w:eastAsia="en-US"/>
        </w:rPr>
        <w:t>L’âge des chefs de ménage hommes, varie de 37,3 ans dans la province de Kirundo à 45,3 ans dans les provinces de Bururi et de Mwaro. En ce qui concerne les chefs de ménage femmes, cet âge varie de 46,9 ans dans la province de Cibitoke à 56,8 ans dans la province de Rutana.</w:t>
      </w:r>
    </w:p>
    <w:p w:rsidR="00BE1DF5" w:rsidRPr="00B6647E" w:rsidRDefault="00BE1DF5" w:rsidP="00BE1DF5">
      <w:pPr>
        <w:pStyle w:val="Corpsdutexte"/>
        <w:rPr>
          <w:rFonts w:cs="Arial"/>
          <w:sz w:val="20"/>
          <w:szCs w:val="20"/>
        </w:rPr>
      </w:pPr>
      <w:r w:rsidRPr="00B6647E">
        <w:rPr>
          <w:rFonts w:cs="Arial"/>
          <w:sz w:val="20"/>
          <w:szCs w:val="20"/>
        </w:rPr>
        <w:lastRenderedPageBreak/>
        <w:t>La population agricole</w:t>
      </w:r>
      <w:r w:rsidRPr="00B6647E">
        <w:rPr>
          <w:rStyle w:val="Appelnotedebasdep"/>
          <w:rFonts w:cs="Arial"/>
          <w:sz w:val="20"/>
          <w:szCs w:val="20"/>
        </w:rPr>
        <w:footnoteReference w:id="49"/>
      </w:r>
      <w:r w:rsidRPr="00B6647E">
        <w:rPr>
          <w:rFonts w:cs="Arial"/>
          <w:sz w:val="20"/>
          <w:szCs w:val="20"/>
        </w:rPr>
        <w:t xml:space="preserve"> burundaise est estimée à 7.902.860 personnes. Elle est composée de 3.827.945 hommes correspondant à 48,4% de la population totale contre 4.074.915 femmes, soit une proportion de 51,6%.</w:t>
      </w:r>
    </w:p>
    <w:p w:rsidR="008B675B" w:rsidRPr="00B6647E" w:rsidRDefault="008B675B" w:rsidP="00BE1DF5">
      <w:pPr>
        <w:pStyle w:val="Corpsdutexte"/>
        <w:rPr>
          <w:rFonts w:cs="Arial"/>
          <w:sz w:val="20"/>
          <w:szCs w:val="20"/>
        </w:rPr>
      </w:pPr>
      <w:r w:rsidRPr="00B6647E">
        <w:rPr>
          <w:rFonts w:cs="Arial"/>
          <w:sz w:val="20"/>
          <w:szCs w:val="20"/>
        </w:rPr>
        <w:t xml:space="preserve">Des effectifs supérieurs à 300.000 personnes </w:t>
      </w:r>
      <w:r w:rsidR="000A5E34" w:rsidRPr="00B6647E">
        <w:rPr>
          <w:rFonts w:cs="Arial"/>
          <w:sz w:val="20"/>
          <w:szCs w:val="20"/>
        </w:rPr>
        <w:t xml:space="preserve">de chaque sexe </w:t>
      </w:r>
      <w:r w:rsidRPr="00B6647E">
        <w:rPr>
          <w:rFonts w:cs="Arial"/>
          <w:sz w:val="20"/>
          <w:szCs w:val="20"/>
        </w:rPr>
        <w:t>ont été estimés dans Kirundo</w:t>
      </w:r>
      <w:r w:rsidR="00494E80" w:rsidRPr="00B6647E">
        <w:rPr>
          <w:rFonts w:cs="Arial"/>
          <w:sz w:val="20"/>
          <w:szCs w:val="20"/>
        </w:rPr>
        <w:t xml:space="preserve"> (342.025 hommes et 370.319 femmes)</w:t>
      </w:r>
      <w:r w:rsidRPr="00B6647E">
        <w:rPr>
          <w:rFonts w:cs="Arial"/>
          <w:sz w:val="20"/>
          <w:szCs w:val="20"/>
        </w:rPr>
        <w:t xml:space="preserve">, </w:t>
      </w:r>
      <w:r w:rsidR="00494E80" w:rsidRPr="00B6647E">
        <w:rPr>
          <w:rFonts w:cs="Arial"/>
          <w:sz w:val="20"/>
          <w:szCs w:val="20"/>
        </w:rPr>
        <w:t>Muyinga (325.362 hommes contre 364.545 femmes), Ngozi (318.209 hommes et 363.099 personnes) et Gitega (312.602 hommes contre 351.660 femmes).</w:t>
      </w:r>
    </w:p>
    <w:p w:rsidR="000A5E34" w:rsidRPr="00B6647E" w:rsidRDefault="000A5E34" w:rsidP="00457485">
      <w:pPr>
        <w:pStyle w:val="Corpsdutexte"/>
        <w:rPr>
          <w:rFonts w:cs="Arial"/>
          <w:sz w:val="20"/>
          <w:szCs w:val="20"/>
        </w:rPr>
      </w:pPr>
      <w:r w:rsidRPr="00B6647E">
        <w:rPr>
          <w:rFonts w:cs="Arial"/>
          <w:sz w:val="20"/>
          <w:szCs w:val="20"/>
        </w:rPr>
        <w:t>A l’</w:t>
      </w:r>
      <w:r w:rsidR="00457485" w:rsidRPr="00B6647E">
        <w:rPr>
          <w:rFonts w:cs="Arial"/>
          <w:sz w:val="20"/>
          <w:szCs w:val="20"/>
        </w:rPr>
        <w:t>opposé</w:t>
      </w:r>
      <w:r w:rsidRPr="00B6647E">
        <w:rPr>
          <w:rFonts w:cs="Arial"/>
          <w:sz w:val="20"/>
          <w:szCs w:val="20"/>
        </w:rPr>
        <w:t>, trois provinces ont moins de 160.000 personnes de chaq</w:t>
      </w:r>
      <w:r w:rsidR="007049B3">
        <w:rPr>
          <w:rFonts w:cs="Arial"/>
          <w:sz w:val="20"/>
          <w:szCs w:val="20"/>
        </w:rPr>
        <w:t>u</w:t>
      </w:r>
      <w:r w:rsidRPr="00B6647E">
        <w:rPr>
          <w:rFonts w:cs="Arial"/>
          <w:sz w:val="20"/>
          <w:szCs w:val="20"/>
        </w:rPr>
        <w:t>e sexe : Cankuzo (127.138 hommes contre 128.848 femmes), Mwaro (144.801 hommes et 158.077 femmes) et Muramvya (151.715 hommes contre 159.136 femmes).</w:t>
      </w:r>
    </w:p>
    <w:p w:rsidR="00663FE3" w:rsidRPr="00B6647E" w:rsidRDefault="00AD7803" w:rsidP="00705DF7">
      <w:pPr>
        <w:rPr>
          <w:rFonts w:ascii="Arial" w:hAnsi="Arial" w:cs="Arial"/>
          <w:b/>
          <w:sz w:val="20"/>
          <w:szCs w:val="20"/>
          <w:lang w:val="fr-FR" w:eastAsia="fr-FR"/>
        </w:rPr>
      </w:pPr>
      <w:r w:rsidRPr="00B6647E">
        <w:rPr>
          <w:rFonts w:ascii="Arial" w:hAnsi="Arial" w:cs="Arial"/>
          <w:b/>
          <w:sz w:val="20"/>
          <w:szCs w:val="20"/>
          <w:lang w:val="fr-FR" w:eastAsia="fr-FR"/>
        </w:rPr>
        <w:t xml:space="preserve">Tableau </w:t>
      </w:r>
      <w:r w:rsidR="007177FA">
        <w:rPr>
          <w:rFonts w:ascii="Arial" w:hAnsi="Arial" w:cs="Arial"/>
          <w:b/>
          <w:sz w:val="20"/>
          <w:szCs w:val="20"/>
          <w:lang w:val="fr-FR" w:eastAsia="fr-FR"/>
        </w:rPr>
        <w:t>24</w:t>
      </w:r>
      <w:r w:rsidR="00705DF7" w:rsidRPr="00B6647E">
        <w:rPr>
          <w:rFonts w:ascii="Arial" w:hAnsi="Arial" w:cs="Arial"/>
          <w:b/>
          <w:sz w:val="20"/>
          <w:szCs w:val="20"/>
          <w:lang w:val="fr-FR" w:eastAsia="fr-FR"/>
        </w:rPr>
        <w:t>7</w:t>
      </w:r>
      <w:r w:rsidRPr="00B6647E">
        <w:rPr>
          <w:rFonts w:ascii="Arial" w:hAnsi="Arial" w:cs="Arial"/>
          <w:b/>
          <w:sz w:val="20"/>
          <w:szCs w:val="20"/>
          <w:lang w:val="fr-FR" w:eastAsia="fr-FR"/>
        </w:rPr>
        <w:t> : Population vivant dans les ménages agricoles</w:t>
      </w:r>
    </w:p>
    <w:p w:rsidR="00362F96" w:rsidRPr="00B6647E" w:rsidRDefault="00494E80" w:rsidP="00E51ED6">
      <w:pPr>
        <w:spacing w:after="0" w:line="240" w:lineRule="auto"/>
        <w:rPr>
          <w:rFonts w:ascii="Arial" w:hAnsi="Arial" w:cs="Arial"/>
          <w:lang w:val="fr-FR" w:eastAsia="fr-FR"/>
        </w:rPr>
      </w:pPr>
      <w:r w:rsidRPr="00B6647E">
        <w:rPr>
          <w:noProof/>
          <w:lang w:val="fr-FR" w:eastAsia="fr-FR"/>
        </w:rPr>
        <w:drawing>
          <wp:inline distT="0" distB="0" distL="0" distR="0">
            <wp:extent cx="4467225" cy="4067175"/>
            <wp:effectExtent l="19050" t="0" r="9525" b="0"/>
            <wp:docPr id="24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5" cstate="print"/>
                    <a:srcRect/>
                    <a:stretch>
                      <a:fillRect/>
                    </a:stretch>
                  </pic:blipFill>
                  <pic:spPr bwMode="auto">
                    <a:xfrm>
                      <a:off x="0" y="0"/>
                      <a:ext cx="4467225" cy="4067175"/>
                    </a:xfrm>
                    <a:prstGeom prst="rect">
                      <a:avLst/>
                    </a:prstGeom>
                    <a:noFill/>
                    <a:ln w="9525">
                      <a:noFill/>
                      <a:miter lim="800000"/>
                      <a:headEnd/>
                      <a:tailEnd/>
                    </a:ln>
                  </pic:spPr>
                </pic:pic>
              </a:graphicData>
            </a:graphic>
          </wp:inline>
        </w:drawing>
      </w:r>
    </w:p>
    <w:p w:rsidR="00243F29" w:rsidRPr="00B6647E" w:rsidRDefault="00243F29" w:rsidP="00457485">
      <w:pPr>
        <w:pStyle w:val="Corpsdutexte"/>
        <w:rPr>
          <w:rFonts w:cs="Arial"/>
          <w:sz w:val="20"/>
          <w:szCs w:val="20"/>
        </w:rPr>
      </w:pPr>
      <w:r w:rsidRPr="00B6647E">
        <w:rPr>
          <w:rFonts w:cs="Arial"/>
          <w:sz w:val="20"/>
          <w:szCs w:val="20"/>
        </w:rPr>
        <w:t xml:space="preserve">Au niveau national, le rapport de masculinité a été estimé à 93,9 hommes </w:t>
      </w:r>
      <w:r w:rsidR="000F68D2" w:rsidRPr="00B6647E">
        <w:rPr>
          <w:rFonts w:cs="Arial"/>
          <w:sz w:val="20"/>
          <w:szCs w:val="20"/>
        </w:rPr>
        <w:t>pour cent femmes. Dans toutes les provinces, le nombre de femmes est supérieur à celui des hommes sauf Makamba où ce nombre a été évalué à 102,9 hommes pour cent femmes et dans Bubanza où il y a une quasi-égalité.</w:t>
      </w:r>
    </w:p>
    <w:p w:rsidR="00243F29" w:rsidRPr="00B6647E" w:rsidRDefault="000F68D2" w:rsidP="00457485">
      <w:pPr>
        <w:pStyle w:val="Corpsdutexte"/>
        <w:rPr>
          <w:rFonts w:cs="Arial"/>
          <w:sz w:val="20"/>
          <w:szCs w:val="20"/>
        </w:rPr>
      </w:pPr>
      <w:r w:rsidRPr="00B6647E">
        <w:rPr>
          <w:rFonts w:cs="Arial"/>
          <w:sz w:val="20"/>
          <w:szCs w:val="20"/>
        </w:rPr>
        <w:t>Dans les autres provinces, le rapport de masculinité varie de 87,6% dans Ngozi à 98,7% dans Cibitoke.</w:t>
      </w:r>
    </w:p>
    <w:p w:rsidR="00243F29" w:rsidRPr="00B6647E" w:rsidRDefault="00243F29" w:rsidP="00457485">
      <w:pPr>
        <w:pStyle w:val="Corpsdutexte"/>
        <w:rPr>
          <w:rFonts w:cs="Arial"/>
          <w:sz w:val="20"/>
          <w:szCs w:val="20"/>
        </w:rPr>
      </w:pPr>
    </w:p>
    <w:p w:rsidR="00457485" w:rsidRPr="00B6647E" w:rsidRDefault="00457485">
      <w:pPr>
        <w:rPr>
          <w:rFonts w:ascii="Arial" w:eastAsia="Times New Roman" w:hAnsi="Arial" w:cs="Arial"/>
          <w:b/>
          <w:smallCaps/>
          <w:u w:val="dotDash"/>
          <w:lang w:val="fr-FR" w:eastAsia="fr-FR"/>
        </w:rPr>
      </w:pPr>
      <w:r w:rsidRPr="00B6647E">
        <w:rPr>
          <w:rFonts w:cs="Arial"/>
          <w:u w:val="dotDash"/>
        </w:rPr>
        <w:br w:type="page"/>
      </w:r>
    </w:p>
    <w:p w:rsidR="00EA209D" w:rsidRPr="00B6647E" w:rsidRDefault="00EA209D" w:rsidP="00EA209D">
      <w:pPr>
        <w:pStyle w:val="Titre2"/>
        <w:keepNext w:val="0"/>
        <w:numPr>
          <w:ilvl w:val="1"/>
          <w:numId w:val="1"/>
        </w:numPr>
        <w:spacing w:before="240" w:after="200"/>
        <w:ind w:left="0" w:firstLine="0"/>
        <w:rPr>
          <w:rFonts w:cs="Arial"/>
          <w:u w:val="dotDash"/>
        </w:rPr>
      </w:pPr>
      <w:bookmarkStart w:id="341" w:name="_Toc354313924"/>
      <w:r w:rsidRPr="00B6647E">
        <w:rPr>
          <w:rFonts w:cs="Arial"/>
          <w:u w:val="dotDash"/>
        </w:rPr>
        <w:lastRenderedPageBreak/>
        <w:t>Taux de pratique des cultures des ménages selon le sexe du CM et par saison</w:t>
      </w:r>
      <w:bookmarkEnd w:id="341"/>
    </w:p>
    <w:p w:rsidR="00EA209D" w:rsidRPr="00B6647E" w:rsidRDefault="00EA209D" w:rsidP="00181485">
      <w:pPr>
        <w:spacing w:line="240" w:lineRule="auto"/>
        <w:jc w:val="both"/>
        <w:rPr>
          <w:rFonts w:ascii="Arial" w:hAnsi="Arial" w:cs="Arial"/>
          <w:sz w:val="20"/>
          <w:szCs w:val="20"/>
          <w:lang w:val="fr-FR"/>
        </w:rPr>
      </w:pPr>
      <w:r w:rsidRPr="00B6647E">
        <w:rPr>
          <w:rFonts w:ascii="Arial" w:hAnsi="Arial" w:cs="Arial"/>
          <w:sz w:val="20"/>
          <w:szCs w:val="20"/>
          <w:lang w:val="fr-FR"/>
        </w:rPr>
        <w:t>On ne note pas de grandes différences entre les taux de pratiques des cultures des ménages dirigés par des hommes et ceux dirigés par des femmes. Cependant au niveau du haricot nain le</w:t>
      </w:r>
      <w:r w:rsidR="0056069C" w:rsidRPr="00B6647E">
        <w:rPr>
          <w:rFonts w:ascii="Arial" w:hAnsi="Arial" w:cs="Arial"/>
          <w:sz w:val="20"/>
          <w:szCs w:val="20"/>
          <w:lang w:val="fr-FR"/>
        </w:rPr>
        <w:t xml:space="preserve"> taux de pratique des ménages dirigés par des femmes semble supérieur à celui de</w:t>
      </w:r>
      <w:r w:rsidRPr="00B6647E">
        <w:rPr>
          <w:rFonts w:ascii="Arial" w:hAnsi="Arial" w:cs="Arial"/>
          <w:sz w:val="20"/>
          <w:szCs w:val="20"/>
          <w:lang w:val="fr-FR"/>
        </w:rPr>
        <w:t>s ménages</w:t>
      </w:r>
      <w:r w:rsidR="0056069C" w:rsidRPr="00B6647E">
        <w:rPr>
          <w:rFonts w:ascii="Arial" w:hAnsi="Arial" w:cs="Arial"/>
          <w:sz w:val="20"/>
          <w:szCs w:val="20"/>
          <w:lang w:val="fr-FR"/>
        </w:rPr>
        <w:t xml:space="preserve"> </w:t>
      </w:r>
      <w:r w:rsidR="00FA3D5E" w:rsidRPr="00B6647E">
        <w:rPr>
          <w:rFonts w:ascii="Arial" w:hAnsi="Arial" w:cs="Arial"/>
          <w:sz w:val="20"/>
          <w:szCs w:val="20"/>
          <w:lang w:val="fr-FR"/>
        </w:rPr>
        <w:t xml:space="preserve">dirigés par des hommes (68,3% contre 66,1% en saison </w:t>
      </w:r>
      <w:r w:rsidR="007049B3">
        <w:rPr>
          <w:rFonts w:ascii="Arial" w:hAnsi="Arial" w:cs="Arial"/>
          <w:sz w:val="20"/>
          <w:szCs w:val="20"/>
          <w:lang w:val="fr-FR"/>
        </w:rPr>
        <w:t>A</w:t>
      </w:r>
      <w:r w:rsidR="0056069C" w:rsidRPr="00B6647E">
        <w:rPr>
          <w:rFonts w:ascii="Arial" w:hAnsi="Arial" w:cs="Arial"/>
          <w:sz w:val="20"/>
          <w:szCs w:val="20"/>
          <w:lang w:val="fr-FR"/>
        </w:rPr>
        <w:t>, 70,8% contre 66,3</w:t>
      </w:r>
      <w:r w:rsidR="00FA3D5E" w:rsidRPr="00B6647E">
        <w:rPr>
          <w:rFonts w:ascii="Arial" w:hAnsi="Arial" w:cs="Arial"/>
          <w:sz w:val="20"/>
          <w:szCs w:val="20"/>
          <w:lang w:val="fr-FR"/>
        </w:rPr>
        <w:t>%</w:t>
      </w:r>
      <w:r w:rsidR="0056069C" w:rsidRPr="00B6647E">
        <w:rPr>
          <w:rFonts w:ascii="Arial" w:hAnsi="Arial" w:cs="Arial"/>
          <w:sz w:val="20"/>
          <w:szCs w:val="20"/>
          <w:lang w:val="fr-FR"/>
        </w:rPr>
        <w:t xml:space="preserve"> pendant la saison B et 29% contre 27,4% au cours de la saison C).</w:t>
      </w:r>
    </w:p>
    <w:p w:rsidR="00EA209D" w:rsidRPr="00B6647E" w:rsidRDefault="00EA209D" w:rsidP="00EA209D">
      <w:pPr>
        <w:spacing w:line="240" w:lineRule="auto"/>
        <w:rPr>
          <w:rFonts w:ascii="Arial" w:hAnsi="Arial" w:cs="Arial"/>
          <w:b/>
          <w:sz w:val="20"/>
          <w:szCs w:val="20"/>
        </w:rPr>
      </w:pPr>
      <w:r w:rsidRPr="00B6647E">
        <w:rPr>
          <w:rFonts w:ascii="Arial" w:hAnsi="Arial" w:cs="Arial"/>
          <w:b/>
          <w:sz w:val="20"/>
          <w:szCs w:val="20"/>
        </w:rPr>
        <w:t xml:space="preserve">Tableau </w:t>
      </w:r>
      <w:r w:rsidR="007177FA">
        <w:rPr>
          <w:rFonts w:ascii="Arial" w:hAnsi="Arial" w:cs="Arial"/>
          <w:b/>
          <w:sz w:val="20"/>
          <w:szCs w:val="20"/>
        </w:rPr>
        <w:t>248</w:t>
      </w:r>
      <w:r w:rsidRPr="00B6647E">
        <w:rPr>
          <w:rFonts w:ascii="Arial" w:hAnsi="Arial" w:cs="Arial"/>
          <w:b/>
          <w:sz w:val="20"/>
          <w:szCs w:val="20"/>
        </w:rPr>
        <w:t> : Taux de pratiques des cultures vivrières par saison (% de ménages)</w:t>
      </w:r>
    </w:p>
    <w:p w:rsidR="00FA3D5E" w:rsidRPr="00B6647E" w:rsidRDefault="00EA209D">
      <w:pPr>
        <w:rPr>
          <w:rFonts w:cs="Arial"/>
          <w:u w:val="dotDash"/>
        </w:rPr>
      </w:pPr>
      <w:r w:rsidRPr="00B6647E">
        <w:rPr>
          <w:noProof/>
          <w:lang w:val="fr-FR" w:eastAsia="fr-FR"/>
        </w:rPr>
        <w:drawing>
          <wp:inline distT="0" distB="0" distL="0" distR="0">
            <wp:extent cx="5731510" cy="4484720"/>
            <wp:effectExtent l="19050" t="0" r="2540" b="0"/>
            <wp:docPr id="1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6" cstate="print"/>
                    <a:srcRect/>
                    <a:stretch>
                      <a:fillRect/>
                    </a:stretch>
                  </pic:blipFill>
                  <pic:spPr bwMode="auto">
                    <a:xfrm>
                      <a:off x="0" y="0"/>
                      <a:ext cx="5731510" cy="4484720"/>
                    </a:xfrm>
                    <a:prstGeom prst="rect">
                      <a:avLst/>
                    </a:prstGeom>
                    <a:noFill/>
                    <a:ln w="9525">
                      <a:noFill/>
                      <a:miter lim="800000"/>
                      <a:headEnd/>
                      <a:tailEnd/>
                    </a:ln>
                  </pic:spPr>
                </pic:pic>
              </a:graphicData>
            </a:graphic>
          </wp:inline>
        </w:drawing>
      </w:r>
    </w:p>
    <w:p w:rsidR="00B13A83" w:rsidRPr="00B6647E" w:rsidRDefault="00D776CF" w:rsidP="0052337E">
      <w:pPr>
        <w:pStyle w:val="Titre2"/>
        <w:keepNext w:val="0"/>
        <w:numPr>
          <w:ilvl w:val="1"/>
          <w:numId w:val="1"/>
        </w:numPr>
        <w:spacing w:before="240" w:after="200"/>
        <w:ind w:left="0" w:firstLine="0"/>
        <w:rPr>
          <w:rFonts w:cs="Arial"/>
          <w:u w:val="dotDash"/>
        </w:rPr>
      </w:pPr>
      <w:bookmarkStart w:id="342" w:name="_Toc354313925"/>
      <w:r w:rsidRPr="00B6647E">
        <w:rPr>
          <w:rFonts w:cs="Arial"/>
          <w:u w:val="dotDash"/>
        </w:rPr>
        <w:t>Superficie</w:t>
      </w:r>
      <w:r w:rsidR="00B13A83" w:rsidRPr="00B6647E">
        <w:rPr>
          <w:rFonts w:cs="Arial"/>
          <w:u w:val="dotDash"/>
        </w:rPr>
        <w:t xml:space="preserve"> </w:t>
      </w:r>
      <w:r w:rsidRPr="00B6647E">
        <w:rPr>
          <w:rFonts w:cs="Arial"/>
          <w:u w:val="dotDash"/>
        </w:rPr>
        <w:t>cultivée</w:t>
      </w:r>
      <w:r w:rsidR="00B13A83" w:rsidRPr="00B6647E">
        <w:rPr>
          <w:rFonts w:cs="Arial"/>
          <w:u w:val="dotDash"/>
        </w:rPr>
        <w:t xml:space="preserve"> </w:t>
      </w:r>
      <w:r w:rsidR="007178D8" w:rsidRPr="00B6647E">
        <w:rPr>
          <w:rFonts w:cs="Arial"/>
          <w:u w:val="dotDash"/>
        </w:rPr>
        <w:t>des ménages selon le</w:t>
      </w:r>
      <w:r w:rsidR="00B13A83" w:rsidRPr="00B6647E">
        <w:rPr>
          <w:rFonts w:cs="Arial"/>
          <w:u w:val="dotDash"/>
        </w:rPr>
        <w:t xml:space="preserve"> sexe du </w:t>
      </w:r>
      <w:r w:rsidR="007178D8" w:rsidRPr="00B6647E">
        <w:rPr>
          <w:rFonts w:cs="Arial"/>
          <w:u w:val="dotDash"/>
        </w:rPr>
        <w:t>CM</w:t>
      </w:r>
      <w:r w:rsidR="00B13A83" w:rsidRPr="00B6647E">
        <w:rPr>
          <w:rFonts w:cs="Arial"/>
          <w:u w:val="dotDash"/>
        </w:rPr>
        <w:t xml:space="preserve"> et </w:t>
      </w:r>
      <w:r w:rsidR="007178D8" w:rsidRPr="00B6647E">
        <w:rPr>
          <w:rFonts w:cs="Arial"/>
          <w:u w:val="dotDash"/>
        </w:rPr>
        <w:t>par saison</w:t>
      </w:r>
      <w:bookmarkEnd w:id="342"/>
    </w:p>
    <w:p w:rsidR="00027BD9" w:rsidRDefault="00DD4A86" w:rsidP="00F0009F">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t xml:space="preserve">Les ménages dirigés par des hommes ont cultivé 327.160 ha correspondant à 80,3% de la superficie totale des </w:t>
      </w:r>
      <w:r w:rsidR="00C81C97" w:rsidRPr="00B6647E">
        <w:rPr>
          <w:rFonts w:ascii="Arial" w:hAnsi="Arial" w:cs="Arial"/>
          <w:sz w:val="20"/>
          <w:szCs w:val="20"/>
          <w:lang w:val="fr-FR" w:eastAsia="fr-FR"/>
        </w:rPr>
        <w:t>cultures</w:t>
      </w:r>
      <w:r w:rsidRPr="00B6647E">
        <w:rPr>
          <w:rFonts w:ascii="Arial" w:hAnsi="Arial" w:cs="Arial"/>
          <w:sz w:val="20"/>
          <w:szCs w:val="20"/>
          <w:lang w:val="fr-FR" w:eastAsia="fr-FR"/>
        </w:rPr>
        <w:t xml:space="preserve"> vivrières en saison A contre 80.116 ha (19,7%) pour les ménages dirigés par des femmes.</w:t>
      </w:r>
    </w:p>
    <w:p w:rsidR="00027BD9" w:rsidRDefault="00DD4A86" w:rsidP="00F0009F">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t>Pendant la saison B, les ménages dirigés par des hommes ont cultivé 352.821 ha (</w:t>
      </w:r>
      <w:r w:rsidR="00C81C97" w:rsidRPr="00B6647E">
        <w:rPr>
          <w:rFonts w:ascii="Arial" w:hAnsi="Arial" w:cs="Arial"/>
          <w:sz w:val="20"/>
          <w:szCs w:val="20"/>
          <w:lang w:val="fr-FR" w:eastAsia="fr-FR"/>
        </w:rPr>
        <w:t xml:space="preserve">81,5% </w:t>
      </w:r>
      <w:r w:rsidRPr="00B6647E">
        <w:rPr>
          <w:rFonts w:ascii="Arial" w:hAnsi="Arial" w:cs="Arial"/>
          <w:sz w:val="20"/>
          <w:szCs w:val="20"/>
          <w:lang w:val="fr-FR" w:eastAsia="fr-FR"/>
        </w:rPr>
        <w:t xml:space="preserve">du total </w:t>
      </w:r>
      <w:r w:rsidR="00C81C97" w:rsidRPr="00B6647E">
        <w:rPr>
          <w:rFonts w:ascii="Arial" w:hAnsi="Arial" w:cs="Arial"/>
          <w:sz w:val="20"/>
          <w:szCs w:val="20"/>
          <w:lang w:val="fr-FR" w:eastAsia="fr-FR"/>
        </w:rPr>
        <w:t>des cultures vivrières</w:t>
      </w:r>
      <w:r w:rsidRPr="00B6647E">
        <w:rPr>
          <w:rFonts w:ascii="Arial" w:hAnsi="Arial" w:cs="Arial"/>
          <w:sz w:val="20"/>
          <w:szCs w:val="20"/>
          <w:lang w:val="fr-FR" w:eastAsia="fr-FR"/>
        </w:rPr>
        <w:t xml:space="preserve"> </w:t>
      </w:r>
      <w:r w:rsidR="00300162" w:rsidRPr="00B6647E">
        <w:rPr>
          <w:rFonts w:ascii="Arial" w:hAnsi="Arial" w:cs="Arial"/>
          <w:sz w:val="20"/>
          <w:szCs w:val="20"/>
          <w:lang w:val="fr-FR" w:eastAsia="fr-FR"/>
        </w:rPr>
        <w:t>contre 80.107 ha (</w:t>
      </w:r>
      <w:r w:rsidR="00C81C97" w:rsidRPr="00B6647E">
        <w:rPr>
          <w:rFonts w:ascii="Arial" w:hAnsi="Arial" w:cs="Arial"/>
          <w:sz w:val="20"/>
          <w:szCs w:val="20"/>
          <w:lang w:val="fr-FR" w:eastAsia="fr-FR"/>
        </w:rPr>
        <w:t>18,5</w:t>
      </w:r>
      <w:r w:rsidR="00300162" w:rsidRPr="00B6647E">
        <w:rPr>
          <w:rFonts w:ascii="Arial" w:hAnsi="Arial" w:cs="Arial"/>
          <w:sz w:val="20"/>
          <w:szCs w:val="20"/>
          <w:lang w:val="fr-FR" w:eastAsia="fr-FR"/>
        </w:rPr>
        <w:t>%) pour les ménages dirigés par des femmes.</w:t>
      </w:r>
    </w:p>
    <w:p w:rsidR="007B4230" w:rsidRPr="00B6647E" w:rsidRDefault="00300162" w:rsidP="00F0009F">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t xml:space="preserve">Au cours de la </w:t>
      </w:r>
      <w:r w:rsidR="00C81C97" w:rsidRPr="00B6647E">
        <w:rPr>
          <w:rFonts w:ascii="Arial" w:hAnsi="Arial" w:cs="Arial"/>
          <w:sz w:val="20"/>
          <w:szCs w:val="20"/>
          <w:lang w:val="fr-FR" w:eastAsia="fr-FR"/>
        </w:rPr>
        <w:t>saison</w:t>
      </w:r>
      <w:r w:rsidRPr="00B6647E">
        <w:rPr>
          <w:rFonts w:ascii="Arial" w:hAnsi="Arial" w:cs="Arial"/>
          <w:sz w:val="20"/>
          <w:szCs w:val="20"/>
          <w:lang w:val="fr-FR" w:eastAsia="fr-FR"/>
        </w:rPr>
        <w:t xml:space="preserve"> C, ces superficies sont de 302.376 ha (</w:t>
      </w:r>
      <w:r w:rsidR="00C81C97" w:rsidRPr="00B6647E">
        <w:rPr>
          <w:rFonts w:ascii="Arial" w:hAnsi="Arial" w:cs="Arial"/>
          <w:sz w:val="20"/>
          <w:szCs w:val="20"/>
          <w:lang w:val="fr-FR" w:eastAsia="fr-FR"/>
        </w:rPr>
        <w:t>81,6</w:t>
      </w:r>
      <w:r w:rsidRPr="00B6647E">
        <w:rPr>
          <w:rFonts w:ascii="Arial" w:hAnsi="Arial" w:cs="Arial"/>
          <w:sz w:val="20"/>
          <w:szCs w:val="20"/>
          <w:lang w:val="fr-FR" w:eastAsia="fr-FR"/>
        </w:rPr>
        <w:t>%) pour les ménages dirigés par des hommes et 68.024 ha (</w:t>
      </w:r>
      <w:r w:rsidR="00C81C97" w:rsidRPr="00B6647E">
        <w:rPr>
          <w:rFonts w:ascii="Arial" w:hAnsi="Arial" w:cs="Arial"/>
          <w:sz w:val="20"/>
          <w:szCs w:val="20"/>
          <w:lang w:val="fr-FR" w:eastAsia="fr-FR"/>
        </w:rPr>
        <w:t>18,4%</w:t>
      </w:r>
      <w:r w:rsidRPr="00B6647E">
        <w:rPr>
          <w:rFonts w:ascii="Arial" w:hAnsi="Arial" w:cs="Arial"/>
          <w:sz w:val="20"/>
          <w:szCs w:val="20"/>
          <w:lang w:val="fr-FR" w:eastAsia="fr-FR"/>
        </w:rPr>
        <w:t>)</w:t>
      </w:r>
      <w:r w:rsidR="00C81C97" w:rsidRPr="00B6647E">
        <w:rPr>
          <w:rFonts w:ascii="Arial" w:hAnsi="Arial" w:cs="Arial"/>
          <w:sz w:val="20"/>
          <w:szCs w:val="20"/>
          <w:lang w:val="fr-FR" w:eastAsia="fr-FR"/>
        </w:rPr>
        <w:t xml:space="preserve"> </w:t>
      </w:r>
      <w:r w:rsidRPr="00B6647E">
        <w:rPr>
          <w:rFonts w:ascii="Arial" w:hAnsi="Arial" w:cs="Arial"/>
          <w:sz w:val="20"/>
          <w:szCs w:val="20"/>
          <w:lang w:val="fr-FR" w:eastAsia="fr-FR"/>
        </w:rPr>
        <w:t>pour les ménages dirigés par des femmes</w:t>
      </w:r>
    </w:p>
    <w:p w:rsidR="00027BD9" w:rsidRDefault="00027BD9">
      <w:pPr>
        <w:rPr>
          <w:rFonts w:ascii="Arial" w:hAnsi="Arial" w:cs="Arial"/>
          <w:b/>
          <w:sz w:val="20"/>
          <w:szCs w:val="20"/>
          <w:lang w:val="fr-FR" w:eastAsia="fr-FR"/>
        </w:rPr>
      </w:pPr>
      <w:r>
        <w:rPr>
          <w:rFonts w:ascii="Arial" w:hAnsi="Arial" w:cs="Arial"/>
          <w:b/>
          <w:sz w:val="20"/>
          <w:szCs w:val="20"/>
          <w:lang w:val="fr-FR" w:eastAsia="fr-FR"/>
        </w:rPr>
        <w:br w:type="page"/>
      </w:r>
    </w:p>
    <w:p w:rsidR="000C714D" w:rsidRPr="00B6647E" w:rsidRDefault="000C714D" w:rsidP="00A774B2">
      <w:pPr>
        <w:rPr>
          <w:rFonts w:ascii="Arial" w:hAnsi="Arial" w:cs="Arial"/>
          <w:b/>
          <w:sz w:val="20"/>
          <w:szCs w:val="20"/>
          <w:lang w:val="fr-FR" w:eastAsia="fr-FR"/>
        </w:rPr>
      </w:pPr>
      <w:r w:rsidRPr="00B6647E">
        <w:rPr>
          <w:rFonts w:ascii="Arial" w:hAnsi="Arial" w:cs="Arial"/>
          <w:b/>
          <w:sz w:val="20"/>
          <w:szCs w:val="20"/>
          <w:lang w:val="fr-FR" w:eastAsia="fr-FR"/>
        </w:rPr>
        <w:lastRenderedPageBreak/>
        <w:t xml:space="preserve">Tableau </w:t>
      </w:r>
      <w:r w:rsidR="007177FA">
        <w:rPr>
          <w:rFonts w:ascii="Arial" w:hAnsi="Arial" w:cs="Arial"/>
          <w:b/>
          <w:sz w:val="20"/>
          <w:szCs w:val="20"/>
          <w:lang w:val="fr-FR" w:eastAsia="fr-FR"/>
        </w:rPr>
        <w:t>249</w:t>
      </w:r>
      <w:r w:rsidRPr="00B6647E">
        <w:rPr>
          <w:rFonts w:ascii="Arial" w:hAnsi="Arial" w:cs="Arial"/>
          <w:b/>
          <w:sz w:val="20"/>
          <w:szCs w:val="20"/>
          <w:lang w:val="fr-FR" w:eastAsia="fr-FR"/>
        </w:rPr>
        <w:t xml:space="preserve"> : Superficies cultivées par les ménages selon le sexe du chef de ménage et la saison </w:t>
      </w:r>
    </w:p>
    <w:p w:rsidR="007B4230" w:rsidRPr="00B6647E" w:rsidRDefault="00DD4A86" w:rsidP="000C714D">
      <w:pPr>
        <w:rPr>
          <w:rFonts w:ascii="Arial" w:hAnsi="Arial" w:cs="Arial"/>
          <w:sz w:val="20"/>
          <w:szCs w:val="20"/>
          <w:lang w:val="fr-FR" w:eastAsia="fr-FR"/>
        </w:rPr>
      </w:pPr>
      <w:r w:rsidRPr="00B6647E">
        <w:rPr>
          <w:noProof/>
          <w:szCs w:val="20"/>
          <w:lang w:val="fr-FR" w:eastAsia="fr-FR"/>
        </w:rPr>
        <w:drawing>
          <wp:inline distT="0" distB="0" distL="0" distR="0">
            <wp:extent cx="5731510" cy="2946535"/>
            <wp:effectExtent l="19050" t="0" r="2540" b="0"/>
            <wp:docPr id="1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7" cstate="print"/>
                    <a:srcRect/>
                    <a:stretch>
                      <a:fillRect/>
                    </a:stretch>
                  </pic:blipFill>
                  <pic:spPr bwMode="auto">
                    <a:xfrm>
                      <a:off x="0" y="0"/>
                      <a:ext cx="5731510" cy="2946535"/>
                    </a:xfrm>
                    <a:prstGeom prst="rect">
                      <a:avLst/>
                    </a:prstGeom>
                    <a:noFill/>
                    <a:ln w="9525">
                      <a:noFill/>
                      <a:miter lim="800000"/>
                      <a:headEnd/>
                      <a:tailEnd/>
                    </a:ln>
                  </pic:spPr>
                </pic:pic>
              </a:graphicData>
            </a:graphic>
          </wp:inline>
        </w:drawing>
      </w:r>
    </w:p>
    <w:p w:rsidR="00D10F32" w:rsidRPr="00B6647E" w:rsidRDefault="00D10F32" w:rsidP="00D10F32">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t>Sur l’ensemble de la campagne agricole, les ménages dirigés par les hommes ont cultivé en moyenne 0,804 ha contre 0,682 ha pour ceux dirigés par des femmes, soit une différence de 0,112 ha correspondant à quatre parcelles de 4 ares chacune. En saison A cette différence est de 0,029 ha, pendant la saison B, elle est estimée à 0,05 ha et elle est de 0,044 ha au cours de la saison C.</w:t>
      </w:r>
    </w:p>
    <w:p w:rsidR="000C714D" w:rsidRPr="00B6647E" w:rsidRDefault="000C714D" w:rsidP="000C714D">
      <w:pPr>
        <w:rPr>
          <w:rFonts w:ascii="Arial" w:hAnsi="Arial" w:cs="Arial"/>
          <w:b/>
          <w:sz w:val="20"/>
          <w:szCs w:val="20"/>
          <w:lang w:val="fr-FR" w:eastAsia="fr-FR"/>
        </w:rPr>
      </w:pPr>
      <w:r w:rsidRPr="00B6647E">
        <w:rPr>
          <w:rFonts w:ascii="Arial" w:hAnsi="Arial" w:cs="Arial"/>
          <w:b/>
          <w:sz w:val="20"/>
          <w:szCs w:val="20"/>
          <w:lang w:val="fr-FR" w:eastAsia="fr-FR"/>
        </w:rPr>
        <w:t xml:space="preserve">Tableau </w:t>
      </w:r>
      <w:r w:rsidR="00705DF7" w:rsidRPr="00B6647E">
        <w:rPr>
          <w:rFonts w:ascii="Arial" w:hAnsi="Arial" w:cs="Arial"/>
          <w:b/>
          <w:sz w:val="20"/>
          <w:szCs w:val="20"/>
          <w:lang w:val="fr-FR" w:eastAsia="fr-FR"/>
        </w:rPr>
        <w:t>2</w:t>
      </w:r>
      <w:r w:rsidR="007177FA">
        <w:rPr>
          <w:rFonts w:ascii="Arial" w:hAnsi="Arial" w:cs="Arial"/>
          <w:b/>
          <w:sz w:val="20"/>
          <w:szCs w:val="20"/>
          <w:lang w:val="fr-FR" w:eastAsia="fr-FR"/>
        </w:rPr>
        <w:t>50</w:t>
      </w:r>
      <w:r w:rsidRPr="00B6647E">
        <w:rPr>
          <w:rFonts w:ascii="Arial" w:hAnsi="Arial" w:cs="Arial"/>
          <w:b/>
          <w:sz w:val="20"/>
          <w:szCs w:val="20"/>
          <w:lang w:val="fr-FR" w:eastAsia="fr-FR"/>
        </w:rPr>
        <w:t> : Superficies moyenne</w:t>
      </w:r>
      <w:r w:rsidR="007049B3">
        <w:rPr>
          <w:rFonts w:ascii="Arial" w:hAnsi="Arial" w:cs="Arial"/>
          <w:b/>
          <w:sz w:val="20"/>
          <w:szCs w:val="20"/>
          <w:lang w:val="fr-FR" w:eastAsia="fr-FR"/>
        </w:rPr>
        <w:t>s</w:t>
      </w:r>
      <w:r w:rsidRPr="00B6647E">
        <w:rPr>
          <w:rFonts w:ascii="Arial" w:hAnsi="Arial" w:cs="Arial"/>
          <w:b/>
          <w:sz w:val="20"/>
          <w:szCs w:val="20"/>
          <w:lang w:val="fr-FR" w:eastAsia="fr-FR"/>
        </w:rPr>
        <w:t xml:space="preserve"> </w:t>
      </w:r>
      <w:r w:rsidR="00302B14" w:rsidRPr="00B6647E">
        <w:rPr>
          <w:rFonts w:ascii="Arial" w:hAnsi="Arial" w:cs="Arial"/>
          <w:b/>
          <w:sz w:val="20"/>
          <w:szCs w:val="20"/>
          <w:lang w:val="fr-FR" w:eastAsia="fr-FR"/>
        </w:rPr>
        <w:t xml:space="preserve">par </w:t>
      </w:r>
      <w:r w:rsidRPr="00B6647E">
        <w:rPr>
          <w:rFonts w:ascii="Arial" w:hAnsi="Arial" w:cs="Arial"/>
          <w:b/>
          <w:sz w:val="20"/>
          <w:szCs w:val="20"/>
          <w:lang w:val="fr-FR" w:eastAsia="fr-FR"/>
        </w:rPr>
        <w:t xml:space="preserve">ménage selon le sexe du chef ménage et la saison </w:t>
      </w:r>
    </w:p>
    <w:p w:rsidR="00A774B2" w:rsidRPr="00B6647E" w:rsidRDefault="000C1F8B" w:rsidP="00A774B2">
      <w:pPr>
        <w:rPr>
          <w:lang w:val="fr-FR" w:eastAsia="fr-FR"/>
        </w:rPr>
      </w:pPr>
      <w:r w:rsidRPr="00B6647E">
        <w:rPr>
          <w:noProof/>
          <w:lang w:val="fr-FR" w:eastAsia="fr-FR"/>
        </w:rPr>
        <w:drawing>
          <wp:inline distT="0" distB="0" distL="0" distR="0">
            <wp:extent cx="5731510" cy="2613741"/>
            <wp:effectExtent l="19050" t="0" r="2540" b="0"/>
            <wp:docPr id="17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8" cstate="print"/>
                    <a:srcRect/>
                    <a:stretch>
                      <a:fillRect/>
                    </a:stretch>
                  </pic:blipFill>
                  <pic:spPr bwMode="auto">
                    <a:xfrm>
                      <a:off x="0" y="0"/>
                      <a:ext cx="5731510" cy="2613741"/>
                    </a:xfrm>
                    <a:prstGeom prst="rect">
                      <a:avLst/>
                    </a:prstGeom>
                    <a:noFill/>
                    <a:ln w="9525">
                      <a:noFill/>
                      <a:miter lim="800000"/>
                      <a:headEnd/>
                      <a:tailEnd/>
                    </a:ln>
                  </pic:spPr>
                </pic:pic>
              </a:graphicData>
            </a:graphic>
          </wp:inline>
        </w:drawing>
      </w:r>
    </w:p>
    <w:p w:rsidR="00D10F32" w:rsidRPr="00B6647E" w:rsidRDefault="00D10F32" w:rsidP="003514C6">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t>En saison A, les superficies moyenne cultivées par ménage sont de 0,268 ha pour les ménages dirigés par des hommes contre 0,239 ha pour ceux dirigés par des femmes. Au cours de la saison B, ces moyennes sont estimées à 0,289 ha pour les ménages dirigés par des hommes contre 0,239 ha pour ceux dirigés par des femmes. Pendant la saison C, une moyenne de 0,248 ha pour les ménages dirigés par des hommes et 0,203 ha pour ceux dirigés par des femmes.</w:t>
      </w:r>
    </w:p>
    <w:p w:rsidR="0046535D" w:rsidRPr="00B6647E" w:rsidRDefault="003514C6" w:rsidP="003514C6">
      <w:pPr>
        <w:spacing w:line="240" w:lineRule="auto"/>
        <w:rPr>
          <w:rFonts w:ascii="Arial" w:hAnsi="Arial" w:cs="Arial"/>
          <w:sz w:val="20"/>
          <w:szCs w:val="20"/>
          <w:lang w:val="fr-FR" w:eastAsia="fr-FR"/>
        </w:rPr>
      </w:pPr>
      <w:r w:rsidRPr="00B6647E">
        <w:rPr>
          <w:rFonts w:ascii="Arial" w:hAnsi="Arial" w:cs="Arial"/>
          <w:sz w:val="20"/>
          <w:szCs w:val="20"/>
          <w:lang w:val="fr-FR" w:eastAsia="fr-FR"/>
        </w:rPr>
        <w:t>Les ménages dirigés par des hommes ont cultivés 177.893 ha de céréales contre 44.731 ha pour ceux dirigés par des femmes.</w:t>
      </w:r>
    </w:p>
    <w:p w:rsidR="00B452ED" w:rsidRPr="00B6647E" w:rsidRDefault="00B452ED" w:rsidP="00B452ED">
      <w:pPr>
        <w:rPr>
          <w:lang w:val="fr-FR" w:eastAsia="fr-FR"/>
        </w:rPr>
      </w:pPr>
      <w:r w:rsidRPr="00B6647E">
        <w:rPr>
          <w:rFonts w:ascii="Arial" w:hAnsi="Arial" w:cs="Arial"/>
          <w:b/>
          <w:sz w:val="20"/>
          <w:szCs w:val="20"/>
          <w:lang w:val="fr-FR" w:eastAsia="fr-FR"/>
        </w:rPr>
        <w:lastRenderedPageBreak/>
        <w:t xml:space="preserve">Tableau </w:t>
      </w:r>
      <w:r w:rsidR="00705DF7" w:rsidRPr="00B6647E">
        <w:rPr>
          <w:rFonts w:ascii="Arial" w:hAnsi="Arial" w:cs="Arial"/>
          <w:b/>
          <w:sz w:val="20"/>
          <w:szCs w:val="20"/>
          <w:lang w:val="fr-FR" w:eastAsia="fr-FR"/>
        </w:rPr>
        <w:t>2</w:t>
      </w:r>
      <w:r w:rsidR="007177FA">
        <w:rPr>
          <w:rFonts w:ascii="Arial" w:hAnsi="Arial" w:cs="Arial"/>
          <w:b/>
          <w:sz w:val="20"/>
          <w:szCs w:val="20"/>
          <w:lang w:val="fr-FR" w:eastAsia="fr-FR"/>
        </w:rPr>
        <w:t>51</w:t>
      </w:r>
      <w:r w:rsidRPr="00B6647E">
        <w:rPr>
          <w:rFonts w:ascii="Arial" w:hAnsi="Arial" w:cs="Arial"/>
          <w:b/>
          <w:sz w:val="20"/>
          <w:szCs w:val="20"/>
          <w:lang w:val="fr-FR" w:eastAsia="fr-FR"/>
        </w:rPr>
        <w:t> : Superficies totale</w:t>
      </w:r>
      <w:r w:rsidR="007049B3">
        <w:rPr>
          <w:rFonts w:ascii="Arial" w:hAnsi="Arial" w:cs="Arial"/>
          <w:b/>
          <w:sz w:val="20"/>
          <w:szCs w:val="20"/>
          <w:lang w:val="fr-FR" w:eastAsia="fr-FR"/>
        </w:rPr>
        <w:t>s</w:t>
      </w:r>
      <w:r w:rsidRPr="00B6647E">
        <w:rPr>
          <w:rFonts w:ascii="Arial" w:hAnsi="Arial" w:cs="Arial"/>
          <w:b/>
          <w:sz w:val="20"/>
          <w:szCs w:val="20"/>
          <w:lang w:val="fr-FR" w:eastAsia="fr-FR"/>
        </w:rPr>
        <w:t xml:space="preserve"> cultivées par groupe de cultures des ménages dirigés par des hommes</w:t>
      </w:r>
      <w:r w:rsidR="007B4230" w:rsidRPr="00B6647E">
        <w:rPr>
          <w:noProof/>
          <w:lang w:val="fr-FR" w:eastAsia="fr-FR"/>
        </w:rPr>
        <w:drawing>
          <wp:inline distT="0" distB="0" distL="0" distR="0">
            <wp:extent cx="5731510" cy="3016584"/>
            <wp:effectExtent l="19050" t="0" r="2540" b="0"/>
            <wp:docPr id="24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9" cstate="print"/>
                    <a:srcRect/>
                    <a:stretch>
                      <a:fillRect/>
                    </a:stretch>
                  </pic:blipFill>
                  <pic:spPr bwMode="auto">
                    <a:xfrm>
                      <a:off x="0" y="0"/>
                      <a:ext cx="5731510" cy="3016584"/>
                    </a:xfrm>
                    <a:prstGeom prst="rect">
                      <a:avLst/>
                    </a:prstGeom>
                    <a:noFill/>
                    <a:ln w="9525">
                      <a:noFill/>
                      <a:miter lim="800000"/>
                      <a:headEnd/>
                      <a:tailEnd/>
                    </a:ln>
                  </pic:spPr>
                </pic:pic>
              </a:graphicData>
            </a:graphic>
          </wp:inline>
        </w:drawing>
      </w:r>
    </w:p>
    <w:p w:rsidR="003514C6" w:rsidRPr="00B6647E" w:rsidRDefault="003514C6" w:rsidP="003514C6">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t>Pour le haricot, ces superficies sont de 272.308 ha pour les ménages avec un chef masculin et 68.444 ha pour ceux avec un chef féminin.</w:t>
      </w:r>
    </w:p>
    <w:p w:rsidR="00B452ED" w:rsidRPr="00B6647E" w:rsidRDefault="00B452ED" w:rsidP="00B452ED">
      <w:pPr>
        <w:rPr>
          <w:rFonts w:ascii="Arial" w:hAnsi="Arial" w:cs="Arial"/>
          <w:b/>
          <w:sz w:val="20"/>
          <w:szCs w:val="20"/>
          <w:lang w:val="fr-FR" w:eastAsia="fr-FR"/>
        </w:rPr>
      </w:pPr>
      <w:r w:rsidRPr="00B6647E">
        <w:rPr>
          <w:rFonts w:ascii="Arial" w:hAnsi="Arial" w:cs="Arial"/>
          <w:b/>
          <w:sz w:val="20"/>
          <w:szCs w:val="20"/>
          <w:lang w:val="fr-FR" w:eastAsia="fr-FR"/>
        </w:rPr>
        <w:t xml:space="preserve">Tableau </w:t>
      </w:r>
      <w:r w:rsidR="00705DF7" w:rsidRPr="00B6647E">
        <w:rPr>
          <w:rFonts w:ascii="Arial" w:hAnsi="Arial" w:cs="Arial"/>
          <w:b/>
          <w:sz w:val="20"/>
          <w:szCs w:val="20"/>
          <w:lang w:val="fr-FR" w:eastAsia="fr-FR"/>
        </w:rPr>
        <w:t>2</w:t>
      </w:r>
      <w:r w:rsidR="007177FA">
        <w:rPr>
          <w:rFonts w:ascii="Arial" w:hAnsi="Arial" w:cs="Arial"/>
          <w:b/>
          <w:sz w:val="20"/>
          <w:szCs w:val="20"/>
          <w:lang w:val="fr-FR" w:eastAsia="fr-FR"/>
        </w:rPr>
        <w:t>52</w:t>
      </w:r>
      <w:r w:rsidRPr="00B6647E">
        <w:rPr>
          <w:rFonts w:ascii="Arial" w:hAnsi="Arial" w:cs="Arial"/>
          <w:b/>
          <w:sz w:val="20"/>
          <w:szCs w:val="20"/>
          <w:lang w:val="fr-FR" w:eastAsia="fr-FR"/>
        </w:rPr>
        <w:t> : Superficies totale</w:t>
      </w:r>
      <w:r w:rsidR="007049B3">
        <w:rPr>
          <w:rFonts w:ascii="Arial" w:hAnsi="Arial" w:cs="Arial"/>
          <w:b/>
          <w:sz w:val="20"/>
          <w:szCs w:val="20"/>
          <w:lang w:val="fr-FR" w:eastAsia="fr-FR"/>
        </w:rPr>
        <w:t>s</w:t>
      </w:r>
      <w:r w:rsidRPr="00B6647E">
        <w:rPr>
          <w:rFonts w:ascii="Arial" w:hAnsi="Arial" w:cs="Arial"/>
          <w:b/>
          <w:sz w:val="20"/>
          <w:szCs w:val="20"/>
          <w:lang w:val="fr-FR" w:eastAsia="fr-FR"/>
        </w:rPr>
        <w:t xml:space="preserve"> cultivées par groupe de cultures des ménages dirigés par des femmes</w:t>
      </w:r>
    </w:p>
    <w:p w:rsidR="00B452ED" w:rsidRPr="00B6647E" w:rsidRDefault="0043256D" w:rsidP="00DE2844">
      <w:pPr>
        <w:spacing w:line="240" w:lineRule="auto"/>
        <w:jc w:val="both"/>
        <w:rPr>
          <w:rFonts w:ascii="Arial" w:hAnsi="Arial" w:cs="Arial"/>
          <w:sz w:val="20"/>
          <w:szCs w:val="20"/>
          <w:lang w:val="fr-FR" w:eastAsia="fr-FR"/>
        </w:rPr>
      </w:pPr>
      <w:r w:rsidRPr="00B6647E">
        <w:rPr>
          <w:rFonts w:ascii="Arial" w:hAnsi="Arial" w:cs="Arial"/>
          <w:noProof/>
          <w:sz w:val="20"/>
          <w:szCs w:val="20"/>
          <w:lang w:val="fr-FR" w:eastAsia="fr-FR"/>
        </w:rPr>
        <w:drawing>
          <wp:inline distT="0" distB="0" distL="0" distR="0">
            <wp:extent cx="5731510" cy="3008646"/>
            <wp:effectExtent l="19050" t="0" r="2540" b="0"/>
            <wp:docPr id="19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0" cstate="print"/>
                    <a:srcRect/>
                    <a:stretch>
                      <a:fillRect/>
                    </a:stretch>
                  </pic:blipFill>
                  <pic:spPr bwMode="auto">
                    <a:xfrm>
                      <a:off x="0" y="0"/>
                      <a:ext cx="5731510" cy="3008646"/>
                    </a:xfrm>
                    <a:prstGeom prst="rect">
                      <a:avLst/>
                    </a:prstGeom>
                    <a:noFill/>
                    <a:ln w="9525">
                      <a:noFill/>
                      <a:miter lim="800000"/>
                      <a:headEnd/>
                      <a:tailEnd/>
                    </a:ln>
                  </pic:spPr>
                </pic:pic>
              </a:graphicData>
            </a:graphic>
          </wp:inline>
        </w:drawing>
      </w:r>
    </w:p>
    <w:p w:rsidR="003514C6" w:rsidRPr="00B6647E" w:rsidRDefault="003514C6" w:rsidP="00DE2844">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t xml:space="preserve">Les superficies de banane sont estimées à 16.705 ha pour les ménages avec un chef masculin et 31.331 ha pour ceux dirigés par une femme. Pour le manioc, les superficies cultivées sont évaluées à </w:t>
      </w:r>
      <w:r w:rsidR="00DE2844" w:rsidRPr="00B6647E">
        <w:rPr>
          <w:rFonts w:ascii="Arial" w:hAnsi="Arial" w:cs="Arial"/>
          <w:sz w:val="20"/>
          <w:szCs w:val="20"/>
          <w:lang w:val="fr-FR" w:eastAsia="fr-FR"/>
        </w:rPr>
        <w:t>254.837 ha pour les ménages dirigés par des hommes contre 40.849 ha cultivés par les ménages dirigés par des femmes.</w:t>
      </w:r>
    </w:p>
    <w:p w:rsidR="00027BD9" w:rsidRDefault="00027BD9">
      <w:pPr>
        <w:rPr>
          <w:rFonts w:ascii="Arial" w:eastAsia="Times New Roman" w:hAnsi="Arial" w:cs="Arial"/>
          <w:b/>
          <w:smallCaps/>
          <w:u w:val="dotDash"/>
          <w:lang w:val="fr-FR" w:eastAsia="fr-FR"/>
        </w:rPr>
      </w:pPr>
      <w:r>
        <w:rPr>
          <w:rFonts w:cs="Arial"/>
          <w:u w:val="dotDash"/>
        </w:rPr>
        <w:br w:type="page"/>
      </w:r>
    </w:p>
    <w:p w:rsidR="00751C62" w:rsidRPr="00B6647E" w:rsidRDefault="00751C62" w:rsidP="00521000">
      <w:pPr>
        <w:pStyle w:val="Titre2"/>
        <w:keepNext w:val="0"/>
        <w:numPr>
          <w:ilvl w:val="1"/>
          <w:numId w:val="1"/>
        </w:numPr>
        <w:spacing w:before="240" w:after="200"/>
        <w:ind w:left="0" w:firstLine="0"/>
        <w:rPr>
          <w:rFonts w:cs="Arial"/>
          <w:u w:val="dotDash"/>
        </w:rPr>
      </w:pPr>
      <w:bookmarkStart w:id="343" w:name="_Toc354313926"/>
      <w:r w:rsidRPr="00B6647E">
        <w:rPr>
          <w:rFonts w:cs="Arial"/>
          <w:u w:val="dotDash"/>
        </w:rPr>
        <w:lastRenderedPageBreak/>
        <w:t xml:space="preserve">Productions </w:t>
      </w:r>
      <w:r w:rsidR="00C06398" w:rsidRPr="00B6647E">
        <w:rPr>
          <w:rFonts w:cs="Arial"/>
          <w:u w:val="dotDash"/>
        </w:rPr>
        <w:t>des ménages selon le</w:t>
      </w:r>
      <w:r w:rsidRPr="00B6647E">
        <w:rPr>
          <w:rFonts w:cs="Arial"/>
          <w:u w:val="dotDash"/>
        </w:rPr>
        <w:t xml:space="preserve"> sexe du </w:t>
      </w:r>
      <w:r w:rsidR="007178D8" w:rsidRPr="00B6647E">
        <w:rPr>
          <w:rFonts w:cs="Arial"/>
          <w:u w:val="dotDash"/>
        </w:rPr>
        <w:t>CM et par saison</w:t>
      </w:r>
      <w:bookmarkEnd w:id="343"/>
    </w:p>
    <w:p w:rsidR="00AA47EA" w:rsidRPr="00B6647E" w:rsidRDefault="00C06398" w:rsidP="00C06398">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t xml:space="preserve">Le volume total de la campagne agricole 2011-2012 en équivalent tonnes céréale (ETC) produit par </w:t>
      </w:r>
      <w:r w:rsidR="00592317" w:rsidRPr="00B6647E">
        <w:rPr>
          <w:rFonts w:ascii="Arial" w:hAnsi="Arial" w:cs="Arial"/>
          <w:sz w:val="20"/>
          <w:szCs w:val="20"/>
          <w:lang w:val="fr-FR" w:eastAsia="fr-FR"/>
        </w:rPr>
        <w:t>l</w:t>
      </w:r>
      <w:r w:rsidRPr="00B6647E">
        <w:rPr>
          <w:rFonts w:ascii="Arial" w:hAnsi="Arial" w:cs="Arial"/>
          <w:sz w:val="20"/>
          <w:szCs w:val="20"/>
          <w:lang w:val="fr-FR" w:eastAsia="fr-FR"/>
        </w:rPr>
        <w:t>es ménages dirigés par des hommes a été estimée à 1.148.713 ETC correspondant à une moyenne par ménage de 940 équivalent kg céréale (EKC)</w:t>
      </w:r>
      <w:r w:rsidR="008039BD" w:rsidRPr="00B6647E">
        <w:rPr>
          <w:rFonts w:ascii="Arial" w:hAnsi="Arial" w:cs="Arial"/>
          <w:sz w:val="20"/>
          <w:szCs w:val="20"/>
          <w:lang w:val="fr-FR" w:eastAsia="fr-FR"/>
        </w:rPr>
        <w:t xml:space="preserve"> (220 EKC en saison A, 495 EKC en saison B et 225 EKC pendant la saison C)</w:t>
      </w:r>
      <w:r w:rsidRPr="00B6647E">
        <w:rPr>
          <w:rFonts w:ascii="Arial" w:hAnsi="Arial" w:cs="Arial"/>
          <w:sz w:val="20"/>
          <w:szCs w:val="20"/>
          <w:lang w:val="fr-FR" w:eastAsia="fr-FR"/>
        </w:rPr>
        <w:t xml:space="preserve">. </w:t>
      </w:r>
    </w:p>
    <w:p w:rsidR="00A774B2" w:rsidRPr="00B6647E" w:rsidRDefault="00C06398" w:rsidP="00C06398">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t xml:space="preserve">Cette production totale </w:t>
      </w:r>
      <w:r w:rsidR="008039BD" w:rsidRPr="00B6647E">
        <w:rPr>
          <w:rFonts w:ascii="Arial" w:hAnsi="Arial" w:cs="Arial"/>
          <w:sz w:val="20"/>
          <w:szCs w:val="20"/>
          <w:lang w:val="fr-FR" w:eastAsia="fr-FR"/>
        </w:rPr>
        <w:t xml:space="preserve">qui correspond à 81,3% de la production cumulée des trois saisons </w:t>
      </w:r>
      <w:r w:rsidRPr="00B6647E">
        <w:rPr>
          <w:rFonts w:ascii="Arial" w:hAnsi="Arial" w:cs="Arial"/>
          <w:sz w:val="20"/>
          <w:szCs w:val="20"/>
          <w:lang w:val="fr-FR" w:eastAsia="fr-FR"/>
        </w:rPr>
        <w:t>est composé</w:t>
      </w:r>
      <w:r w:rsidR="008039BD" w:rsidRPr="00B6647E">
        <w:rPr>
          <w:rFonts w:ascii="Arial" w:hAnsi="Arial" w:cs="Arial"/>
          <w:sz w:val="20"/>
          <w:szCs w:val="20"/>
          <w:lang w:val="fr-FR" w:eastAsia="fr-FR"/>
        </w:rPr>
        <w:t>e</w:t>
      </w:r>
      <w:r w:rsidRPr="00B6647E">
        <w:rPr>
          <w:rFonts w:ascii="Arial" w:hAnsi="Arial" w:cs="Arial"/>
          <w:sz w:val="20"/>
          <w:szCs w:val="20"/>
          <w:lang w:val="fr-FR" w:eastAsia="fr-FR"/>
        </w:rPr>
        <w:t xml:space="preserve"> de 268.286 ETC </w:t>
      </w:r>
      <w:r w:rsidR="008039BD" w:rsidRPr="00B6647E">
        <w:rPr>
          <w:rFonts w:ascii="Arial" w:hAnsi="Arial" w:cs="Arial"/>
          <w:sz w:val="20"/>
          <w:szCs w:val="20"/>
          <w:lang w:val="fr-FR" w:eastAsia="fr-FR"/>
        </w:rPr>
        <w:t xml:space="preserve">(23,4% de la production totale des trois saisons) </w:t>
      </w:r>
      <w:r w:rsidRPr="00B6647E">
        <w:rPr>
          <w:rFonts w:ascii="Arial" w:hAnsi="Arial" w:cs="Arial"/>
          <w:sz w:val="20"/>
          <w:szCs w:val="20"/>
          <w:lang w:val="fr-FR" w:eastAsia="fr-FR"/>
        </w:rPr>
        <w:t xml:space="preserve">de la saison A, 605.187 ETC </w:t>
      </w:r>
      <w:r w:rsidR="008039BD" w:rsidRPr="00B6647E">
        <w:rPr>
          <w:rFonts w:ascii="Arial" w:hAnsi="Arial" w:cs="Arial"/>
          <w:sz w:val="20"/>
          <w:szCs w:val="20"/>
          <w:lang w:val="fr-FR" w:eastAsia="fr-FR"/>
        </w:rPr>
        <w:t xml:space="preserve">(52,7%) </w:t>
      </w:r>
      <w:r w:rsidRPr="00B6647E">
        <w:rPr>
          <w:rFonts w:ascii="Arial" w:hAnsi="Arial" w:cs="Arial"/>
          <w:sz w:val="20"/>
          <w:szCs w:val="20"/>
          <w:lang w:val="fr-FR" w:eastAsia="fr-FR"/>
        </w:rPr>
        <w:t xml:space="preserve">en saison B et 275.241 </w:t>
      </w:r>
      <w:r w:rsidR="008039BD" w:rsidRPr="00B6647E">
        <w:rPr>
          <w:rFonts w:ascii="Arial" w:hAnsi="Arial" w:cs="Arial"/>
          <w:sz w:val="20"/>
          <w:szCs w:val="20"/>
          <w:lang w:val="fr-FR" w:eastAsia="fr-FR"/>
        </w:rPr>
        <w:t xml:space="preserve">(23,9%) </w:t>
      </w:r>
      <w:r w:rsidRPr="00B6647E">
        <w:rPr>
          <w:rFonts w:ascii="Arial" w:hAnsi="Arial" w:cs="Arial"/>
          <w:sz w:val="20"/>
          <w:szCs w:val="20"/>
          <w:lang w:val="fr-FR" w:eastAsia="fr-FR"/>
        </w:rPr>
        <w:t>au cours de la saison C.</w:t>
      </w:r>
    </w:p>
    <w:p w:rsidR="009419FD" w:rsidRPr="00B6647E" w:rsidRDefault="009419FD" w:rsidP="00C06398">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t xml:space="preserve">Les ménages dirigés par des hommes de Cankuzo (1.411 EKC), Karuzi (1.311 EKC), Kirundo (1.185 EKC), Cibitoke (1.094 EKC), et Ruyigi (1.086 EKC) et Bujumbura rural (1.042 EKC) ont produit en moyenne plus d’un tonne équivalent céréale sur l’ensemble de la campagne agricole. </w:t>
      </w:r>
    </w:p>
    <w:p w:rsidR="009E589E" w:rsidRPr="00B6647E" w:rsidRDefault="009E589E" w:rsidP="00705DF7">
      <w:pPr>
        <w:rPr>
          <w:rFonts w:ascii="Arial" w:hAnsi="Arial" w:cs="Arial"/>
          <w:b/>
          <w:sz w:val="20"/>
          <w:szCs w:val="20"/>
          <w:lang w:val="fr-FR" w:eastAsia="fr-FR"/>
        </w:rPr>
      </w:pPr>
      <w:r w:rsidRPr="00B6647E">
        <w:rPr>
          <w:rFonts w:ascii="Arial" w:hAnsi="Arial" w:cs="Arial"/>
          <w:b/>
          <w:sz w:val="20"/>
          <w:szCs w:val="20"/>
          <w:lang w:val="fr-FR" w:eastAsia="fr-FR"/>
        </w:rPr>
        <w:t xml:space="preserve">Tableau </w:t>
      </w:r>
      <w:r w:rsidR="007177FA">
        <w:rPr>
          <w:rFonts w:ascii="Arial" w:hAnsi="Arial" w:cs="Arial"/>
          <w:b/>
          <w:sz w:val="20"/>
          <w:szCs w:val="20"/>
          <w:lang w:val="fr-FR" w:eastAsia="fr-FR"/>
        </w:rPr>
        <w:t>253</w:t>
      </w:r>
      <w:r w:rsidRPr="00B6647E">
        <w:rPr>
          <w:rFonts w:ascii="Arial" w:hAnsi="Arial" w:cs="Arial"/>
          <w:b/>
          <w:sz w:val="20"/>
          <w:szCs w:val="20"/>
          <w:lang w:val="fr-FR" w:eastAsia="fr-FR"/>
        </w:rPr>
        <w:t xml:space="preserve"> : Production totale des ménages dirigés par des hommes </w:t>
      </w:r>
    </w:p>
    <w:p w:rsidR="009E589E" w:rsidRPr="00B6647E" w:rsidRDefault="003A3B22" w:rsidP="00680E4B">
      <w:pPr>
        <w:spacing w:line="240" w:lineRule="auto"/>
        <w:jc w:val="both"/>
        <w:rPr>
          <w:rFonts w:ascii="Arial" w:hAnsi="Arial" w:cs="Arial"/>
          <w:sz w:val="20"/>
          <w:szCs w:val="20"/>
          <w:lang w:val="fr-FR" w:eastAsia="fr-FR"/>
        </w:rPr>
      </w:pPr>
      <w:r w:rsidRPr="00B6647E">
        <w:rPr>
          <w:rFonts w:ascii="Arial" w:hAnsi="Arial" w:cs="Arial"/>
          <w:noProof/>
          <w:sz w:val="20"/>
          <w:szCs w:val="20"/>
          <w:lang w:val="fr-FR" w:eastAsia="fr-FR"/>
        </w:rPr>
        <w:drawing>
          <wp:inline distT="0" distB="0" distL="0" distR="0">
            <wp:extent cx="5731510" cy="3091439"/>
            <wp:effectExtent l="19050" t="0" r="2540" b="0"/>
            <wp:docPr id="18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1" cstate="print"/>
                    <a:srcRect/>
                    <a:stretch>
                      <a:fillRect/>
                    </a:stretch>
                  </pic:blipFill>
                  <pic:spPr bwMode="auto">
                    <a:xfrm>
                      <a:off x="0" y="0"/>
                      <a:ext cx="5731510" cy="3091439"/>
                    </a:xfrm>
                    <a:prstGeom prst="rect">
                      <a:avLst/>
                    </a:prstGeom>
                    <a:noFill/>
                    <a:ln w="9525">
                      <a:noFill/>
                      <a:miter lim="800000"/>
                      <a:headEnd/>
                      <a:tailEnd/>
                    </a:ln>
                  </pic:spPr>
                </pic:pic>
              </a:graphicData>
            </a:graphic>
          </wp:inline>
        </w:drawing>
      </w:r>
    </w:p>
    <w:p w:rsidR="00AA47EA" w:rsidRPr="00B6647E" w:rsidRDefault="00680E4B" w:rsidP="00680E4B">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t xml:space="preserve">Les ménages dirigés par des femmes ont produit 264.430 ETC, soit 18,7% de la production totale de la campagne agricole 2011-2012 et une moyenne de 790 EKC composés de 200 EKC en saison A, 408 EKC pendant la saison B et 182 EKC en saison C. </w:t>
      </w:r>
    </w:p>
    <w:p w:rsidR="008039BD" w:rsidRPr="00B6647E" w:rsidRDefault="00680E4B" w:rsidP="00680E4B">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t xml:space="preserve">Au cours de la saison A, ces ménages ont produit 66.862 ETC, soit 25,3% de la production totale des ménages dirigés par des femmes. En saison B, ils ont produit 136.697 ETC (51,7%) et </w:t>
      </w:r>
      <w:r w:rsidR="009419FD" w:rsidRPr="00B6647E">
        <w:rPr>
          <w:rFonts w:ascii="Arial" w:hAnsi="Arial" w:cs="Arial"/>
          <w:sz w:val="20"/>
          <w:szCs w:val="20"/>
          <w:lang w:val="fr-FR" w:eastAsia="fr-FR"/>
        </w:rPr>
        <w:t>pendant la saison C leur production a été estimée à 60.871 ETC (23%).</w:t>
      </w:r>
    </w:p>
    <w:p w:rsidR="009419FD" w:rsidRPr="00B6647E" w:rsidRDefault="009419FD" w:rsidP="00AA47EA">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t>Les moyennes les plus élevées produites sur l’ensemble de la campagne agricole 2011-2012 par les ménages dirigés par des femmes ont été estimées dans les provinces de Cankuzo (1.4</w:t>
      </w:r>
      <w:r w:rsidR="00AA47EA" w:rsidRPr="00B6647E">
        <w:rPr>
          <w:rFonts w:ascii="Arial" w:hAnsi="Arial" w:cs="Arial"/>
          <w:sz w:val="20"/>
          <w:szCs w:val="20"/>
          <w:lang w:val="fr-FR" w:eastAsia="fr-FR"/>
        </w:rPr>
        <w:t>91</w:t>
      </w:r>
      <w:r w:rsidRPr="00B6647E">
        <w:rPr>
          <w:rFonts w:ascii="Arial" w:hAnsi="Arial" w:cs="Arial"/>
          <w:sz w:val="20"/>
          <w:szCs w:val="20"/>
          <w:lang w:val="fr-FR" w:eastAsia="fr-FR"/>
        </w:rPr>
        <w:t xml:space="preserve"> EKC), Karuzi (1.</w:t>
      </w:r>
      <w:r w:rsidR="00AA47EA" w:rsidRPr="00B6647E">
        <w:rPr>
          <w:rFonts w:ascii="Arial" w:hAnsi="Arial" w:cs="Arial"/>
          <w:sz w:val="20"/>
          <w:szCs w:val="20"/>
          <w:lang w:val="fr-FR" w:eastAsia="fr-FR"/>
        </w:rPr>
        <w:t>405</w:t>
      </w:r>
      <w:r w:rsidRPr="00B6647E">
        <w:rPr>
          <w:rFonts w:ascii="Arial" w:hAnsi="Arial" w:cs="Arial"/>
          <w:sz w:val="20"/>
          <w:szCs w:val="20"/>
          <w:lang w:val="fr-FR" w:eastAsia="fr-FR"/>
        </w:rPr>
        <w:t xml:space="preserve"> EKC)</w:t>
      </w:r>
      <w:r w:rsidR="00AA47EA" w:rsidRPr="00B6647E">
        <w:rPr>
          <w:rFonts w:ascii="Arial" w:hAnsi="Arial" w:cs="Arial"/>
          <w:sz w:val="20"/>
          <w:szCs w:val="20"/>
          <w:lang w:val="fr-FR" w:eastAsia="fr-FR"/>
        </w:rPr>
        <w:t>.</w:t>
      </w:r>
    </w:p>
    <w:p w:rsidR="00680E4B" w:rsidRPr="00B6647E" w:rsidRDefault="00AA47EA" w:rsidP="00AA47EA">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t>Globalement chaque ménage dirigé par un homme a produit en moyenne 150 EKC de plus qu’un ménage dirigé par une femme. Cette différence est composée 20 EKC en saison A, 87 EKC pendant la saison B et 43 EKC au cours de la saison C.</w:t>
      </w:r>
    </w:p>
    <w:p w:rsidR="00680E4B" w:rsidRPr="00B6647E" w:rsidRDefault="00680E4B" w:rsidP="00680E4B">
      <w:pPr>
        <w:spacing w:line="240" w:lineRule="auto"/>
        <w:jc w:val="both"/>
        <w:rPr>
          <w:lang w:val="fr-FR" w:eastAsia="fr-FR"/>
        </w:rPr>
      </w:pPr>
    </w:p>
    <w:p w:rsidR="00B2557C" w:rsidRDefault="00B2557C">
      <w:pPr>
        <w:rPr>
          <w:rFonts w:ascii="Arial" w:hAnsi="Arial" w:cs="Arial"/>
          <w:b/>
          <w:sz w:val="20"/>
          <w:szCs w:val="20"/>
          <w:lang w:val="fr-FR" w:eastAsia="fr-FR"/>
        </w:rPr>
      </w:pPr>
      <w:r>
        <w:rPr>
          <w:rFonts w:ascii="Arial" w:hAnsi="Arial" w:cs="Arial"/>
          <w:b/>
          <w:sz w:val="20"/>
          <w:szCs w:val="20"/>
          <w:lang w:val="fr-FR" w:eastAsia="fr-FR"/>
        </w:rPr>
        <w:br w:type="page"/>
      </w:r>
    </w:p>
    <w:p w:rsidR="009E589E" w:rsidRPr="00B6647E" w:rsidRDefault="009E589E" w:rsidP="009E589E">
      <w:pPr>
        <w:rPr>
          <w:rFonts w:ascii="Arial" w:hAnsi="Arial" w:cs="Arial"/>
          <w:b/>
          <w:sz w:val="20"/>
          <w:szCs w:val="20"/>
          <w:lang w:val="fr-FR" w:eastAsia="fr-FR"/>
        </w:rPr>
      </w:pPr>
      <w:r w:rsidRPr="00B6647E">
        <w:rPr>
          <w:rFonts w:ascii="Arial" w:hAnsi="Arial" w:cs="Arial"/>
          <w:b/>
          <w:sz w:val="20"/>
          <w:szCs w:val="20"/>
          <w:lang w:val="fr-FR" w:eastAsia="fr-FR"/>
        </w:rPr>
        <w:lastRenderedPageBreak/>
        <w:t xml:space="preserve">Tableau </w:t>
      </w:r>
      <w:r w:rsidR="00705DF7" w:rsidRPr="00B6647E">
        <w:rPr>
          <w:rFonts w:ascii="Arial" w:hAnsi="Arial" w:cs="Arial"/>
          <w:b/>
          <w:sz w:val="20"/>
          <w:szCs w:val="20"/>
          <w:lang w:val="fr-FR" w:eastAsia="fr-FR"/>
        </w:rPr>
        <w:t>2</w:t>
      </w:r>
      <w:r w:rsidR="007177FA">
        <w:rPr>
          <w:rFonts w:ascii="Arial" w:hAnsi="Arial" w:cs="Arial"/>
          <w:b/>
          <w:sz w:val="20"/>
          <w:szCs w:val="20"/>
          <w:lang w:val="fr-FR" w:eastAsia="fr-FR"/>
        </w:rPr>
        <w:t>54</w:t>
      </w:r>
      <w:r w:rsidRPr="00B6647E">
        <w:rPr>
          <w:rFonts w:ascii="Arial" w:hAnsi="Arial" w:cs="Arial"/>
          <w:b/>
          <w:sz w:val="20"/>
          <w:szCs w:val="20"/>
          <w:lang w:val="fr-FR" w:eastAsia="fr-FR"/>
        </w:rPr>
        <w:t xml:space="preserve"> : Production totale des ménages dirigés par des femmes </w:t>
      </w:r>
    </w:p>
    <w:p w:rsidR="007368CE" w:rsidRPr="00B6647E" w:rsidRDefault="009419FD" w:rsidP="00F7740B">
      <w:pPr>
        <w:spacing w:line="240" w:lineRule="auto"/>
        <w:jc w:val="both"/>
        <w:rPr>
          <w:rFonts w:ascii="Arial" w:hAnsi="Arial" w:cs="Arial"/>
          <w:sz w:val="20"/>
          <w:szCs w:val="20"/>
          <w:lang w:val="fr-FR" w:eastAsia="fr-FR"/>
        </w:rPr>
      </w:pPr>
      <w:r w:rsidRPr="00B6647E">
        <w:rPr>
          <w:rFonts w:ascii="Arial" w:hAnsi="Arial" w:cs="Arial"/>
          <w:noProof/>
          <w:sz w:val="20"/>
          <w:szCs w:val="20"/>
          <w:lang w:val="fr-FR" w:eastAsia="fr-FR"/>
        </w:rPr>
        <w:drawing>
          <wp:inline distT="0" distB="0" distL="0" distR="0">
            <wp:extent cx="5731510" cy="3108471"/>
            <wp:effectExtent l="19050" t="0" r="2540" b="0"/>
            <wp:docPr id="1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2" cstate="print"/>
                    <a:srcRect/>
                    <a:stretch>
                      <a:fillRect/>
                    </a:stretch>
                  </pic:blipFill>
                  <pic:spPr bwMode="auto">
                    <a:xfrm>
                      <a:off x="0" y="0"/>
                      <a:ext cx="5731510" cy="3108471"/>
                    </a:xfrm>
                    <a:prstGeom prst="rect">
                      <a:avLst/>
                    </a:prstGeom>
                    <a:noFill/>
                    <a:ln w="9525">
                      <a:noFill/>
                      <a:miter lim="800000"/>
                      <a:headEnd/>
                      <a:tailEnd/>
                    </a:ln>
                  </pic:spPr>
                </pic:pic>
              </a:graphicData>
            </a:graphic>
          </wp:inline>
        </w:drawing>
      </w:r>
    </w:p>
    <w:p w:rsidR="00A00CAD" w:rsidRPr="00B6647E" w:rsidRDefault="00A00CAD" w:rsidP="00F7740B">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t>La production totale des céréales des ménages dirigés par des hommes a été</w:t>
      </w:r>
      <w:r w:rsidR="00F7740B" w:rsidRPr="00B6647E">
        <w:rPr>
          <w:rFonts w:ascii="Arial" w:hAnsi="Arial" w:cs="Arial"/>
          <w:sz w:val="20"/>
          <w:szCs w:val="20"/>
          <w:lang w:val="fr-FR" w:eastAsia="fr-FR"/>
        </w:rPr>
        <w:t xml:space="preserve"> estimée 198.548 tonnes </w:t>
      </w:r>
      <w:r w:rsidR="00E6676A" w:rsidRPr="00B6647E">
        <w:rPr>
          <w:rFonts w:ascii="Arial" w:hAnsi="Arial" w:cs="Arial"/>
          <w:sz w:val="20"/>
          <w:szCs w:val="20"/>
          <w:lang w:val="fr-FR" w:eastAsia="fr-FR"/>
        </w:rPr>
        <w:t xml:space="preserve">(162,5 kg par ménage) </w:t>
      </w:r>
      <w:r w:rsidR="00F7740B" w:rsidRPr="00B6647E">
        <w:rPr>
          <w:rFonts w:ascii="Arial" w:hAnsi="Arial" w:cs="Arial"/>
          <w:sz w:val="20"/>
          <w:szCs w:val="20"/>
          <w:lang w:val="fr-FR" w:eastAsia="fr-FR"/>
        </w:rPr>
        <w:t xml:space="preserve">sur l’ensemble de la campagne contre 47.799 tonnes </w:t>
      </w:r>
      <w:r w:rsidR="00E6676A" w:rsidRPr="00B6647E">
        <w:rPr>
          <w:rFonts w:ascii="Arial" w:hAnsi="Arial" w:cs="Arial"/>
          <w:sz w:val="20"/>
          <w:szCs w:val="20"/>
          <w:lang w:val="fr-FR" w:eastAsia="fr-FR"/>
        </w:rPr>
        <w:t xml:space="preserve">(142,8 kg par ménage) </w:t>
      </w:r>
      <w:r w:rsidR="00F7740B" w:rsidRPr="00B6647E">
        <w:rPr>
          <w:rFonts w:ascii="Arial" w:hAnsi="Arial" w:cs="Arial"/>
          <w:sz w:val="20"/>
          <w:szCs w:val="20"/>
          <w:lang w:val="fr-FR" w:eastAsia="fr-FR"/>
        </w:rPr>
        <w:t>pour les ménages dirigés par des femmes.</w:t>
      </w:r>
    </w:p>
    <w:p w:rsidR="003D646A" w:rsidRPr="00B6647E" w:rsidRDefault="003D646A" w:rsidP="00F7740B">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t xml:space="preserve">Pour les légumineuses composées essentiellement de haricot, les ménages dirigés par des hommes ont produit 189.608 tonnes (155,2 kg par ménage) contre 47.049 tonnes (140,5 kg par ménage). </w:t>
      </w:r>
    </w:p>
    <w:p w:rsidR="003D646A" w:rsidRPr="00B6647E" w:rsidRDefault="003D646A" w:rsidP="00F7740B">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t>En ce qui concerne les bananes (à bière, à cuire et à fruit), la production des ménages dirigés par des hommes a été évaluée à 962.560 tonnes (787,9 kg par ménage) et celle des ménages dirigés par des femmes à 221.515 tonnes (661,6 kg par ménage).</w:t>
      </w:r>
    </w:p>
    <w:p w:rsidR="00362F96" w:rsidRPr="00B6647E" w:rsidRDefault="00362F96" w:rsidP="00362F96">
      <w:pPr>
        <w:rPr>
          <w:rFonts w:ascii="Arial" w:hAnsi="Arial" w:cs="Arial"/>
          <w:b/>
          <w:sz w:val="20"/>
          <w:szCs w:val="20"/>
          <w:lang w:val="fr-FR" w:eastAsia="fr-FR"/>
        </w:rPr>
      </w:pPr>
      <w:r w:rsidRPr="00B6647E">
        <w:rPr>
          <w:rFonts w:ascii="Arial" w:hAnsi="Arial" w:cs="Arial"/>
          <w:b/>
          <w:sz w:val="20"/>
          <w:szCs w:val="20"/>
          <w:lang w:val="fr-FR" w:eastAsia="fr-FR"/>
        </w:rPr>
        <w:t xml:space="preserve">Tableau </w:t>
      </w:r>
      <w:r w:rsidR="00705DF7" w:rsidRPr="00B6647E">
        <w:rPr>
          <w:rFonts w:ascii="Arial" w:hAnsi="Arial" w:cs="Arial"/>
          <w:b/>
          <w:sz w:val="20"/>
          <w:szCs w:val="20"/>
          <w:lang w:val="fr-FR" w:eastAsia="fr-FR"/>
        </w:rPr>
        <w:t>2</w:t>
      </w:r>
      <w:r w:rsidR="007177FA">
        <w:rPr>
          <w:rFonts w:ascii="Arial" w:hAnsi="Arial" w:cs="Arial"/>
          <w:b/>
          <w:sz w:val="20"/>
          <w:szCs w:val="20"/>
          <w:lang w:val="fr-FR" w:eastAsia="fr-FR"/>
        </w:rPr>
        <w:t>55</w:t>
      </w:r>
      <w:r w:rsidRPr="00B6647E">
        <w:rPr>
          <w:rFonts w:ascii="Arial" w:hAnsi="Arial" w:cs="Arial"/>
          <w:b/>
          <w:sz w:val="20"/>
          <w:szCs w:val="20"/>
          <w:lang w:val="fr-FR" w:eastAsia="fr-FR"/>
        </w:rPr>
        <w:t xml:space="preserve"> : </w:t>
      </w:r>
      <w:r w:rsidR="00D927B3" w:rsidRPr="00B6647E">
        <w:rPr>
          <w:rFonts w:ascii="Arial" w:hAnsi="Arial" w:cs="Arial"/>
          <w:b/>
          <w:sz w:val="20"/>
          <w:szCs w:val="20"/>
          <w:lang w:val="fr-FR" w:eastAsia="fr-FR"/>
        </w:rPr>
        <w:t>Production</w:t>
      </w:r>
      <w:r w:rsidRPr="00B6647E">
        <w:rPr>
          <w:rFonts w:ascii="Arial" w:hAnsi="Arial" w:cs="Arial"/>
          <w:b/>
          <w:sz w:val="20"/>
          <w:szCs w:val="20"/>
          <w:lang w:val="fr-FR" w:eastAsia="fr-FR"/>
        </w:rPr>
        <w:t xml:space="preserve"> par groupe de cultures des ménages dirigés par des hommes</w:t>
      </w:r>
    </w:p>
    <w:p w:rsidR="00362F96" w:rsidRPr="00B6647E" w:rsidRDefault="00F7740B" w:rsidP="001D6DAC">
      <w:pPr>
        <w:spacing w:line="240" w:lineRule="auto"/>
        <w:jc w:val="both"/>
        <w:rPr>
          <w:rFonts w:ascii="Arial" w:hAnsi="Arial" w:cs="Arial"/>
          <w:sz w:val="20"/>
          <w:szCs w:val="20"/>
          <w:lang w:val="fr-FR" w:eastAsia="fr-FR"/>
        </w:rPr>
      </w:pPr>
      <w:r w:rsidRPr="00B6647E">
        <w:rPr>
          <w:rFonts w:ascii="Arial" w:hAnsi="Arial" w:cs="Arial"/>
          <w:noProof/>
          <w:sz w:val="20"/>
          <w:szCs w:val="20"/>
          <w:lang w:val="fr-FR" w:eastAsia="fr-FR"/>
        </w:rPr>
        <w:drawing>
          <wp:inline distT="0" distB="0" distL="0" distR="0">
            <wp:extent cx="5505450" cy="3295650"/>
            <wp:effectExtent l="19050" t="0" r="0" b="0"/>
            <wp:docPr id="16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3" cstate="print"/>
                    <a:srcRect/>
                    <a:stretch>
                      <a:fillRect/>
                    </a:stretch>
                  </pic:blipFill>
                  <pic:spPr bwMode="auto">
                    <a:xfrm>
                      <a:off x="0" y="0"/>
                      <a:ext cx="5505450" cy="3295650"/>
                    </a:xfrm>
                    <a:prstGeom prst="rect">
                      <a:avLst/>
                    </a:prstGeom>
                    <a:noFill/>
                    <a:ln w="9525">
                      <a:noFill/>
                      <a:miter lim="800000"/>
                      <a:headEnd/>
                      <a:tailEnd/>
                    </a:ln>
                  </pic:spPr>
                </pic:pic>
              </a:graphicData>
            </a:graphic>
          </wp:inline>
        </w:drawing>
      </w:r>
    </w:p>
    <w:p w:rsidR="001D6DAC" w:rsidRPr="00B6647E" w:rsidRDefault="001D6DAC" w:rsidP="001D6DAC">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lastRenderedPageBreak/>
        <w:t>Les ménages dirigés par des hommes ont eu une production de tubercules et racines estimée à 1.676.018 tonnes (1.371,9 kg par ménage) et ceux dirigés par des femmes ont produit 375.305 tonnes (1.120,8 kg)</w:t>
      </w:r>
    </w:p>
    <w:p w:rsidR="001D6DAC" w:rsidRPr="00B6647E" w:rsidRDefault="001D6DAC" w:rsidP="001D6DAC">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t>La production des oléagineux a été estimée à 11.099 tonnes pour les ménages dirigés par des hommes (9,1 kg par ménage) et celle des ménages dirigés par des femmes à 2.396 tonnes (7,2 kg par ménage).</w:t>
      </w:r>
    </w:p>
    <w:p w:rsidR="00362F96" w:rsidRPr="00B6647E" w:rsidRDefault="00362F96" w:rsidP="00362F96">
      <w:pPr>
        <w:rPr>
          <w:rFonts w:ascii="Arial" w:hAnsi="Arial" w:cs="Arial"/>
          <w:b/>
          <w:sz w:val="20"/>
          <w:szCs w:val="20"/>
          <w:lang w:val="fr-FR" w:eastAsia="fr-FR"/>
        </w:rPr>
      </w:pPr>
      <w:r w:rsidRPr="00B6647E">
        <w:rPr>
          <w:rFonts w:ascii="Arial" w:hAnsi="Arial" w:cs="Arial"/>
          <w:b/>
          <w:sz w:val="20"/>
          <w:szCs w:val="20"/>
          <w:lang w:val="fr-FR" w:eastAsia="fr-FR"/>
        </w:rPr>
        <w:t xml:space="preserve">Tableau </w:t>
      </w:r>
      <w:r w:rsidR="00705DF7" w:rsidRPr="00B6647E">
        <w:rPr>
          <w:rFonts w:ascii="Arial" w:hAnsi="Arial" w:cs="Arial"/>
          <w:b/>
          <w:sz w:val="20"/>
          <w:szCs w:val="20"/>
          <w:lang w:val="fr-FR" w:eastAsia="fr-FR"/>
        </w:rPr>
        <w:t>2</w:t>
      </w:r>
      <w:r w:rsidR="007177FA">
        <w:rPr>
          <w:rFonts w:ascii="Arial" w:hAnsi="Arial" w:cs="Arial"/>
          <w:b/>
          <w:sz w:val="20"/>
          <w:szCs w:val="20"/>
          <w:lang w:val="fr-FR" w:eastAsia="fr-FR"/>
        </w:rPr>
        <w:t>56</w:t>
      </w:r>
      <w:r w:rsidRPr="00B6647E">
        <w:rPr>
          <w:rFonts w:ascii="Arial" w:hAnsi="Arial" w:cs="Arial"/>
          <w:b/>
          <w:sz w:val="20"/>
          <w:szCs w:val="20"/>
          <w:lang w:val="fr-FR" w:eastAsia="fr-FR"/>
        </w:rPr>
        <w:t xml:space="preserve"> : </w:t>
      </w:r>
      <w:r w:rsidR="00D927B3" w:rsidRPr="00B6647E">
        <w:rPr>
          <w:rFonts w:ascii="Arial" w:hAnsi="Arial" w:cs="Arial"/>
          <w:b/>
          <w:sz w:val="20"/>
          <w:szCs w:val="20"/>
          <w:lang w:val="fr-FR" w:eastAsia="fr-FR"/>
        </w:rPr>
        <w:t>Production</w:t>
      </w:r>
      <w:r w:rsidRPr="00B6647E">
        <w:rPr>
          <w:rFonts w:ascii="Arial" w:hAnsi="Arial" w:cs="Arial"/>
          <w:b/>
          <w:sz w:val="20"/>
          <w:szCs w:val="20"/>
          <w:lang w:val="fr-FR" w:eastAsia="fr-FR"/>
        </w:rPr>
        <w:t xml:space="preserve"> par groupe de cultures des ménages dirigés par des femmes</w:t>
      </w:r>
    </w:p>
    <w:p w:rsidR="00D55773" w:rsidRPr="00B6647E" w:rsidRDefault="00F7740B" w:rsidP="001D6DAC">
      <w:pPr>
        <w:spacing w:after="0" w:line="240" w:lineRule="auto"/>
        <w:jc w:val="both"/>
        <w:rPr>
          <w:rFonts w:ascii="Arial" w:hAnsi="Arial" w:cs="Arial"/>
          <w:sz w:val="20"/>
          <w:szCs w:val="20"/>
          <w:lang w:val="fr-FR" w:eastAsia="fr-FR"/>
        </w:rPr>
      </w:pPr>
      <w:r w:rsidRPr="00B6647E">
        <w:rPr>
          <w:noProof/>
          <w:lang w:val="fr-FR" w:eastAsia="fr-FR"/>
        </w:rPr>
        <w:drawing>
          <wp:inline distT="0" distB="0" distL="0" distR="0">
            <wp:extent cx="5505450" cy="3343275"/>
            <wp:effectExtent l="19050" t="0" r="0" b="0"/>
            <wp:docPr id="17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4" cstate="print"/>
                    <a:srcRect/>
                    <a:stretch>
                      <a:fillRect/>
                    </a:stretch>
                  </pic:blipFill>
                  <pic:spPr bwMode="auto">
                    <a:xfrm>
                      <a:off x="0" y="0"/>
                      <a:ext cx="5505450" cy="3343275"/>
                    </a:xfrm>
                    <a:prstGeom prst="rect">
                      <a:avLst/>
                    </a:prstGeom>
                    <a:noFill/>
                    <a:ln w="9525">
                      <a:noFill/>
                      <a:miter lim="800000"/>
                      <a:headEnd/>
                      <a:tailEnd/>
                    </a:ln>
                  </pic:spPr>
                </pic:pic>
              </a:graphicData>
            </a:graphic>
          </wp:inline>
        </w:drawing>
      </w:r>
      <w:r w:rsidR="00C44C28" w:rsidRPr="00B6647E">
        <w:rPr>
          <w:rFonts w:ascii="Arial" w:hAnsi="Arial" w:cs="Arial"/>
          <w:lang w:val="fr-FR" w:eastAsia="fr-FR"/>
        </w:rPr>
        <w:t xml:space="preserve"> </w:t>
      </w:r>
    </w:p>
    <w:p w:rsidR="001D6DAC" w:rsidRPr="00B6647E" w:rsidRDefault="001D6DAC" w:rsidP="001D6DAC">
      <w:pPr>
        <w:spacing w:after="0" w:line="240" w:lineRule="auto"/>
        <w:jc w:val="both"/>
        <w:rPr>
          <w:rFonts w:ascii="Arial" w:hAnsi="Arial" w:cs="Arial"/>
          <w:sz w:val="20"/>
          <w:szCs w:val="20"/>
          <w:lang w:val="fr-FR" w:eastAsia="fr-FR"/>
        </w:rPr>
      </w:pPr>
      <w:r w:rsidRPr="00B6647E">
        <w:rPr>
          <w:rFonts w:ascii="Arial" w:hAnsi="Arial" w:cs="Arial"/>
          <w:sz w:val="20"/>
          <w:szCs w:val="20"/>
          <w:lang w:val="fr-FR" w:eastAsia="fr-FR"/>
        </w:rPr>
        <w:t xml:space="preserve">Globalement, un ménage dirigé par un homme produit en moyenne </w:t>
      </w:r>
      <w:r w:rsidR="007178D8" w:rsidRPr="00B6647E">
        <w:rPr>
          <w:rFonts w:ascii="Arial" w:hAnsi="Arial" w:cs="Arial"/>
          <w:sz w:val="20"/>
          <w:szCs w:val="20"/>
          <w:lang w:val="fr-FR" w:eastAsia="fr-FR"/>
        </w:rPr>
        <w:t>19,7 kg de céréales, 14,7 kg de légumineuses, 126,3 kg de banane, 251,1 kg de tubercules et racines et 1,9 kg d’oléagineux de plus qu’un ménage dirigé par une femme.</w:t>
      </w:r>
    </w:p>
    <w:p w:rsidR="00D927B3" w:rsidRPr="00B6647E" w:rsidRDefault="00D927B3" w:rsidP="0052337E">
      <w:pPr>
        <w:pStyle w:val="Titre2"/>
        <w:keepNext w:val="0"/>
        <w:numPr>
          <w:ilvl w:val="1"/>
          <w:numId w:val="1"/>
        </w:numPr>
        <w:spacing w:before="240" w:after="200"/>
        <w:ind w:left="0" w:firstLine="0"/>
        <w:rPr>
          <w:rFonts w:cs="Arial"/>
          <w:u w:val="dotDash"/>
        </w:rPr>
      </w:pPr>
      <w:bookmarkStart w:id="344" w:name="_Toc354313927"/>
      <w:r w:rsidRPr="00B6647E">
        <w:rPr>
          <w:rFonts w:cs="Arial"/>
          <w:u w:val="dotDash"/>
        </w:rPr>
        <w:t xml:space="preserve">Elevage </w:t>
      </w:r>
      <w:r w:rsidR="007178D8" w:rsidRPr="00B6647E">
        <w:rPr>
          <w:rFonts w:cs="Arial"/>
          <w:u w:val="dotDash"/>
        </w:rPr>
        <w:t>des ménages selon le sexe du CM</w:t>
      </w:r>
      <w:r w:rsidRPr="00B6647E">
        <w:rPr>
          <w:rFonts w:cs="Arial"/>
          <w:u w:val="dotDash"/>
        </w:rPr>
        <w:t xml:space="preserve"> et </w:t>
      </w:r>
      <w:r w:rsidR="007178D8" w:rsidRPr="00B6647E">
        <w:rPr>
          <w:rFonts w:cs="Arial"/>
          <w:u w:val="dotDash"/>
        </w:rPr>
        <w:t xml:space="preserve">par </w:t>
      </w:r>
      <w:r w:rsidRPr="00B6647E">
        <w:rPr>
          <w:rFonts w:cs="Arial"/>
          <w:u w:val="dotDash"/>
        </w:rPr>
        <w:t>type de bétail</w:t>
      </w:r>
      <w:bookmarkEnd w:id="344"/>
    </w:p>
    <w:p w:rsidR="009121A5" w:rsidRPr="00B6647E" w:rsidRDefault="009121A5" w:rsidP="005B3E4A">
      <w:pPr>
        <w:spacing w:after="120" w:line="240" w:lineRule="auto"/>
        <w:jc w:val="both"/>
        <w:rPr>
          <w:rFonts w:ascii="Arial" w:hAnsi="Arial" w:cs="Arial"/>
          <w:sz w:val="20"/>
          <w:szCs w:val="20"/>
          <w:lang w:val="fr-FR" w:eastAsia="fr-FR"/>
        </w:rPr>
      </w:pPr>
      <w:r w:rsidRPr="00B6647E">
        <w:rPr>
          <w:rFonts w:ascii="Arial" w:hAnsi="Arial" w:cs="Arial"/>
          <w:sz w:val="20"/>
          <w:szCs w:val="20"/>
          <w:lang w:val="fr-FR" w:eastAsia="fr-FR"/>
        </w:rPr>
        <w:t xml:space="preserve">Sur un effectif total de </w:t>
      </w:r>
      <w:r w:rsidR="007B736B" w:rsidRPr="00B6647E">
        <w:rPr>
          <w:rFonts w:ascii="Arial" w:hAnsi="Arial" w:cs="Arial"/>
          <w:sz w:val="20"/>
          <w:szCs w:val="20"/>
          <w:lang w:val="fr-FR" w:eastAsia="fr-FR"/>
        </w:rPr>
        <w:t xml:space="preserve">609.430 bovins les hommes </w:t>
      </w:r>
      <w:r w:rsidR="00366FB9" w:rsidRPr="00B6647E">
        <w:rPr>
          <w:rFonts w:ascii="Arial" w:hAnsi="Arial" w:cs="Arial"/>
          <w:sz w:val="20"/>
          <w:szCs w:val="20"/>
          <w:lang w:val="fr-FR" w:eastAsia="fr-FR"/>
        </w:rPr>
        <w:t xml:space="preserve">en </w:t>
      </w:r>
      <w:r w:rsidR="007B736B" w:rsidRPr="00B6647E">
        <w:rPr>
          <w:rFonts w:ascii="Arial" w:hAnsi="Arial" w:cs="Arial"/>
          <w:sz w:val="20"/>
          <w:szCs w:val="20"/>
          <w:lang w:val="fr-FR" w:eastAsia="fr-FR"/>
        </w:rPr>
        <w:t>possèdent 528.730</w:t>
      </w:r>
      <w:r w:rsidR="00DA2EDF" w:rsidRPr="00B6647E">
        <w:rPr>
          <w:rFonts w:ascii="Arial" w:hAnsi="Arial" w:cs="Arial"/>
          <w:sz w:val="20"/>
          <w:szCs w:val="20"/>
          <w:lang w:val="fr-FR" w:eastAsia="fr-FR"/>
        </w:rPr>
        <w:t xml:space="preserve"> (86,8%)</w:t>
      </w:r>
      <w:r w:rsidR="007B736B" w:rsidRPr="00B6647E">
        <w:rPr>
          <w:rFonts w:ascii="Arial" w:hAnsi="Arial" w:cs="Arial"/>
          <w:sz w:val="20"/>
          <w:szCs w:val="20"/>
          <w:lang w:val="fr-FR" w:eastAsia="fr-FR"/>
        </w:rPr>
        <w:t xml:space="preserve">, soit une moyenne </w:t>
      </w:r>
      <w:r w:rsidR="00DA2EDF" w:rsidRPr="00B6647E">
        <w:rPr>
          <w:rFonts w:ascii="Arial" w:hAnsi="Arial" w:cs="Arial"/>
          <w:sz w:val="20"/>
          <w:szCs w:val="20"/>
          <w:lang w:val="fr-FR" w:eastAsia="fr-FR"/>
        </w:rPr>
        <w:t>d</w:t>
      </w:r>
      <w:r w:rsidR="00366FB9" w:rsidRPr="00B6647E">
        <w:rPr>
          <w:rFonts w:ascii="Arial" w:hAnsi="Arial" w:cs="Arial"/>
          <w:sz w:val="20"/>
          <w:szCs w:val="20"/>
          <w:lang w:val="fr-FR" w:eastAsia="fr-FR"/>
        </w:rPr>
        <w:t xml:space="preserve">e </w:t>
      </w:r>
      <w:r w:rsidR="009D670B">
        <w:rPr>
          <w:rFonts w:ascii="Arial" w:hAnsi="Arial" w:cs="Arial"/>
          <w:sz w:val="20"/>
          <w:szCs w:val="20"/>
          <w:lang w:val="fr-FR" w:eastAsia="fr-FR"/>
        </w:rPr>
        <w:t xml:space="preserve">quatorze bovins </w:t>
      </w:r>
      <w:r w:rsidR="00DA2EDF" w:rsidRPr="00B6647E">
        <w:rPr>
          <w:rFonts w:ascii="Arial" w:hAnsi="Arial" w:cs="Arial"/>
          <w:sz w:val="20"/>
          <w:szCs w:val="20"/>
          <w:lang w:val="fr-FR" w:eastAsia="fr-FR"/>
        </w:rPr>
        <w:t xml:space="preserve">pour </w:t>
      </w:r>
      <w:r w:rsidR="009D670B">
        <w:rPr>
          <w:rFonts w:ascii="Arial" w:hAnsi="Arial" w:cs="Arial"/>
          <w:sz w:val="20"/>
          <w:szCs w:val="20"/>
          <w:lang w:val="fr-FR" w:eastAsia="fr-FR"/>
        </w:rPr>
        <w:t>cent</w:t>
      </w:r>
      <w:r w:rsidR="00DA2EDF" w:rsidRPr="00B6647E">
        <w:rPr>
          <w:rFonts w:ascii="Arial" w:hAnsi="Arial" w:cs="Arial"/>
          <w:sz w:val="20"/>
          <w:szCs w:val="20"/>
          <w:lang w:val="fr-FR" w:eastAsia="fr-FR"/>
        </w:rPr>
        <w:t xml:space="preserve"> hommes et les femmes possèdent 80.699 bovins (13,2%), soit environ deux bovins pour cent femmes.</w:t>
      </w:r>
      <w:r w:rsidR="00366FB9" w:rsidRPr="00B6647E">
        <w:rPr>
          <w:rFonts w:ascii="Arial" w:hAnsi="Arial" w:cs="Arial"/>
          <w:sz w:val="20"/>
          <w:szCs w:val="20"/>
          <w:lang w:val="fr-FR" w:eastAsia="fr-FR"/>
        </w:rPr>
        <w:t xml:space="preserve"> Les provinces de Bubanza et Makamba n’ont pas enregistré de femmes possédant des bovins.</w:t>
      </w:r>
    </w:p>
    <w:p w:rsidR="00DA2EDF" w:rsidRPr="00B6647E" w:rsidRDefault="00366FB9" w:rsidP="005B3E4A">
      <w:pPr>
        <w:spacing w:after="120" w:line="240" w:lineRule="auto"/>
        <w:jc w:val="both"/>
        <w:rPr>
          <w:rFonts w:ascii="Arial" w:hAnsi="Arial" w:cs="Arial"/>
          <w:sz w:val="20"/>
          <w:szCs w:val="20"/>
          <w:lang w:val="fr-FR" w:eastAsia="fr-FR"/>
        </w:rPr>
      </w:pPr>
      <w:r w:rsidRPr="00B6647E">
        <w:rPr>
          <w:rFonts w:ascii="Arial" w:hAnsi="Arial" w:cs="Arial"/>
          <w:sz w:val="20"/>
          <w:szCs w:val="20"/>
          <w:lang w:val="fr-FR" w:eastAsia="fr-FR"/>
        </w:rPr>
        <w:t xml:space="preserve">Les hommes possèdent 1.838.018 caprins (73,8% de l’effectif total des caprins) correspondant à une moyenne de </w:t>
      </w:r>
      <w:r w:rsidR="00037A65">
        <w:rPr>
          <w:rFonts w:ascii="Arial" w:hAnsi="Arial" w:cs="Arial"/>
          <w:sz w:val="20"/>
          <w:szCs w:val="20"/>
          <w:lang w:val="fr-FR" w:eastAsia="fr-FR"/>
        </w:rPr>
        <w:t>cinq caprins pour dix</w:t>
      </w:r>
      <w:r w:rsidRPr="00B6647E">
        <w:rPr>
          <w:rFonts w:ascii="Arial" w:hAnsi="Arial" w:cs="Arial"/>
          <w:sz w:val="20"/>
          <w:szCs w:val="20"/>
          <w:lang w:val="fr-FR" w:eastAsia="fr-FR"/>
        </w:rPr>
        <w:t xml:space="preserve"> homme</w:t>
      </w:r>
      <w:r w:rsidR="00037A65">
        <w:rPr>
          <w:rFonts w:ascii="Arial" w:hAnsi="Arial" w:cs="Arial"/>
          <w:sz w:val="20"/>
          <w:szCs w:val="20"/>
          <w:lang w:val="fr-FR" w:eastAsia="fr-FR"/>
        </w:rPr>
        <w:t>s</w:t>
      </w:r>
      <w:r w:rsidRPr="00B6647E">
        <w:rPr>
          <w:rFonts w:ascii="Arial" w:hAnsi="Arial" w:cs="Arial"/>
          <w:sz w:val="20"/>
          <w:szCs w:val="20"/>
          <w:lang w:val="fr-FR" w:eastAsia="fr-FR"/>
        </w:rPr>
        <w:t xml:space="preserve"> et les femmes possèdent 651.275 caprins (26,2%), soit une moyenne de deux caprins pour dix femmes.</w:t>
      </w:r>
    </w:p>
    <w:p w:rsidR="00DA2EDF" w:rsidRPr="00B6647E" w:rsidRDefault="00900A08" w:rsidP="005B3E4A">
      <w:pPr>
        <w:spacing w:after="120" w:line="240" w:lineRule="auto"/>
        <w:jc w:val="both"/>
        <w:rPr>
          <w:rFonts w:ascii="Arial" w:hAnsi="Arial" w:cs="Arial"/>
          <w:sz w:val="20"/>
          <w:szCs w:val="20"/>
          <w:lang w:val="fr-FR" w:eastAsia="fr-FR"/>
        </w:rPr>
      </w:pPr>
      <w:r w:rsidRPr="00B6647E">
        <w:rPr>
          <w:rFonts w:ascii="Arial" w:hAnsi="Arial" w:cs="Arial"/>
          <w:sz w:val="20"/>
          <w:szCs w:val="20"/>
          <w:lang w:val="fr-FR" w:eastAsia="fr-FR"/>
        </w:rPr>
        <w:t xml:space="preserve">Au niveau des ovins, la possession des hommes </w:t>
      </w:r>
      <w:r w:rsidR="00695224" w:rsidRPr="00B6647E">
        <w:rPr>
          <w:rFonts w:ascii="Arial" w:hAnsi="Arial" w:cs="Arial"/>
          <w:sz w:val="20"/>
          <w:szCs w:val="20"/>
          <w:lang w:val="fr-FR" w:eastAsia="fr-FR"/>
        </w:rPr>
        <w:t>a été</w:t>
      </w:r>
      <w:r w:rsidRPr="00B6647E">
        <w:rPr>
          <w:rFonts w:ascii="Arial" w:hAnsi="Arial" w:cs="Arial"/>
          <w:sz w:val="20"/>
          <w:szCs w:val="20"/>
          <w:lang w:val="fr-FR" w:eastAsia="fr-FR"/>
        </w:rPr>
        <w:t xml:space="preserve"> estimée 350.584 têtes (</w:t>
      </w:r>
      <w:r w:rsidR="00695224" w:rsidRPr="00B6647E">
        <w:rPr>
          <w:rFonts w:ascii="Arial" w:hAnsi="Arial" w:cs="Arial"/>
          <w:sz w:val="20"/>
          <w:szCs w:val="20"/>
          <w:lang w:val="fr-FR" w:eastAsia="fr-FR"/>
        </w:rPr>
        <w:t>79,6% de l’ensemble des ovins), soit en moyenne un ovin pour dix hommes. Les femmes possèdent 89.853 ovins (20,4%), soit une moyenne de deux têtes pour cent femmes.</w:t>
      </w:r>
      <w:r w:rsidR="00197AB2" w:rsidRPr="00B6647E">
        <w:rPr>
          <w:rFonts w:ascii="Arial" w:hAnsi="Arial" w:cs="Arial"/>
          <w:sz w:val="20"/>
          <w:szCs w:val="20"/>
          <w:lang w:val="fr-FR" w:eastAsia="fr-FR"/>
        </w:rPr>
        <w:t xml:space="preserve"> Les provinces de Bubanza et Cankuzo n’ont pas enregistré de femmes possédant des ovins.</w:t>
      </w:r>
    </w:p>
    <w:p w:rsidR="00197AB2" w:rsidRPr="00B6647E" w:rsidRDefault="00695224" w:rsidP="00197AB2">
      <w:pPr>
        <w:spacing w:after="120" w:line="240" w:lineRule="auto"/>
        <w:jc w:val="both"/>
        <w:rPr>
          <w:rFonts w:ascii="Arial" w:hAnsi="Arial" w:cs="Arial"/>
          <w:sz w:val="20"/>
          <w:szCs w:val="20"/>
          <w:lang w:val="fr-FR" w:eastAsia="fr-FR"/>
        </w:rPr>
      </w:pPr>
      <w:r w:rsidRPr="00B6647E">
        <w:rPr>
          <w:rFonts w:ascii="Arial" w:hAnsi="Arial" w:cs="Arial"/>
          <w:sz w:val="20"/>
          <w:szCs w:val="20"/>
          <w:lang w:val="fr-FR" w:eastAsia="fr-FR"/>
        </w:rPr>
        <w:t>Les hommes possèdent 323.897 porcins (80,1% de nombre total de porcins) donnant une moyenne d</w:t>
      </w:r>
      <w:r w:rsidR="005B3E4A" w:rsidRPr="00B6647E">
        <w:rPr>
          <w:rFonts w:ascii="Arial" w:hAnsi="Arial" w:cs="Arial"/>
          <w:sz w:val="20"/>
          <w:szCs w:val="20"/>
          <w:lang w:val="fr-FR" w:eastAsia="fr-FR"/>
        </w:rPr>
        <w:t>’un</w:t>
      </w:r>
      <w:r w:rsidRPr="00B6647E">
        <w:rPr>
          <w:rFonts w:ascii="Arial" w:hAnsi="Arial" w:cs="Arial"/>
          <w:sz w:val="20"/>
          <w:szCs w:val="20"/>
          <w:lang w:val="fr-FR" w:eastAsia="fr-FR"/>
        </w:rPr>
        <w:t>e tête par hommes et les femmes ont 80.418 porcins (19,9%)</w:t>
      </w:r>
      <w:r w:rsidR="005B3E4A" w:rsidRPr="00B6647E">
        <w:rPr>
          <w:rFonts w:ascii="Arial" w:hAnsi="Arial" w:cs="Arial"/>
          <w:sz w:val="20"/>
          <w:szCs w:val="20"/>
          <w:lang w:val="fr-FR" w:eastAsia="fr-FR"/>
        </w:rPr>
        <w:t>, soit une moyenne de deux têtes pour cent femmes.</w:t>
      </w:r>
      <w:r w:rsidR="00197AB2" w:rsidRPr="00B6647E">
        <w:rPr>
          <w:rFonts w:ascii="Arial" w:hAnsi="Arial" w:cs="Arial"/>
          <w:sz w:val="20"/>
          <w:szCs w:val="20"/>
          <w:lang w:val="fr-FR" w:eastAsia="fr-FR"/>
        </w:rPr>
        <w:t xml:space="preserve"> Les provinces de Cankuzo et Muyinga n’ont pas enregistré de femmes possédant des porcins.</w:t>
      </w:r>
    </w:p>
    <w:p w:rsidR="00197AB2" w:rsidRPr="00B6647E" w:rsidRDefault="005B3E4A" w:rsidP="00197AB2">
      <w:pPr>
        <w:spacing w:after="120" w:line="240" w:lineRule="auto"/>
        <w:jc w:val="both"/>
        <w:rPr>
          <w:rFonts w:ascii="Arial" w:hAnsi="Arial" w:cs="Arial"/>
          <w:sz w:val="20"/>
          <w:szCs w:val="20"/>
          <w:lang w:val="fr-FR" w:eastAsia="fr-FR"/>
        </w:rPr>
      </w:pPr>
      <w:r w:rsidRPr="00B6647E">
        <w:rPr>
          <w:rFonts w:ascii="Arial" w:hAnsi="Arial" w:cs="Arial"/>
          <w:sz w:val="20"/>
          <w:szCs w:val="20"/>
          <w:lang w:val="fr-FR" w:eastAsia="fr-FR"/>
        </w:rPr>
        <w:t>Sur un total de 463.787 lapins, les hommes en possèdent 370.965 (80%) correspondant à une moyenne d’un lapin par homme et les femmes en ont 92.823 têtes (20%), soit une moyenne de deux têtes pour cent femmes.</w:t>
      </w:r>
      <w:r w:rsidR="00197AB2" w:rsidRPr="00B6647E">
        <w:rPr>
          <w:rFonts w:ascii="Arial" w:hAnsi="Arial" w:cs="Arial"/>
          <w:sz w:val="20"/>
          <w:szCs w:val="20"/>
          <w:lang w:val="fr-FR" w:eastAsia="fr-FR"/>
        </w:rPr>
        <w:t xml:space="preserve"> Les provinces de Bujumbura rural, Cankuzo, Cibitoke, Kayanza, Makamba et Rutana n’ont pas enregistré de femmes possédant des lapins.</w:t>
      </w:r>
    </w:p>
    <w:p w:rsidR="004B4E0D" w:rsidRPr="00B6647E" w:rsidRDefault="004B4E0D" w:rsidP="00457485">
      <w:pPr>
        <w:spacing w:after="0" w:line="240" w:lineRule="auto"/>
        <w:rPr>
          <w:rFonts w:ascii="Arial" w:hAnsi="Arial" w:cs="Arial"/>
          <w:b/>
          <w:sz w:val="20"/>
          <w:szCs w:val="20"/>
          <w:lang w:val="fr-FR" w:eastAsia="fr-FR"/>
        </w:rPr>
      </w:pPr>
      <w:r w:rsidRPr="00B6647E">
        <w:rPr>
          <w:rFonts w:ascii="Arial" w:hAnsi="Arial" w:cs="Arial"/>
          <w:b/>
          <w:sz w:val="20"/>
          <w:szCs w:val="20"/>
          <w:lang w:val="fr-FR" w:eastAsia="fr-FR"/>
        </w:rPr>
        <w:lastRenderedPageBreak/>
        <w:t xml:space="preserve">Tableau </w:t>
      </w:r>
      <w:r w:rsidR="00705DF7" w:rsidRPr="00B6647E">
        <w:rPr>
          <w:rFonts w:ascii="Arial" w:hAnsi="Arial" w:cs="Arial"/>
          <w:b/>
          <w:sz w:val="20"/>
          <w:szCs w:val="20"/>
          <w:lang w:val="fr-FR" w:eastAsia="fr-FR"/>
        </w:rPr>
        <w:t>2</w:t>
      </w:r>
      <w:r w:rsidR="007177FA">
        <w:rPr>
          <w:rFonts w:ascii="Arial" w:hAnsi="Arial" w:cs="Arial"/>
          <w:b/>
          <w:sz w:val="20"/>
          <w:szCs w:val="20"/>
          <w:lang w:val="fr-FR" w:eastAsia="fr-FR"/>
        </w:rPr>
        <w:t>57</w:t>
      </w:r>
      <w:r w:rsidRPr="00B6647E">
        <w:rPr>
          <w:rFonts w:ascii="Arial" w:hAnsi="Arial" w:cs="Arial"/>
          <w:b/>
          <w:sz w:val="20"/>
          <w:szCs w:val="20"/>
          <w:lang w:val="fr-FR" w:eastAsia="fr-FR"/>
        </w:rPr>
        <w:t> : Effectifs des animaux possédés par les hommes par provinces</w:t>
      </w:r>
    </w:p>
    <w:p w:rsidR="00D927B3" w:rsidRPr="00B6647E" w:rsidRDefault="009D24FB" w:rsidP="00457485">
      <w:pPr>
        <w:spacing w:after="0" w:line="240" w:lineRule="auto"/>
        <w:jc w:val="both"/>
        <w:rPr>
          <w:rFonts w:ascii="Arial" w:hAnsi="Arial" w:cs="Arial"/>
          <w:lang w:val="fr-FR" w:eastAsia="fr-FR"/>
        </w:rPr>
      </w:pPr>
      <w:r w:rsidRPr="00B6647E">
        <w:rPr>
          <w:noProof/>
          <w:lang w:val="fr-FR" w:eastAsia="fr-FR"/>
        </w:rPr>
        <w:drawing>
          <wp:inline distT="0" distB="0" distL="0" distR="0">
            <wp:extent cx="5219700" cy="3867150"/>
            <wp:effectExtent l="19050" t="0" r="0" b="0"/>
            <wp:docPr id="20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5" cstate="print"/>
                    <a:srcRect/>
                    <a:stretch>
                      <a:fillRect/>
                    </a:stretch>
                  </pic:blipFill>
                  <pic:spPr bwMode="auto">
                    <a:xfrm>
                      <a:off x="0" y="0"/>
                      <a:ext cx="5219700" cy="3867150"/>
                    </a:xfrm>
                    <a:prstGeom prst="rect">
                      <a:avLst/>
                    </a:prstGeom>
                    <a:noFill/>
                    <a:ln w="9525">
                      <a:noFill/>
                      <a:miter lim="800000"/>
                      <a:headEnd/>
                      <a:tailEnd/>
                    </a:ln>
                  </pic:spPr>
                </pic:pic>
              </a:graphicData>
            </a:graphic>
          </wp:inline>
        </w:drawing>
      </w:r>
    </w:p>
    <w:p w:rsidR="00197AB2" w:rsidRPr="00B6647E" w:rsidRDefault="005B3E4A" w:rsidP="00457485">
      <w:pPr>
        <w:spacing w:after="120" w:line="240" w:lineRule="auto"/>
        <w:jc w:val="both"/>
        <w:rPr>
          <w:rFonts w:ascii="Arial" w:hAnsi="Arial" w:cs="Arial"/>
          <w:sz w:val="20"/>
          <w:szCs w:val="20"/>
          <w:lang w:val="fr-FR" w:eastAsia="fr-FR"/>
        </w:rPr>
      </w:pPr>
      <w:r w:rsidRPr="00B6647E">
        <w:rPr>
          <w:rFonts w:ascii="Arial" w:hAnsi="Arial" w:cs="Arial"/>
          <w:sz w:val="20"/>
          <w:szCs w:val="20"/>
          <w:lang w:val="fr-FR" w:eastAsia="fr-FR"/>
        </w:rPr>
        <w:t xml:space="preserve">Concernant les cobayes, les hommes ont </w:t>
      </w:r>
      <w:r w:rsidR="009A7F50" w:rsidRPr="00B6647E">
        <w:rPr>
          <w:rFonts w:ascii="Arial" w:hAnsi="Arial" w:cs="Arial"/>
          <w:sz w:val="20"/>
          <w:szCs w:val="20"/>
          <w:lang w:val="fr-FR" w:eastAsia="fr-FR"/>
        </w:rPr>
        <w:t>868.211 têtes (74,2% du nombre total de cobayes), soit une moyenne de deux têtes pour dix hommes et les femmes en possèdent 302.044 têtes (25,8%) correspondant à une moyenne d’environ une t</w:t>
      </w:r>
      <w:r w:rsidR="00037A65">
        <w:rPr>
          <w:rFonts w:ascii="Arial" w:hAnsi="Arial" w:cs="Arial"/>
          <w:sz w:val="20"/>
          <w:szCs w:val="20"/>
          <w:lang w:val="fr-FR" w:eastAsia="fr-FR"/>
        </w:rPr>
        <w:t>ê</w:t>
      </w:r>
      <w:r w:rsidR="009A7F50" w:rsidRPr="00B6647E">
        <w:rPr>
          <w:rFonts w:ascii="Arial" w:hAnsi="Arial" w:cs="Arial"/>
          <w:sz w:val="20"/>
          <w:szCs w:val="20"/>
          <w:lang w:val="fr-FR" w:eastAsia="fr-FR"/>
        </w:rPr>
        <w:t>te pour dix femmes</w:t>
      </w:r>
      <w:r w:rsidR="00197AB2" w:rsidRPr="00B6647E">
        <w:rPr>
          <w:rFonts w:ascii="Arial" w:hAnsi="Arial" w:cs="Arial"/>
          <w:sz w:val="20"/>
          <w:szCs w:val="20"/>
          <w:lang w:val="fr-FR" w:eastAsia="fr-FR"/>
        </w:rPr>
        <w:t>. Les provinces de Makamba et Ruyigi n’ont pas enregistré de femmes possédant des cobayes.</w:t>
      </w:r>
    </w:p>
    <w:p w:rsidR="004B4E0D" w:rsidRPr="00B6647E" w:rsidRDefault="004B4E0D" w:rsidP="00457485">
      <w:pPr>
        <w:spacing w:after="0" w:line="240" w:lineRule="auto"/>
        <w:rPr>
          <w:rFonts w:ascii="Arial" w:hAnsi="Arial" w:cs="Arial"/>
          <w:b/>
          <w:sz w:val="20"/>
          <w:szCs w:val="20"/>
          <w:lang w:val="fr-FR" w:eastAsia="fr-FR"/>
        </w:rPr>
      </w:pPr>
      <w:r w:rsidRPr="00B6647E">
        <w:rPr>
          <w:rFonts w:ascii="Arial" w:hAnsi="Arial" w:cs="Arial"/>
          <w:b/>
          <w:sz w:val="20"/>
          <w:szCs w:val="20"/>
          <w:lang w:val="fr-FR" w:eastAsia="fr-FR"/>
        </w:rPr>
        <w:t xml:space="preserve">Tableau </w:t>
      </w:r>
      <w:r w:rsidR="00705DF7" w:rsidRPr="00B6647E">
        <w:rPr>
          <w:rFonts w:ascii="Arial" w:hAnsi="Arial" w:cs="Arial"/>
          <w:b/>
          <w:sz w:val="20"/>
          <w:szCs w:val="20"/>
          <w:lang w:val="fr-FR" w:eastAsia="fr-FR"/>
        </w:rPr>
        <w:t>2</w:t>
      </w:r>
      <w:r w:rsidR="007177FA">
        <w:rPr>
          <w:rFonts w:ascii="Arial" w:hAnsi="Arial" w:cs="Arial"/>
          <w:b/>
          <w:sz w:val="20"/>
          <w:szCs w:val="20"/>
          <w:lang w:val="fr-FR" w:eastAsia="fr-FR"/>
        </w:rPr>
        <w:t>58</w:t>
      </w:r>
      <w:r w:rsidRPr="00B6647E">
        <w:rPr>
          <w:rFonts w:ascii="Arial" w:hAnsi="Arial" w:cs="Arial"/>
          <w:b/>
          <w:sz w:val="20"/>
          <w:szCs w:val="20"/>
          <w:lang w:val="fr-FR" w:eastAsia="fr-FR"/>
        </w:rPr>
        <w:t> : Effectifs des animaux possédés par les femmes par provinces</w:t>
      </w:r>
    </w:p>
    <w:p w:rsidR="004B4E0D" w:rsidRPr="00B6647E" w:rsidRDefault="009D24FB" w:rsidP="00457485">
      <w:pPr>
        <w:spacing w:after="0" w:line="240" w:lineRule="auto"/>
        <w:rPr>
          <w:rFonts w:ascii="Arial" w:hAnsi="Arial" w:cs="Arial"/>
          <w:lang w:val="fr-FR" w:eastAsia="fr-FR"/>
        </w:rPr>
      </w:pPr>
      <w:r w:rsidRPr="00B6647E">
        <w:rPr>
          <w:noProof/>
          <w:lang w:val="fr-FR" w:eastAsia="fr-FR"/>
        </w:rPr>
        <w:drawing>
          <wp:inline distT="0" distB="0" distL="0" distR="0">
            <wp:extent cx="5219700" cy="3895725"/>
            <wp:effectExtent l="19050" t="0" r="0" b="0"/>
            <wp:docPr id="20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6" cstate="print"/>
                    <a:srcRect/>
                    <a:stretch>
                      <a:fillRect/>
                    </a:stretch>
                  </pic:blipFill>
                  <pic:spPr bwMode="auto">
                    <a:xfrm>
                      <a:off x="0" y="0"/>
                      <a:ext cx="5219700" cy="3895725"/>
                    </a:xfrm>
                    <a:prstGeom prst="rect">
                      <a:avLst/>
                    </a:prstGeom>
                    <a:noFill/>
                    <a:ln w="9525">
                      <a:noFill/>
                      <a:miter lim="800000"/>
                      <a:headEnd/>
                      <a:tailEnd/>
                    </a:ln>
                  </pic:spPr>
                </pic:pic>
              </a:graphicData>
            </a:graphic>
          </wp:inline>
        </w:drawing>
      </w:r>
    </w:p>
    <w:p w:rsidR="00EF50A1" w:rsidRPr="00B6647E" w:rsidRDefault="00EF50A1" w:rsidP="00EF50A1">
      <w:pPr>
        <w:spacing w:after="120" w:line="240" w:lineRule="auto"/>
        <w:jc w:val="both"/>
        <w:rPr>
          <w:rFonts w:ascii="Arial" w:hAnsi="Arial" w:cs="Arial"/>
          <w:sz w:val="20"/>
          <w:szCs w:val="20"/>
          <w:lang w:val="fr-FR" w:eastAsia="fr-FR"/>
        </w:rPr>
      </w:pPr>
      <w:r w:rsidRPr="00B6647E">
        <w:rPr>
          <w:rFonts w:ascii="Arial" w:hAnsi="Arial" w:cs="Arial"/>
          <w:sz w:val="20"/>
          <w:szCs w:val="20"/>
          <w:lang w:val="fr-FR" w:eastAsia="fr-FR"/>
        </w:rPr>
        <w:lastRenderedPageBreak/>
        <w:t>Sur un effectif total de 2.448.604 têtes de volailles les hommes possèdent 1.839.559 têtes (75,1% de l’effectif total) donnant une moyenne de cinq volailles pour dix hommes et les femmes en ont 609.045 têtes (24,9%), soit une moyenne d’environ d’une tête pour dix femmes.</w:t>
      </w:r>
    </w:p>
    <w:p w:rsidR="000F2AF1" w:rsidRPr="00B6647E" w:rsidRDefault="00927361" w:rsidP="00EF50A1">
      <w:pPr>
        <w:spacing w:after="120" w:line="240" w:lineRule="auto"/>
        <w:jc w:val="both"/>
        <w:rPr>
          <w:rFonts w:ascii="Arial" w:hAnsi="Arial" w:cs="Arial"/>
          <w:sz w:val="20"/>
          <w:szCs w:val="20"/>
          <w:lang w:val="fr-FR" w:eastAsia="fr-FR"/>
        </w:rPr>
      </w:pPr>
      <w:r w:rsidRPr="00B6647E">
        <w:rPr>
          <w:rFonts w:ascii="Arial" w:hAnsi="Arial" w:cs="Arial"/>
          <w:sz w:val="20"/>
          <w:szCs w:val="20"/>
          <w:lang w:val="fr-FR" w:eastAsia="fr-FR"/>
        </w:rPr>
        <w:t xml:space="preserve">Les ménages dirigés par des hommes possèdent 545.064 têtes de bovins (89,4% du nombre total de bovins), soit quatre bovins pour dix ménages tandis que les ménages dirigés par des femmes ont 64.365 bovins (10,6%) correspondant à environ deux bovins </w:t>
      </w:r>
      <w:r w:rsidR="00F31AE6" w:rsidRPr="00B6647E">
        <w:rPr>
          <w:rFonts w:ascii="Arial" w:hAnsi="Arial" w:cs="Arial"/>
          <w:sz w:val="20"/>
          <w:szCs w:val="20"/>
          <w:lang w:val="fr-FR" w:eastAsia="fr-FR"/>
        </w:rPr>
        <w:t>pour dix</w:t>
      </w:r>
      <w:r w:rsidRPr="00B6647E">
        <w:rPr>
          <w:rFonts w:ascii="Arial" w:hAnsi="Arial" w:cs="Arial"/>
          <w:sz w:val="20"/>
          <w:szCs w:val="20"/>
          <w:lang w:val="fr-FR" w:eastAsia="fr-FR"/>
        </w:rPr>
        <w:t xml:space="preserve"> ménage</w:t>
      </w:r>
      <w:r w:rsidR="00F31AE6" w:rsidRPr="00B6647E">
        <w:rPr>
          <w:rFonts w:ascii="Arial" w:hAnsi="Arial" w:cs="Arial"/>
          <w:sz w:val="20"/>
          <w:szCs w:val="20"/>
          <w:lang w:val="fr-FR" w:eastAsia="fr-FR"/>
        </w:rPr>
        <w:t>s.</w:t>
      </w:r>
    </w:p>
    <w:p w:rsidR="000F2AF1" w:rsidRPr="00B6647E" w:rsidRDefault="003F1CC7" w:rsidP="00EF50A1">
      <w:pPr>
        <w:spacing w:after="120" w:line="240" w:lineRule="auto"/>
        <w:jc w:val="both"/>
        <w:rPr>
          <w:rFonts w:ascii="Arial" w:hAnsi="Arial" w:cs="Arial"/>
          <w:sz w:val="20"/>
          <w:szCs w:val="20"/>
          <w:lang w:val="fr-FR" w:eastAsia="fr-FR"/>
        </w:rPr>
      </w:pPr>
      <w:r w:rsidRPr="00B6647E">
        <w:rPr>
          <w:rFonts w:ascii="Arial" w:hAnsi="Arial" w:cs="Arial"/>
          <w:sz w:val="20"/>
          <w:szCs w:val="20"/>
          <w:lang w:val="fr-FR" w:eastAsia="fr-FR"/>
        </w:rPr>
        <w:t>L</w:t>
      </w:r>
      <w:r w:rsidR="00B51103" w:rsidRPr="00B6647E">
        <w:rPr>
          <w:rFonts w:ascii="Arial" w:hAnsi="Arial" w:cs="Arial"/>
          <w:sz w:val="20"/>
          <w:szCs w:val="20"/>
          <w:lang w:val="fr-FR" w:eastAsia="fr-FR"/>
        </w:rPr>
        <w:t>’</w:t>
      </w:r>
      <w:r w:rsidRPr="00B6647E">
        <w:rPr>
          <w:rFonts w:ascii="Arial" w:hAnsi="Arial" w:cs="Arial"/>
          <w:sz w:val="20"/>
          <w:szCs w:val="20"/>
          <w:lang w:val="fr-FR" w:eastAsia="fr-FR"/>
        </w:rPr>
        <w:t xml:space="preserve">effectif de caprins possédé par les ménages dirigés par de hommes </w:t>
      </w:r>
      <w:r w:rsidR="00B51103" w:rsidRPr="00B6647E">
        <w:rPr>
          <w:rFonts w:ascii="Arial" w:hAnsi="Arial" w:cs="Arial"/>
          <w:sz w:val="20"/>
          <w:szCs w:val="20"/>
          <w:lang w:val="fr-FR" w:eastAsia="fr-FR"/>
        </w:rPr>
        <w:t>a été</w:t>
      </w:r>
      <w:r w:rsidRPr="00B6647E">
        <w:rPr>
          <w:rFonts w:ascii="Arial" w:hAnsi="Arial" w:cs="Arial"/>
          <w:sz w:val="20"/>
          <w:szCs w:val="20"/>
          <w:lang w:val="fr-FR" w:eastAsia="fr-FR"/>
        </w:rPr>
        <w:t xml:space="preserve"> </w:t>
      </w:r>
      <w:r w:rsidR="00B51103" w:rsidRPr="00B6647E">
        <w:rPr>
          <w:rFonts w:ascii="Arial" w:hAnsi="Arial" w:cs="Arial"/>
          <w:sz w:val="20"/>
          <w:szCs w:val="20"/>
          <w:lang w:val="fr-FR" w:eastAsia="fr-FR"/>
        </w:rPr>
        <w:t>estimé</w:t>
      </w:r>
      <w:r w:rsidRPr="00B6647E">
        <w:rPr>
          <w:rFonts w:ascii="Arial" w:hAnsi="Arial" w:cs="Arial"/>
          <w:sz w:val="20"/>
          <w:szCs w:val="20"/>
          <w:lang w:val="fr-FR" w:eastAsia="fr-FR"/>
        </w:rPr>
        <w:t xml:space="preserve"> à 2.058.703 têtes (82,7% du total des caprins) donnant une moyenne de 17 têtes pour dix ménages. Ceux possédés par les ménages dirigés par des femmes sont évalués à 430.589 caprins (17,3%), soit en moyenne 13 têtes pour dix ménages.</w:t>
      </w:r>
    </w:p>
    <w:p w:rsidR="00B51103" w:rsidRPr="00B6647E" w:rsidRDefault="00B51103" w:rsidP="000F1AEF">
      <w:pPr>
        <w:spacing w:after="120" w:line="240" w:lineRule="auto"/>
        <w:jc w:val="both"/>
        <w:rPr>
          <w:rFonts w:ascii="Arial" w:hAnsi="Arial" w:cs="Arial"/>
          <w:sz w:val="20"/>
          <w:szCs w:val="20"/>
          <w:lang w:val="fr-FR" w:eastAsia="fr-FR"/>
        </w:rPr>
      </w:pPr>
      <w:r w:rsidRPr="00B6647E">
        <w:rPr>
          <w:rFonts w:ascii="Arial" w:hAnsi="Arial" w:cs="Arial"/>
          <w:sz w:val="20"/>
          <w:szCs w:val="20"/>
          <w:lang w:val="fr-FR" w:eastAsia="fr-FR"/>
        </w:rPr>
        <w:t>Le nombre d’ovins possédés par les ménages dirigés par des hommes est de 401.560 têtes (91,2% de l’effectif total), soit en moyenne trois têtes pour dix ménages. Les ménages dirigés par des femmes possèdent quant à eux 38.876 ovins (8,8%) correspondant à une moyenne d’une tête pour dix ménages</w:t>
      </w:r>
    </w:p>
    <w:p w:rsidR="004B4E0D" w:rsidRPr="00B6647E" w:rsidRDefault="00C30FDF" w:rsidP="00705DF7">
      <w:pPr>
        <w:rPr>
          <w:rFonts w:ascii="Arial" w:hAnsi="Arial" w:cs="Arial"/>
          <w:b/>
          <w:sz w:val="20"/>
          <w:szCs w:val="20"/>
          <w:lang w:val="fr-FR" w:eastAsia="fr-FR"/>
        </w:rPr>
      </w:pPr>
      <w:r w:rsidRPr="00B6647E">
        <w:rPr>
          <w:rFonts w:ascii="Arial" w:hAnsi="Arial" w:cs="Arial"/>
          <w:b/>
          <w:sz w:val="20"/>
          <w:szCs w:val="20"/>
          <w:lang w:val="fr-FR" w:eastAsia="fr-FR"/>
        </w:rPr>
        <w:t xml:space="preserve">Tableau </w:t>
      </w:r>
      <w:r w:rsidR="00705DF7" w:rsidRPr="00B6647E">
        <w:rPr>
          <w:rFonts w:ascii="Arial" w:hAnsi="Arial" w:cs="Arial"/>
          <w:b/>
          <w:sz w:val="20"/>
          <w:szCs w:val="20"/>
          <w:lang w:val="fr-FR" w:eastAsia="fr-FR"/>
        </w:rPr>
        <w:t>2</w:t>
      </w:r>
      <w:r w:rsidR="007177FA">
        <w:rPr>
          <w:rFonts w:ascii="Arial" w:hAnsi="Arial" w:cs="Arial"/>
          <w:b/>
          <w:sz w:val="20"/>
          <w:szCs w:val="20"/>
          <w:lang w:val="fr-FR" w:eastAsia="fr-FR"/>
        </w:rPr>
        <w:t>59</w:t>
      </w:r>
      <w:r w:rsidRPr="00B6647E">
        <w:rPr>
          <w:rFonts w:ascii="Arial" w:hAnsi="Arial" w:cs="Arial"/>
          <w:b/>
          <w:sz w:val="20"/>
          <w:szCs w:val="20"/>
          <w:lang w:val="fr-FR" w:eastAsia="fr-FR"/>
        </w:rPr>
        <w:t xml:space="preserve"> : </w:t>
      </w:r>
      <w:r w:rsidR="004D3DD3" w:rsidRPr="00B6647E">
        <w:rPr>
          <w:rFonts w:ascii="Arial" w:hAnsi="Arial" w:cs="Arial"/>
          <w:b/>
          <w:sz w:val="20"/>
          <w:szCs w:val="20"/>
          <w:lang w:val="fr-FR" w:eastAsia="fr-FR"/>
        </w:rPr>
        <w:t>Nombre moyen</w:t>
      </w:r>
      <w:r w:rsidRPr="00B6647E">
        <w:rPr>
          <w:rFonts w:ascii="Arial" w:hAnsi="Arial" w:cs="Arial"/>
          <w:b/>
          <w:sz w:val="20"/>
          <w:szCs w:val="20"/>
          <w:lang w:val="fr-FR" w:eastAsia="fr-FR"/>
        </w:rPr>
        <w:t xml:space="preserve"> d</w:t>
      </w:r>
      <w:r w:rsidR="004D3DD3" w:rsidRPr="00B6647E">
        <w:rPr>
          <w:rFonts w:ascii="Arial" w:hAnsi="Arial" w:cs="Arial"/>
          <w:b/>
          <w:sz w:val="20"/>
          <w:szCs w:val="20"/>
          <w:lang w:val="fr-FR" w:eastAsia="fr-FR"/>
        </w:rPr>
        <w:t>’</w:t>
      </w:r>
      <w:r w:rsidRPr="00B6647E">
        <w:rPr>
          <w:rFonts w:ascii="Arial" w:hAnsi="Arial" w:cs="Arial"/>
          <w:b/>
          <w:sz w:val="20"/>
          <w:szCs w:val="20"/>
          <w:lang w:val="fr-FR" w:eastAsia="fr-FR"/>
        </w:rPr>
        <w:t>animaux possédés p</w:t>
      </w:r>
      <w:r w:rsidR="004D3DD3" w:rsidRPr="00B6647E">
        <w:rPr>
          <w:rFonts w:ascii="Arial" w:hAnsi="Arial" w:cs="Arial"/>
          <w:b/>
          <w:sz w:val="20"/>
          <w:szCs w:val="20"/>
          <w:lang w:val="fr-FR" w:eastAsia="fr-FR"/>
        </w:rPr>
        <w:t>ar les</w:t>
      </w:r>
      <w:r w:rsidRPr="00B6647E">
        <w:rPr>
          <w:rFonts w:ascii="Arial" w:hAnsi="Arial" w:cs="Arial"/>
          <w:b/>
          <w:sz w:val="20"/>
          <w:szCs w:val="20"/>
          <w:lang w:val="fr-FR" w:eastAsia="fr-FR"/>
        </w:rPr>
        <w:t xml:space="preserve"> ménages dirigés par des hommes</w:t>
      </w:r>
    </w:p>
    <w:p w:rsidR="004B4E0D" w:rsidRPr="00B6647E" w:rsidRDefault="00705945" w:rsidP="00E465F2">
      <w:pPr>
        <w:spacing w:after="120" w:line="240" w:lineRule="auto"/>
        <w:rPr>
          <w:rFonts w:ascii="Arial" w:hAnsi="Arial" w:cs="Arial"/>
          <w:lang w:val="fr-FR" w:eastAsia="fr-FR"/>
        </w:rPr>
      </w:pPr>
      <w:r w:rsidRPr="00B6647E">
        <w:rPr>
          <w:noProof/>
          <w:lang w:val="fr-FR" w:eastAsia="fr-FR"/>
        </w:rPr>
        <w:drawing>
          <wp:inline distT="0" distB="0" distL="0" distR="0">
            <wp:extent cx="5731510" cy="2916327"/>
            <wp:effectExtent l="19050" t="0" r="2540" b="0"/>
            <wp:docPr id="1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7" cstate="print"/>
                    <a:srcRect/>
                    <a:stretch>
                      <a:fillRect/>
                    </a:stretch>
                  </pic:blipFill>
                  <pic:spPr bwMode="auto">
                    <a:xfrm>
                      <a:off x="0" y="0"/>
                      <a:ext cx="5731510" cy="2916327"/>
                    </a:xfrm>
                    <a:prstGeom prst="rect">
                      <a:avLst/>
                    </a:prstGeom>
                    <a:noFill/>
                    <a:ln w="9525">
                      <a:noFill/>
                      <a:miter lim="800000"/>
                      <a:headEnd/>
                      <a:tailEnd/>
                    </a:ln>
                  </pic:spPr>
                </pic:pic>
              </a:graphicData>
            </a:graphic>
          </wp:inline>
        </w:drawing>
      </w:r>
    </w:p>
    <w:p w:rsidR="004B4E0D" w:rsidRPr="00B6647E" w:rsidRDefault="00E732D6" w:rsidP="00E465F2">
      <w:pPr>
        <w:spacing w:after="120" w:line="240" w:lineRule="auto"/>
        <w:jc w:val="both"/>
        <w:rPr>
          <w:rFonts w:ascii="Arial" w:hAnsi="Arial" w:cs="Arial"/>
          <w:sz w:val="20"/>
          <w:szCs w:val="20"/>
          <w:lang w:val="fr-FR" w:eastAsia="fr-FR"/>
        </w:rPr>
      </w:pPr>
      <w:r w:rsidRPr="00B6647E">
        <w:rPr>
          <w:rFonts w:ascii="Arial" w:hAnsi="Arial" w:cs="Arial"/>
          <w:sz w:val="20"/>
          <w:szCs w:val="20"/>
          <w:lang w:val="fr-FR" w:eastAsia="fr-FR"/>
        </w:rPr>
        <w:t>Les ménages dirigés par des hommes possèdent 346.796 porcins (85,8% du nombre total), soit en moyenne trois têtes pour dix ménages et ceux dirigés par des femmes ont 57.519 porcins (14,2%) donnant en moyenne deux têtes pour dix ménages.</w:t>
      </w:r>
    </w:p>
    <w:p w:rsidR="00E732D6" w:rsidRPr="00B6647E" w:rsidRDefault="00E732D6" w:rsidP="00E465F2">
      <w:pPr>
        <w:spacing w:after="120" w:line="240" w:lineRule="auto"/>
        <w:jc w:val="both"/>
        <w:rPr>
          <w:rFonts w:ascii="Arial" w:hAnsi="Arial" w:cs="Arial"/>
          <w:sz w:val="20"/>
          <w:szCs w:val="20"/>
          <w:lang w:val="fr-FR" w:eastAsia="fr-FR"/>
        </w:rPr>
      </w:pPr>
      <w:r w:rsidRPr="00B6647E">
        <w:rPr>
          <w:rFonts w:ascii="Arial" w:hAnsi="Arial" w:cs="Arial"/>
          <w:sz w:val="20"/>
          <w:szCs w:val="20"/>
          <w:lang w:val="fr-FR" w:eastAsia="fr-FR"/>
        </w:rPr>
        <w:t>Concernant les lapins, la possession des ménages dirigés par des hommes a été estimée à 401.899 têtes (86,7% du total des lapins) donnant en moyenne trois lapins pour dix ménages et celle de ceux dirigés par des femmes a été évaluée à 61.889 lapins (13,3%), soit une moyenne de deux lapins par ménage.</w:t>
      </w:r>
    </w:p>
    <w:p w:rsidR="00E732D6" w:rsidRPr="00B6647E" w:rsidRDefault="00DC4270" w:rsidP="00E465F2">
      <w:pPr>
        <w:spacing w:after="120" w:line="240" w:lineRule="auto"/>
        <w:jc w:val="both"/>
        <w:rPr>
          <w:rFonts w:ascii="Arial" w:hAnsi="Arial" w:cs="Arial"/>
          <w:sz w:val="20"/>
          <w:szCs w:val="20"/>
          <w:lang w:val="fr-FR" w:eastAsia="fr-FR"/>
        </w:rPr>
      </w:pPr>
      <w:r w:rsidRPr="00B6647E">
        <w:rPr>
          <w:rFonts w:ascii="Arial" w:hAnsi="Arial" w:cs="Arial"/>
          <w:sz w:val="20"/>
          <w:szCs w:val="20"/>
          <w:lang w:val="fr-FR" w:eastAsia="fr-FR"/>
        </w:rPr>
        <w:t xml:space="preserve">Le nombre de cobayes en possession des ménages dirigés par des hommes a été estimé à 951.318 têtes (81,3% de l’ensemble des cobayes), soit en moyenne huit têtes pour dix ménages. Les ménages dirigés par des femmes en possèdent 218.936 têtes (18,7%) correspondant à une moyenne de sept cobayes par ménage. </w:t>
      </w:r>
    </w:p>
    <w:p w:rsidR="00DC4270" w:rsidRPr="00B6647E" w:rsidRDefault="00DC4270" w:rsidP="00E465F2">
      <w:pPr>
        <w:spacing w:after="120" w:line="240" w:lineRule="auto"/>
        <w:jc w:val="both"/>
        <w:rPr>
          <w:rFonts w:ascii="Arial" w:hAnsi="Arial" w:cs="Arial"/>
          <w:sz w:val="20"/>
          <w:szCs w:val="20"/>
          <w:lang w:val="fr-FR" w:eastAsia="fr-FR"/>
        </w:rPr>
      </w:pPr>
      <w:r w:rsidRPr="00B6647E">
        <w:rPr>
          <w:rFonts w:ascii="Arial" w:hAnsi="Arial" w:cs="Arial"/>
          <w:sz w:val="20"/>
          <w:szCs w:val="20"/>
          <w:lang w:val="fr-FR" w:eastAsia="fr-FR"/>
        </w:rPr>
        <w:t xml:space="preserve">L’effectif de volailles possédé par les ménages dirigés par es hommes </w:t>
      </w:r>
      <w:r w:rsidR="00E465F2" w:rsidRPr="00B6647E">
        <w:rPr>
          <w:rFonts w:ascii="Arial" w:hAnsi="Arial" w:cs="Arial"/>
          <w:sz w:val="20"/>
          <w:szCs w:val="20"/>
          <w:lang w:val="fr-FR" w:eastAsia="fr-FR"/>
        </w:rPr>
        <w:t>a été</w:t>
      </w:r>
      <w:r w:rsidRPr="00B6647E">
        <w:rPr>
          <w:rFonts w:ascii="Arial" w:hAnsi="Arial" w:cs="Arial"/>
          <w:sz w:val="20"/>
          <w:szCs w:val="20"/>
          <w:lang w:val="fr-FR" w:eastAsia="fr-FR"/>
        </w:rPr>
        <w:t xml:space="preserve"> évalué à 2.161.616 têtes (88,3% du nombre total de volaille) ce qui donne en moyenne 18 têtes pour dix ménages.</w:t>
      </w:r>
      <w:r w:rsidR="00E465F2" w:rsidRPr="00B6647E">
        <w:rPr>
          <w:rFonts w:ascii="Arial" w:hAnsi="Arial" w:cs="Arial"/>
          <w:sz w:val="20"/>
          <w:szCs w:val="20"/>
          <w:lang w:val="fr-FR" w:eastAsia="fr-FR"/>
        </w:rPr>
        <w:t xml:space="preserve"> Le nombre de volailles possédés par les ménages dirigés par des femmes a été estimé à 286.928 têtes (11,7%), soit en moyenne neuf têtes pour dix ménages.</w:t>
      </w:r>
    </w:p>
    <w:p w:rsidR="00705945" w:rsidRPr="00B6647E" w:rsidRDefault="00705945" w:rsidP="00705DF7">
      <w:pPr>
        <w:rPr>
          <w:rFonts w:ascii="Arial" w:hAnsi="Arial" w:cs="Arial"/>
          <w:b/>
          <w:sz w:val="20"/>
          <w:szCs w:val="20"/>
          <w:lang w:val="fr-FR" w:eastAsia="fr-FR"/>
        </w:rPr>
      </w:pPr>
    </w:p>
    <w:p w:rsidR="00705945" w:rsidRPr="00B6647E" w:rsidRDefault="00705945" w:rsidP="00705DF7">
      <w:pPr>
        <w:rPr>
          <w:rFonts w:ascii="Arial" w:hAnsi="Arial" w:cs="Arial"/>
          <w:b/>
          <w:sz w:val="20"/>
          <w:szCs w:val="20"/>
          <w:lang w:val="fr-FR" w:eastAsia="fr-FR"/>
        </w:rPr>
      </w:pPr>
    </w:p>
    <w:p w:rsidR="00C30FDF" w:rsidRPr="00B6647E" w:rsidRDefault="00C30FDF" w:rsidP="00705DF7">
      <w:pPr>
        <w:rPr>
          <w:rFonts w:ascii="Arial" w:hAnsi="Arial" w:cs="Arial"/>
          <w:b/>
          <w:sz w:val="20"/>
          <w:szCs w:val="20"/>
          <w:lang w:val="fr-FR" w:eastAsia="fr-FR"/>
        </w:rPr>
      </w:pPr>
      <w:r w:rsidRPr="00B6647E">
        <w:rPr>
          <w:rFonts w:ascii="Arial" w:hAnsi="Arial" w:cs="Arial"/>
          <w:b/>
          <w:sz w:val="20"/>
          <w:szCs w:val="20"/>
          <w:lang w:val="fr-FR" w:eastAsia="fr-FR"/>
        </w:rPr>
        <w:lastRenderedPageBreak/>
        <w:t xml:space="preserve">Tableau </w:t>
      </w:r>
      <w:r w:rsidR="00705DF7" w:rsidRPr="00B6647E">
        <w:rPr>
          <w:rFonts w:ascii="Arial" w:hAnsi="Arial" w:cs="Arial"/>
          <w:b/>
          <w:sz w:val="20"/>
          <w:szCs w:val="20"/>
          <w:lang w:val="fr-FR" w:eastAsia="fr-FR"/>
        </w:rPr>
        <w:t>2</w:t>
      </w:r>
      <w:r w:rsidR="007177FA">
        <w:rPr>
          <w:rFonts w:ascii="Arial" w:hAnsi="Arial" w:cs="Arial"/>
          <w:b/>
          <w:sz w:val="20"/>
          <w:szCs w:val="20"/>
          <w:lang w:val="fr-FR" w:eastAsia="fr-FR"/>
        </w:rPr>
        <w:t>60</w:t>
      </w:r>
      <w:r w:rsidRPr="00B6647E">
        <w:rPr>
          <w:rFonts w:ascii="Arial" w:hAnsi="Arial" w:cs="Arial"/>
          <w:b/>
          <w:sz w:val="20"/>
          <w:szCs w:val="20"/>
          <w:lang w:val="fr-FR" w:eastAsia="fr-FR"/>
        </w:rPr>
        <w:t xml:space="preserve"> : </w:t>
      </w:r>
      <w:r w:rsidR="004D3DD3" w:rsidRPr="00B6647E">
        <w:rPr>
          <w:rFonts w:ascii="Arial" w:hAnsi="Arial" w:cs="Arial"/>
          <w:b/>
          <w:sz w:val="20"/>
          <w:szCs w:val="20"/>
          <w:lang w:val="fr-FR" w:eastAsia="fr-FR"/>
        </w:rPr>
        <w:t>Nombre moyen</w:t>
      </w:r>
      <w:r w:rsidRPr="00B6647E">
        <w:rPr>
          <w:rFonts w:ascii="Arial" w:hAnsi="Arial" w:cs="Arial"/>
          <w:b/>
          <w:sz w:val="20"/>
          <w:szCs w:val="20"/>
          <w:lang w:val="fr-FR" w:eastAsia="fr-FR"/>
        </w:rPr>
        <w:t xml:space="preserve"> d</w:t>
      </w:r>
      <w:r w:rsidR="004D3DD3" w:rsidRPr="00B6647E">
        <w:rPr>
          <w:rFonts w:ascii="Arial" w:hAnsi="Arial" w:cs="Arial"/>
          <w:b/>
          <w:sz w:val="20"/>
          <w:szCs w:val="20"/>
          <w:lang w:val="fr-FR" w:eastAsia="fr-FR"/>
        </w:rPr>
        <w:t>’</w:t>
      </w:r>
      <w:r w:rsidRPr="00B6647E">
        <w:rPr>
          <w:rFonts w:ascii="Arial" w:hAnsi="Arial" w:cs="Arial"/>
          <w:b/>
          <w:sz w:val="20"/>
          <w:szCs w:val="20"/>
          <w:lang w:val="fr-FR" w:eastAsia="fr-FR"/>
        </w:rPr>
        <w:t>animaux possédés par les ménages dirigés par des femmes</w:t>
      </w:r>
    </w:p>
    <w:p w:rsidR="00C30FDF" w:rsidRPr="00B6647E" w:rsidRDefault="00705945" w:rsidP="00E51ED6">
      <w:pPr>
        <w:spacing w:after="0" w:line="240" w:lineRule="auto"/>
      </w:pPr>
      <w:r w:rsidRPr="00B6647E">
        <w:rPr>
          <w:noProof/>
          <w:lang w:val="fr-FR" w:eastAsia="fr-FR"/>
        </w:rPr>
        <w:drawing>
          <wp:inline distT="0" distB="0" distL="0" distR="0">
            <wp:extent cx="5731510" cy="2933185"/>
            <wp:effectExtent l="19050" t="0" r="2540" b="0"/>
            <wp:docPr id="1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8" cstate="print"/>
                    <a:srcRect/>
                    <a:stretch>
                      <a:fillRect/>
                    </a:stretch>
                  </pic:blipFill>
                  <pic:spPr bwMode="auto">
                    <a:xfrm>
                      <a:off x="0" y="0"/>
                      <a:ext cx="5731510" cy="2933185"/>
                    </a:xfrm>
                    <a:prstGeom prst="rect">
                      <a:avLst/>
                    </a:prstGeom>
                    <a:noFill/>
                    <a:ln w="9525">
                      <a:noFill/>
                      <a:miter lim="800000"/>
                      <a:headEnd/>
                      <a:tailEnd/>
                    </a:ln>
                  </pic:spPr>
                </pic:pic>
              </a:graphicData>
            </a:graphic>
          </wp:inline>
        </w:drawing>
      </w:r>
    </w:p>
    <w:p w:rsidR="00D55773" w:rsidRPr="00B6647E" w:rsidRDefault="00D55773" w:rsidP="0052337E">
      <w:pPr>
        <w:pStyle w:val="Titre2"/>
        <w:keepNext w:val="0"/>
        <w:numPr>
          <w:ilvl w:val="1"/>
          <w:numId w:val="1"/>
        </w:numPr>
        <w:spacing w:before="240" w:after="200"/>
        <w:ind w:left="0" w:firstLine="0"/>
        <w:rPr>
          <w:rFonts w:cs="Arial"/>
          <w:u w:val="dotDash"/>
        </w:rPr>
      </w:pPr>
      <w:bookmarkStart w:id="345" w:name="_Toc354313928"/>
      <w:r w:rsidRPr="00B6647E">
        <w:rPr>
          <w:rFonts w:cs="Arial"/>
          <w:u w:val="dotDash"/>
        </w:rPr>
        <w:t>Proportion de ménages utilisant des engrais chimiques par sexe du CM</w:t>
      </w:r>
      <w:bookmarkEnd w:id="345"/>
    </w:p>
    <w:p w:rsidR="00C65A8A" w:rsidRPr="00B6647E" w:rsidRDefault="004F6E8B" w:rsidP="008249DE">
      <w:pPr>
        <w:spacing w:after="0" w:line="240" w:lineRule="auto"/>
        <w:jc w:val="both"/>
        <w:rPr>
          <w:rFonts w:ascii="Arial" w:hAnsi="Arial" w:cs="Arial"/>
          <w:sz w:val="20"/>
          <w:szCs w:val="20"/>
          <w:lang w:val="fr-FR" w:eastAsia="fr-FR"/>
        </w:rPr>
      </w:pPr>
      <w:r w:rsidRPr="00B6647E">
        <w:rPr>
          <w:rFonts w:ascii="Arial" w:hAnsi="Arial" w:cs="Arial"/>
          <w:sz w:val="20"/>
          <w:szCs w:val="20"/>
          <w:lang w:val="fr-FR" w:eastAsia="fr-FR"/>
        </w:rPr>
        <w:t>En saison A, l</w:t>
      </w:r>
      <w:r w:rsidR="008249DE" w:rsidRPr="00B6647E">
        <w:rPr>
          <w:rFonts w:ascii="Arial" w:hAnsi="Arial" w:cs="Arial"/>
          <w:sz w:val="20"/>
          <w:szCs w:val="20"/>
          <w:lang w:val="fr-FR" w:eastAsia="fr-FR"/>
        </w:rPr>
        <w:t xml:space="preserve">a proportion nationale de ménages qui ont utilisé des engrais chimiques a été estimé à </w:t>
      </w:r>
      <w:r w:rsidRPr="00B6647E">
        <w:rPr>
          <w:rFonts w:ascii="Arial" w:hAnsi="Arial" w:cs="Arial"/>
          <w:sz w:val="20"/>
          <w:szCs w:val="20"/>
          <w:lang w:val="fr-FR" w:eastAsia="fr-FR"/>
        </w:rPr>
        <w:t>28,4%</w:t>
      </w:r>
      <w:r w:rsidR="008249DE" w:rsidRPr="00B6647E">
        <w:rPr>
          <w:rFonts w:ascii="Arial" w:hAnsi="Arial" w:cs="Arial"/>
          <w:sz w:val="20"/>
          <w:szCs w:val="20"/>
          <w:lang w:val="fr-FR" w:eastAsia="fr-FR"/>
        </w:rPr>
        <w:t>. Cette proportion est évaluée à 28</w:t>
      </w:r>
      <w:r w:rsidRPr="00B6647E">
        <w:rPr>
          <w:rFonts w:ascii="Arial" w:hAnsi="Arial" w:cs="Arial"/>
          <w:sz w:val="20"/>
          <w:szCs w:val="20"/>
          <w:lang w:val="fr-FR" w:eastAsia="fr-FR"/>
        </w:rPr>
        <w:t>,</w:t>
      </w:r>
      <w:r w:rsidR="008249DE" w:rsidRPr="00B6647E">
        <w:rPr>
          <w:rFonts w:ascii="Arial" w:hAnsi="Arial" w:cs="Arial"/>
          <w:sz w:val="20"/>
          <w:szCs w:val="20"/>
          <w:lang w:val="fr-FR" w:eastAsia="fr-FR"/>
        </w:rPr>
        <w:t>2% pour les ménages dirigés par des hommes et à 29,4% pour ceux dirigés par des femmes.</w:t>
      </w:r>
      <w:r w:rsidR="00653EDD" w:rsidRPr="00B6647E">
        <w:rPr>
          <w:rFonts w:ascii="Arial" w:hAnsi="Arial" w:cs="Arial"/>
          <w:sz w:val="20"/>
          <w:szCs w:val="20"/>
          <w:lang w:val="fr-FR" w:eastAsia="fr-FR"/>
        </w:rPr>
        <w:t xml:space="preserve"> </w:t>
      </w:r>
    </w:p>
    <w:p w:rsidR="00C65A8A" w:rsidRPr="00B6647E" w:rsidRDefault="00C65A8A" w:rsidP="008249DE">
      <w:pPr>
        <w:spacing w:after="0" w:line="240" w:lineRule="auto"/>
        <w:jc w:val="both"/>
        <w:rPr>
          <w:rFonts w:ascii="Arial" w:hAnsi="Arial" w:cs="Arial"/>
          <w:sz w:val="20"/>
          <w:szCs w:val="20"/>
          <w:lang w:val="fr-FR" w:eastAsia="fr-FR"/>
        </w:rPr>
      </w:pPr>
    </w:p>
    <w:p w:rsidR="00A774B2" w:rsidRPr="00B6647E" w:rsidRDefault="00653EDD" w:rsidP="008249DE">
      <w:pPr>
        <w:spacing w:after="0" w:line="240" w:lineRule="auto"/>
        <w:jc w:val="both"/>
        <w:rPr>
          <w:rFonts w:ascii="Arial" w:hAnsi="Arial" w:cs="Arial"/>
          <w:sz w:val="20"/>
          <w:szCs w:val="20"/>
          <w:lang w:val="fr-FR" w:eastAsia="fr-FR"/>
        </w:rPr>
      </w:pPr>
      <w:r w:rsidRPr="00B6647E">
        <w:rPr>
          <w:rFonts w:ascii="Arial" w:hAnsi="Arial" w:cs="Arial"/>
          <w:sz w:val="20"/>
          <w:szCs w:val="20"/>
          <w:lang w:val="fr-FR" w:eastAsia="fr-FR"/>
        </w:rPr>
        <w:t xml:space="preserve">Pour les ménages dirigés par des hommes, les plus grandes proportions utilisant des engrais chimiques ont été estimées dans les provinces de Muramvya (74,4%), Gitega (73,1%), Karuzi (64,1%) et Mwaro (61,8%). En ce qui concerne les ménages dirigés par des femmes, les proportions les plus élevées ont été enregistrées dans </w:t>
      </w:r>
      <w:r w:rsidR="00553FB3" w:rsidRPr="00B6647E">
        <w:rPr>
          <w:rFonts w:ascii="Arial" w:hAnsi="Arial" w:cs="Arial"/>
          <w:sz w:val="20"/>
          <w:szCs w:val="20"/>
          <w:lang w:val="fr-FR" w:eastAsia="fr-FR"/>
        </w:rPr>
        <w:t>Gitega (73,9%), Karuzi (64%), Muramvya (62,3%).</w:t>
      </w:r>
      <w:r w:rsidR="00953BFA" w:rsidRPr="00B6647E">
        <w:rPr>
          <w:rFonts w:ascii="Arial" w:hAnsi="Arial" w:cs="Arial"/>
          <w:sz w:val="20"/>
          <w:szCs w:val="20"/>
          <w:lang w:val="fr-FR" w:eastAsia="fr-FR"/>
        </w:rPr>
        <w:t xml:space="preserve"> L’utilisation des engrais chimiques par des ménages dirigés par des femmes a été pratiquement nulle dans la province de Kirundo.</w:t>
      </w:r>
    </w:p>
    <w:p w:rsidR="00E465F2" w:rsidRPr="00B6647E" w:rsidRDefault="00E465F2" w:rsidP="008249DE">
      <w:pPr>
        <w:spacing w:after="0" w:line="240" w:lineRule="auto"/>
        <w:jc w:val="both"/>
        <w:rPr>
          <w:rFonts w:ascii="Arial" w:hAnsi="Arial" w:cs="Arial"/>
          <w:sz w:val="20"/>
          <w:szCs w:val="20"/>
          <w:lang w:val="fr-FR" w:eastAsia="fr-FR"/>
        </w:rPr>
      </w:pPr>
    </w:p>
    <w:p w:rsidR="00C65A8A" w:rsidRPr="00B6647E" w:rsidRDefault="004F6E8B" w:rsidP="004F6E8B">
      <w:pPr>
        <w:spacing w:after="0" w:line="240" w:lineRule="auto"/>
        <w:jc w:val="both"/>
        <w:rPr>
          <w:rFonts w:ascii="Arial" w:hAnsi="Arial" w:cs="Arial"/>
          <w:sz w:val="20"/>
          <w:szCs w:val="20"/>
          <w:lang w:val="fr-FR" w:eastAsia="fr-FR"/>
        </w:rPr>
      </w:pPr>
      <w:r w:rsidRPr="00B6647E">
        <w:rPr>
          <w:rFonts w:ascii="Arial" w:hAnsi="Arial" w:cs="Arial"/>
          <w:sz w:val="20"/>
          <w:szCs w:val="20"/>
          <w:lang w:val="fr-FR" w:eastAsia="fr-FR"/>
        </w:rPr>
        <w:t xml:space="preserve">Pendant la saison B, il y a 32,4% de ménages qui ont utilisé des engrais chimiques au niveau national contre 34% des ménages dirigés par des hommes et </w:t>
      </w:r>
      <w:r w:rsidR="00946AA2" w:rsidRPr="00B6647E">
        <w:rPr>
          <w:rFonts w:ascii="Arial" w:hAnsi="Arial" w:cs="Arial"/>
          <w:sz w:val="20"/>
          <w:szCs w:val="20"/>
          <w:lang w:val="fr-FR" w:eastAsia="fr-FR"/>
        </w:rPr>
        <w:t>26,3% de ceux dirigés par des femmes.</w:t>
      </w:r>
      <w:r w:rsidR="00553FB3" w:rsidRPr="00B6647E">
        <w:rPr>
          <w:rFonts w:ascii="Arial" w:hAnsi="Arial" w:cs="Arial"/>
          <w:sz w:val="20"/>
          <w:szCs w:val="20"/>
          <w:lang w:val="fr-FR" w:eastAsia="fr-FR"/>
        </w:rPr>
        <w:t xml:space="preserve"> </w:t>
      </w:r>
    </w:p>
    <w:p w:rsidR="00C65A8A" w:rsidRPr="00B6647E" w:rsidRDefault="00C65A8A" w:rsidP="004F6E8B">
      <w:pPr>
        <w:spacing w:after="0" w:line="240" w:lineRule="auto"/>
        <w:jc w:val="both"/>
        <w:rPr>
          <w:rFonts w:ascii="Arial" w:hAnsi="Arial" w:cs="Arial"/>
          <w:sz w:val="20"/>
          <w:szCs w:val="20"/>
          <w:lang w:val="fr-FR" w:eastAsia="fr-FR"/>
        </w:rPr>
      </w:pPr>
    </w:p>
    <w:p w:rsidR="004F6E8B" w:rsidRPr="00B6647E" w:rsidRDefault="00553FB3" w:rsidP="004F6E8B">
      <w:pPr>
        <w:spacing w:after="0" w:line="240" w:lineRule="auto"/>
        <w:jc w:val="both"/>
        <w:rPr>
          <w:rFonts w:ascii="Arial" w:hAnsi="Arial" w:cs="Arial"/>
          <w:sz w:val="20"/>
          <w:szCs w:val="20"/>
          <w:lang w:val="fr-FR" w:eastAsia="fr-FR"/>
        </w:rPr>
      </w:pPr>
      <w:r w:rsidRPr="00B6647E">
        <w:rPr>
          <w:rFonts w:ascii="Arial" w:hAnsi="Arial" w:cs="Arial"/>
          <w:sz w:val="20"/>
          <w:szCs w:val="20"/>
          <w:lang w:val="fr-FR" w:eastAsia="fr-FR"/>
        </w:rPr>
        <w:t xml:space="preserve">Au niveau provincial, les proportions les plus élevés de ménages dirigés par des hommes </w:t>
      </w:r>
      <w:r w:rsidR="00EF618B" w:rsidRPr="00B6647E">
        <w:rPr>
          <w:rFonts w:ascii="Arial" w:hAnsi="Arial" w:cs="Arial"/>
          <w:sz w:val="20"/>
          <w:szCs w:val="20"/>
          <w:lang w:val="fr-FR" w:eastAsia="fr-FR"/>
        </w:rPr>
        <w:t xml:space="preserve">ayant utilisé des engrais chimiques </w:t>
      </w:r>
      <w:r w:rsidRPr="00B6647E">
        <w:rPr>
          <w:rFonts w:ascii="Arial" w:hAnsi="Arial" w:cs="Arial"/>
          <w:sz w:val="20"/>
          <w:szCs w:val="20"/>
          <w:lang w:val="fr-FR" w:eastAsia="fr-FR"/>
        </w:rPr>
        <w:t>ont été enregistrées dans Gitega (98,5%), Mwaro (97,3%), Muramvya (85,7%) et Karuzi (72,9%). Quant aux ménages dirigés par des femmes, les proportions les grandes ont été estimées dans Karuzi (74,6%), Mwaro (72,5%) et Gitega (61%).</w:t>
      </w:r>
      <w:r w:rsidR="00953BFA" w:rsidRPr="00B6647E">
        <w:rPr>
          <w:rFonts w:ascii="Arial" w:hAnsi="Arial" w:cs="Arial"/>
          <w:sz w:val="20"/>
          <w:szCs w:val="20"/>
          <w:lang w:val="fr-FR" w:eastAsia="fr-FR"/>
        </w:rPr>
        <w:t>Au</w:t>
      </w:r>
      <w:r w:rsidR="00C153AE" w:rsidRPr="00B6647E">
        <w:rPr>
          <w:rFonts w:ascii="Arial" w:hAnsi="Arial" w:cs="Arial"/>
          <w:sz w:val="20"/>
          <w:szCs w:val="20"/>
          <w:lang w:val="fr-FR" w:eastAsia="fr-FR"/>
        </w:rPr>
        <w:t>cun</w:t>
      </w:r>
      <w:r w:rsidR="00953BFA" w:rsidRPr="00B6647E">
        <w:rPr>
          <w:rFonts w:ascii="Arial" w:hAnsi="Arial" w:cs="Arial"/>
          <w:sz w:val="20"/>
          <w:szCs w:val="20"/>
          <w:lang w:val="fr-FR" w:eastAsia="fr-FR"/>
        </w:rPr>
        <w:t xml:space="preserve"> ménage utilisant les engrais chiques n’a été observé dans Cankuzo au cours de la saison B. Il en est de même des ménages dirigés par des femmes dans </w:t>
      </w:r>
      <w:r w:rsidR="00C153AE" w:rsidRPr="00B6647E">
        <w:rPr>
          <w:rFonts w:ascii="Arial" w:hAnsi="Arial" w:cs="Arial"/>
          <w:sz w:val="20"/>
          <w:szCs w:val="20"/>
          <w:lang w:val="fr-FR" w:eastAsia="fr-FR"/>
        </w:rPr>
        <w:t>Cibitoke, Kirundo et Muyinga.</w:t>
      </w:r>
    </w:p>
    <w:p w:rsidR="004F6E8B" w:rsidRPr="00B6647E" w:rsidRDefault="004F6E8B" w:rsidP="004F6E8B">
      <w:pPr>
        <w:spacing w:after="0" w:line="240" w:lineRule="auto"/>
        <w:jc w:val="both"/>
        <w:rPr>
          <w:rFonts w:ascii="Arial" w:hAnsi="Arial" w:cs="Arial"/>
          <w:sz w:val="20"/>
          <w:szCs w:val="20"/>
          <w:lang w:val="fr-FR" w:eastAsia="fr-FR"/>
        </w:rPr>
      </w:pPr>
    </w:p>
    <w:p w:rsidR="004F6E8B" w:rsidRPr="00B6647E" w:rsidRDefault="00946AA2" w:rsidP="004F6E8B">
      <w:pPr>
        <w:spacing w:after="0" w:line="240" w:lineRule="auto"/>
        <w:jc w:val="both"/>
        <w:rPr>
          <w:rFonts w:ascii="Arial" w:hAnsi="Arial" w:cs="Arial"/>
          <w:sz w:val="20"/>
          <w:szCs w:val="20"/>
          <w:lang w:val="fr-FR" w:eastAsia="fr-FR"/>
        </w:rPr>
      </w:pPr>
      <w:r w:rsidRPr="00B6647E">
        <w:rPr>
          <w:rFonts w:ascii="Arial" w:hAnsi="Arial" w:cs="Arial"/>
          <w:sz w:val="20"/>
          <w:szCs w:val="20"/>
          <w:lang w:val="fr-FR" w:eastAsia="fr-FR"/>
        </w:rPr>
        <w:t>Au cours de la saison C, l’utilisation des engrais a été estimée à 11,4% des ménages au plan national, à 11,8% des ménages dirigés par des hommes et à 10,2% par ceux dirigés par des femmes.</w:t>
      </w:r>
    </w:p>
    <w:p w:rsidR="00C65A8A" w:rsidRPr="00B6647E" w:rsidRDefault="00C65A8A" w:rsidP="004F6E8B">
      <w:pPr>
        <w:spacing w:after="0" w:line="240" w:lineRule="auto"/>
        <w:jc w:val="both"/>
        <w:rPr>
          <w:rFonts w:ascii="Arial" w:hAnsi="Arial" w:cs="Arial"/>
          <w:sz w:val="20"/>
          <w:szCs w:val="20"/>
          <w:lang w:val="fr-FR" w:eastAsia="fr-FR"/>
        </w:rPr>
      </w:pPr>
    </w:p>
    <w:p w:rsidR="004F6E8B" w:rsidRPr="00B6647E" w:rsidRDefault="00EF618B" w:rsidP="00592317">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t xml:space="preserve">Les </w:t>
      </w:r>
      <w:r w:rsidR="00037A65">
        <w:rPr>
          <w:rFonts w:ascii="Arial" w:hAnsi="Arial" w:cs="Arial"/>
          <w:sz w:val="20"/>
          <w:szCs w:val="20"/>
          <w:lang w:val="fr-FR" w:eastAsia="fr-FR"/>
        </w:rPr>
        <w:t xml:space="preserve">plus grandes </w:t>
      </w:r>
      <w:r w:rsidRPr="00B6647E">
        <w:rPr>
          <w:rFonts w:ascii="Arial" w:hAnsi="Arial" w:cs="Arial"/>
          <w:sz w:val="20"/>
          <w:szCs w:val="20"/>
          <w:lang w:val="fr-FR" w:eastAsia="fr-FR"/>
        </w:rPr>
        <w:t xml:space="preserve">proportions de ménages dirigés par des hommes qui </w:t>
      </w:r>
      <w:r w:rsidR="00037A65">
        <w:rPr>
          <w:rFonts w:ascii="Arial" w:hAnsi="Arial" w:cs="Arial"/>
          <w:sz w:val="20"/>
          <w:szCs w:val="20"/>
          <w:lang w:val="fr-FR" w:eastAsia="fr-FR"/>
        </w:rPr>
        <w:t xml:space="preserve">ont </w:t>
      </w:r>
      <w:r w:rsidRPr="00B6647E">
        <w:rPr>
          <w:rFonts w:ascii="Arial" w:hAnsi="Arial" w:cs="Arial"/>
          <w:sz w:val="20"/>
          <w:szCs w:val="20"/>
          <w:lang w:val="fr-FR" w:eastAsia="fr-FR"/>
        </w:rPr>
        <w:t>utilisé des engrais chimiques ont été estimées dans Muramvya (25,6%), Mwaro (24,8%) et Bururi (24,5%) et celles des ménages dirigés par des femmes ont été enregistrés dans Mwaro (30,7%), Bururi (29%), Muramvya (22,7%) et Gitega (16,1%).</w:t>
      </w:r>
      <w:r w:rsidR="00C153AE" w:rsidRPr="00B6647E">
        <w:rPr>
          <w:rFonts w:ascii="Arial" w:hAnsi="Arial" w:cs="Arial"/>
          <w:sz w:val="20"/>
          <w:szCs w:val="20"/>
          <w:lang w:val="fr-FR" w:eastAsia="fr-FR"/>
        </w:rPr>
        <w:t xml:space="preserve"> Pendant saison C, seules les provinces de Cibitoke et Makamba n’ont pas enregistrés de ménages dirigés par des femmes qui ont utilisé des engrais chimiques.</w:t>
      </w:r>
    </w:p>
    <w:p w:rsidR="007177FA" w:rsidRDefault="007177FA" w:rsidP="00705DF7">
      <w:pPr>
        <w:rPr>
          <w:rFonts w:ascii="Arial" w:hAnsi="Arial" w:cs="Arial"/>
          <w:b/>
          <w:sz w:val="20"/>
          <w:szCs w:val="20"/>
          <w:lang w:val="fr-FR" w:eastAsia="fr-FR"/>
        </w:rPr>
      </w:pPr>
    </w:p>
    <w:p w:rsidR="007177FA" w:rsidRDefault="007177FA" w:rsidP="00B2557C">
      <w:pPr>
        <w:spacing w:after="0" w:line="240" w:lineRule="auto"/>
        <w:rPr>
          <w:rFonts w:ascii="Arial" w:hAnsi="Arial" w:cs="Arial"/>
          <w:b/>
          <w:sz w:val="20"/>
          <w:szCs w:val="20"/>
          <w:lang w:val="fr-FR" w:eastAsia="fr-FR"/>
        </w:rPr>
      </w:pPr>
    </w:p>
    <w:p w:rsidR="00B2557C" w:rsidRDefault="00B2557C">
      <w:pPr>
        <w:rPr>
          <w:rFonts w:ascii="Arial" w:hAnsi="Arial" w:cs="Arial"/>
          <w:b/>
          <w:sz w:val="20"/>
          <w:szCs w:val="20"/>
          <w:lang w:val="fr-FR" w:eastAsia="fr-FR"/>
        </w:rPr>
      </w:pPr>
      <w:r>
        <w:rPr>
          <w:rFonts w:ascii="Arial" w:hAnsi="Arial" w:cs="Arial"/>
          <w:b/>
          <w:sz w:val="20"/>
          <w:szCs w:val="20"/>
          <w:lang w:val="fr-FR" w:eastAsia="fr-FR"/>
        </w:rPr>
        <w:br w:type="page"/>
      </w:r>
    </w:p>
    <w:p w:rsidR="002F315B" w:rsidRPr="00B6647E" w:rsidRDefault="002F315B" w:rsidP="00B2557C">
      <w:pPr>
        <w:spacing w:after="0" w:line="240" w:lineRule="auto"/>
        <w:rPr>
          <w:rFonts w:ascii="Arial" w:hAnsi="Arial" w:cs="Arial"/>
          <w:b/>
          <w:sz w:val="20"/>
          <w:szCs w:val="20"/>
          <w:lang w:val="fr-FR" w:eastAsia="fr-FR"/>
        </w:rPr>
      </w:pPr>
      <w:r w:rsidRPr="00B6647E">
        <w:rPr>
          <w:rFonts w:ascii="Arial" w:hAnsi="Arial" w:cs="Arial"/>
          <w:b/>
          <w:sz w:val="20"/>
          <w:szCs w:val="20"/>
          <w:lang w:val="fr-FR" w:eastAsia="fr-FR"/>
        </w:rPr>
        <w:lastRenderedPageBreak/>
        <w:t xml:space="preserve">Tableau </w:t>
      </w:r>
      <w:r w:rsidR="00705DF7" w:rsidRPr="00B6647E">
        <w:rPr>
          <w:rFonts w:ascii="Arial" w:hAnsi="Arial" w:cs="Arial"/>
          <w:b/>
          <w:sz w:val="20"/>
          <w:szCs w:val="20"/>
          <w:lang w:val="fr-FR" w:eastAsia="fr-FR"/>
        </w:rPr>
        <w:t>2</w:t>
      </w:r>
      <w:r w:rsidR="007177FA">
        <w:rPr>
          <w:rFonts w:ascii="Arial" w:hAnsi="Arial" w:cs="Arial"/>
          <w:b/>
          <w:sz w:val="20"/>
          <w:szCs w:val="20"/>
          <w:lang w:val="fr-FR" w:eastAsia="fr-FR"/>
        </w:rPr>
        <w:t>61</w:t>
      </w:r>
      <w:r w:rsidRPr="00B6647E">
        <w:rPr>
          <w:rFonts w:ascii="Arial" w:hAnsi="Arial" w:cs="Arial"/>
          <w:b/>
          <w:sz w:val="20"/>
          <w:szCs w:val="20"/>
          <w:lang w:val="fr-FR" w:eastAsia="fr-FR"/>
        </w:rPr>
        <w:t> : Proportion de ménages utilisant les engrais chimiques selon le sexe du CM et par saison</w:t>
      </w:r>
    </w:p>
    <w:p w:rsidR="00A774B2" w:rsidRPr="00B6647E" w:rsidRDefault="002F315B" w:rsidP="00B2557C">
      <w:pPr>
        <w:spacing w:after="0" w:line="240" w:lineRule="auto"/>
        <w:rPr>
          <w:lang w:val="fr-FR" w:eastAsia="fr-FR"/>
        </w:rPr>
      </w:pPr>
      <w:r w:rsidRPr="00B6647E">
        <w:rPr>
          <w:noProof/>
          <w:lang w:val="fr-FR" w:eastAsia="fr-FR"/>
        </w:rPr>
        <w:drawing>
          <wp:inline distT="0" distB="0" distL="0" distR="0">
            <wp:extent cx="5731510" cy="3818222"/>
            <wp:effectExtent l="19050" t="0" r="2540" b="0"/>
            <wp:docPr id="217"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9" cstate="print"/>
                    <a:srcRect/>
                    <a:stretch>
                      <a:fillRect/>
                    </a:stretch>
                  </pic:blipFill>
                  <pic:spPr bwMode="auto">
                    <a:xfrm>
                      <a:off x="0" y="0"/>
                      <a:ext cx="5731510" cy="3818222"/>
                    </a:xfrm>
                    <a:prstGeom prst="rect">
                      <a:avLst/>
                    </a:prstGeom>
                    <a:noFill/>
                    <a:ln w="9525">
                      <a:noFill/>
                      <a:miter lim="800000"/>
                      <a:headEnd/>
                      <a:tailEnd/>
                    </a:ln>
                  </pic:spPr>
                </pic:pic>
              </a:graphicData>
            </a:graphic>
          </wp:inline>
        </w:drawing>
      </w:r>
    </w:p>
    <w:p w:rsidR="00D55773" w:rsidRPr="00B6647E" w:rsidRDefault="00D55773" w:rsidP="00B2557C">
      <w:pPr>
        <w:pStyle w:val="Titre2"/>
        <w:keepNext w:val="0"/>
        <w:numPr>
          <w:ilvl w:val="1"/>
          <w:numId w:val="1"/>
        </w:numPr>
        <w:spacing w:before="240" w:after="200"/>
        <w:ind w:left="0" w:firstLine="0"/>
        <w:rPr>
          <w:rFonts w:cs="Arial"/>
          <w:u w:val="dotDash"/>
        </w:rPr>
      </w:pPr>
      <w:bookmarkStart w:id="346" w:name="_Toc354313929"/>
      <w:r w:rsidRPr="00B6647E">
        <w:rPr>
          <w:rFonts w:cs="Arial"/>
          <w:u w:val="dotDash"/>
        </w:rPr>
        <w:t xml:space="preserve">Proportion des ménages adhérant à une </w:t>
      </w:r>
      <w:r w:rsidR="00255770" w:rsidRPr="00B6647E">
        <w:rPr>
          <w:rFonts w:cs="Arial"/>
          <w:u w:val="dotDash"/>
        </w:rPr>
        <w:t>organisation professionnelle (</w:t>
      </w:r>
      <w:r w:rsidRPr="00B6647E">
        <w:rPr>
          <w:rFonts w:cs="Arial"/>
          <w:u w:val="dotDash"/>
        </w:rPr>
        <w:t>OP</w:t>
      </w:r>
      <w:r w:rsidR="00255770" w:rsidRPr="00B6647E">
        <w:rPr>
          <w:rFonts w:cs="Arial"/>
          <w:u w:val="dotDash"/>
        </w:rPr>
        <w:t>)</w:t>
      </w:r>
      <w:r w:rsidRPr="00B6647E">
        <w:rPr>
          <w:rFonts w:cs="Arial"/>
          <w:u w:val="dotDash"/>
        </w:rPr>
        <w:t xml:space="preserve"> par sexe du CM</w:t>
      </w:r>
      <w:bookmarkEnd w:id="346"/>
      <w:r w:rsidRPr="00B6647E">
        <w:rPr>
          <w:rFonts w:cs="Arial"/>
          <w:u w:val="dotDash"/>
        </w:rPr>
        <w:t xml:space="preserve"> </w:t>
      </w:r>
    </w:p>
    <w:p w:rsidR="00C65A8A" w:rsidRPr="00B6647E" w:rsidRDefault="00B63381" w:rsidP="00B2557C">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t>Pendant la saison A, le nombre de ménages dirigés par des hommes et adhérant à une organisation professionnel (OP) a été estimé à 297.843 ménages (24,4% du nombre total de ménages dirigés par des hommes)</w:t>
      </w:r>
      <w:r w:rsidR="00432635" w:rsidRPr="00B6647E">
        <w:rPr>
          <w:rFonts w:ascii="Arial" w:hAnsi="Arial" w:cs="Arial"/>
          <w:sz w:val="20"/>
          <w:szCs w:val="20"/>
          <w:lang w:val="fr-FR" w:eastAsia="fr-FR"/>
        </w:rPr>
        <w:t xml:space="preserve"> principalement dans les provinces de Ngozi (44.176 ménages), Kirundo (34.235 ménages), Muyinga (33.349 ménages) et Kayanza (24.657 ménages).</w:t>
      </w:r>
    </w:p>
    <w:p w:rsidR="00B63381" w:rsidRPr="00B6647E" w:rsidRDefault="00432635" w:rsidP="00B2557C">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t>C</w:t>
      </w:r>
      <w:r w:rsidR="00B63381" w:rsidRPr="00B6647E">
        <w:rPr>
          <w:rFonts w:ascii="Arial" w:hAnsi="Arial" w:cs="Arial"/>
          <w:sz w:val="20"/>
          <w:szCs w:val="20"/>
          <w:lang w:val="fr-FR" w:eastAsia="fr-FR"/>
        </w:rPr>
        <w:t>elui des ménages dirigés par des femmes a été évalué à 83.917 ménages</w:t>
      </w:r>
      <w:r w:rsidRPr="00B6647E">
        <w:rPr>
          <w:rFonts w:ascii="Arial" w:hAnsi="Arial" w:cs="Arial"/>
          <w:sz w:val="20"/>
          <w:szCs w:val="20"/>
          <w:lang w:val="fr-FR" w:eastAsia="fr-FR"/>
        </w:rPr>
        <w:t xml:space="preserve"> </w:t>
      </w:r>
      <w:r w:rsidR="00B63381" w:rsidRPr="00B6647E">
        <w:rPr>
          <w:rFonts w:ascii="Arial" w:hAnsi="Arial" w:cs="Arial"/>
          <w:sz w:val="20"/>
          <w:szCs w:val="20"/>
          <w:lang w:val="fr-FR" w:eastAsia="fr-FR"/>
        </w:rPr>
        <w:t>(25,1% du nombre total de ménages dirigés par des femmes)</w:t>
      </w:r>
      <w:r w:rsidR="00F02915" w:rsidRPr="00B6647E">
        <w:rPr>
          <w:rFonts w:ascii="Arial" w:hAnsi="Arial" w:cs="Arial"/>
          <w:sz w:val="20"/>
          <w:szCs w:val="20"/>
          <w:lang w:val="fr-FR" w:eastAsia="fr-FR"/>
        </w:rPr>
        <w:t xml:space="preserve"> essentiellement dans Kayanza (13.269 ménages), Kirundo (10.449 ménages) et Ngozi (10.404 ménages).</w:t>
      </w:r>
    </w:p>
    <w:p w:rsidR="00C65A8A" w:rsidRPr="00B6647E" w:rsidRDefault="00F02915" w:rsidP="00B2557C">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t>Au cours de la saison B</w:t>
      </w:r>
      <w:r w:rsidR="00255770" w:rsidRPr="00B6647E">
        <w:rPr>
          <w:rFonts w:ascii="Arial" w:hAnsi="Arial" w:cs="Arial"/>
          <w:sz w:val="20"/>
          <w:szCs w:val="20"/>
          <w:lang w:val="fr-FR" w:eastAsia="fr-FR"/>
        </w:rPr>
        <w:t>, les ménages dirigés par des hommes qui ont adhéré à une OP ont été estimé à 188.620 ménages (15,4% de l’ensemble des ménages dirigés par des hommes) observés principalement dans Muyinga (22.052 ménages), Kirundo (20.030 ménages), Ngozi (18.933 ménages) et Kayanza (18.221 ménages).</w:t>
      </w:r>
    </w:p>
    <w:p w:rsidR="00F02915" w:rsidRPr="00B6647E" w:rsidRDefault="00CD5257" w:rsidP="00B2557C">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t xml:space="preserve">Le nombre de ménages dirigés par des femmes et adhérant à une OP a évalué à 50.240 ménages (15% du total des ménages dirigés par des femmes) enregistrés principalement dans Gitega (10.239 ménages), </w:t>
      </w:r>
      <w:r w:rsidR="001A5692" w:rsidRPr="00B6647E">
        <w:rPr>
          <w:rFonts w:ascii="Arial" w:hAnsi="Arial" w:cs="Arial"/>
          <w:sz w:val="20"/>
          <w:szCs w:val="20"/>
          <w:lang w:val="fr-FR" w:eastAsia="fr-FR"/>
        </w:rPr>
        <w:t>Muyinga (6.654 ména</w:t>
      </w:r>
      <w:r w:rsidR="00B2557C">
        <w:rPr>
          <w:rFonts w:ascii="Arial" w:hAnsi="Arial" w:cs="Arial"/>
          <w:sz w:val="20"/>
          <w:szCs w:val="20"/>
          <w:lang w:val="fr-FR" w:eastAsia="fr-FR"/>
        </w:rPr>
        <w:t xml:space="preserve">ges) et Kayanza (6.217 ménages). </w:t>
      </w:r>
      <w:r w:rsidR="001A5692" w:rsidRPr="00B6647E">
        <w:rPr>
          <w:rFonts w:ascii="Arial" w:hAnsi="Arial" w:cs="Arial"/>
          <w:sz w:val="20"/>
          <w:szCs w:val="20"/>
          <w:lang w:val="fr-FR" w:eastAsia="fr-FR"/>
        </w:rPr>
        <w:t>Aucun ménage adhérant à une OP n’a été observé pendant la saison B.</w:t>
      </w:r>
    </w:p>
    <w:p w:rsidR="00EA5EE5" w:rsidRPr="00B6647E" w:rsidRDefault="00EA5EE5" w:rsidP="00B2557C">
      <w:pPr>
        <w:spacing w:line="240" w:lineRule="auto"/>
        <w:rPr>
          <w:rFonts w:ascii="Arial" w:hAnsi="Arial" w:cs="Arial"/>
          <w:sz w:val="20"/>
          <w:szCs w:val="20"/>
          <w:lang w:val="fr-FR" w:eastAsia="fr-FR"/>
        </w:rPr>
      </w:pPr>
    </w:p>
    <w:p w:rsidR="00EA5EE5" w:rsidRPr="00B6647E" w:rsidRDefault="00EA5EE5" w:rsidP="00B2557C">
      <w:pPr>
        <w:spacing w:line="240" w:lineRule="auto"/>
        <w:rPr>
          <w:rFonts w:ascii="Arial" w:hAnsi="Arial" w:cs="Arial"/>
          <w:sz w:val="20"/>
          <w:szCs w:val="20"/>
          <w:lang w:val="fr-FR" w:eastAsia="fr-FR"/>
        </w:rPr>
      </w:pPr>
    </w:p>
    <w:p w:rsidR="00EA5EE5" w:rsidRPr="00B6647E" w:rsidRDefault="00EA5EE5" w:rsidP="00B2557C">
      <w:pPr>
        <w:spacing w:line="240" w:lineRule="auto"/>
        <w:rPr>
          <w:rFonts w:ascii="Arial" w:hAnsi="Arial" w:cs="Arial"/>
          <w:sz w:val="20"/>
          <w:szCs w:val="20"/>
          <w:lang w:val="fr-FR" w:eastAsia="fr-FR"/>
        </w:rPr>
      </w:pPr>
    </w:p>
    <w:p w:rsidR="00B6647E" w:rsidRPr="00B6647E" w:rsidRDefault="00B6647E" w:rsidP="00B2557C">
      <w:pPr>
        <w:spacing w:line="240" w:lineRule="auto"/>
        <w:rPr>
          <w:rFonts w:ascii="Arial" w:hAnsi="Arial" w:cs="Arial"/>
          <w:b/>
          <w:sz w:val="20"/>
          <w:szCs w:val="20"/>
          <w:lang w:val="fr-FR" w:eastAsia="fr-FR"/>
        </w:rPr>
      </w:pPr>
    </w:p>
    <w:p w:rsidR="00B2557C" w:rsidRDefault="00B2557C">
      <w:pPr>
        <w:rPr>
          <w:rFonts w:ascii="Arial" w:hAnsi="Arial" w:cs="Arial"/>
          <w:b/>
          <w:sz w:val="20"/>
          <w:szCs w:val="20"/>
          <w:lang w:val="fr-FR" w:eastAsia="fr-FR"/>
        </w:rPr>
      </w:pPr>
      <w:r>
        <w:rPr>
          <w:rFonts w:ascii="Arial" w:hAnsi="Arial" w:cs="Arial"/>
          <w:b/>
          <w:sz w:val="20"/>
          <w:szCs w:val="20"/>
          <w:lang w:val="fr-FR" w:eastAsia="fr-FR"/>
        </w:rPr>
        <w:br w:type="page"/>
      </w:r>
    </w:p>
    <w:p w:rsidR="008712A2" w:rsidRPr="00B6647E" w:rsidRDefault="008712A2" w:rsidP="00705DF7">
      <w:pPr>
        <w:rPr>
          <w:rFonts w:ascii="Arial" w:hAnsi="Arial" w:cs="Arial"/>
          <w:b/>
          <w:sz w:val="20"/>
          <w:szCs w:val="20"/>
          <w:lang w:val="fr-FR" w:eastAsia="fr-FR"/>
        </w:rPr>
      </w:pPr>
      <w:r w:rsidRPr="00B6647E">
        <w:rPr>
          <w:rFonts w:ascii="Arial" w:hAnsi="Arial" w:cs="Arial"/>
          <w:b/>
          <w:sz w:val="20"/>
          <w:szCs w:val="20"/>
          <w:lang w:val="fr-FR" w:eastAsia="fr-FR"/>
        </w:rPr>
        <w:lastRenderedPageBreak/>
        <w:t xml:space="preserve">Tableau </w:t>
      </w:r>
      <w:r w:rsidR="00705DF7" w:rsidRPr="00B6647E">
        <w:rPr>
          <w:rFonts w:ascii="Arial" w:hAnsi="Arial" w:cs="Arial"/>
          <w:b/>
          <w:sz w:val="20"/>
          <w:szCs w:val="20"/>
          <w:lang w:val="fr-FR" w:eastAsia="fr-FR"/>
        </w:rPr>
        <w:t>2</w:t>
      </w:r>
      <w:r w:rsidR="007177FA">
        <w:rPr>
          <w:rFonts w:ascii="Arial" w:hAnsi="Arial" w:cs="Arial"/>
          <w:b/>
          <w:sz w:val="20"/>
          <w:szCs w:val="20"/>
          <w:lang w:val="fr-FR" w:eastAsia="fr-FR"/>
        </w:rPr>
        <w:t>62</w:t>
      </w:r>
      <w:r w:rsidRPr="00B6647E">
        <w:rPr>
          <w:rFonts w:ascii="Arial" w:hAnsi="Arial" w:cs="Arial"/>
          <w:b/>
          <w:sz w:val="20"/>
          <w:szCs w:val="20"/>
          <w:lang w:val="fr-FR" w:eastAsia="fr-FR"/>
        </w:rPr>
        <w:t> : Nombre de ménages dirigés par des hommes</w:t>
      </w:r>
      <w:r w:rsidR="00B63381" w:rsidRPr="00B6647E">
        <w:rPr>
          <w:rFonts w:ascii="Arial" w:hAnsi="Arial" w:cs="Arial"/>
          <w:b/>
          <w:sz w:val="20"/>
          <w:szCs w:val="20"/>
          <w:lang w:val="fr-FR" w:eastAsia="fr-FR"/>
        </w:rPr>
        <w:t xml:space="preserve"> et</w:t>
      </w:r>
      <w:r w:rsidRPr="00B6647E">
        <w:rPr>
          <w:rFonts w:ascii="Arial" w:hAnsi="Arial" w:cs="Arial"/>
          <w:b/>
          <w:sz w:val="20"/>
          <w:szCs w:val="20"/>
          <w:lang w:val="fr-FR" w:eastAsia="fr-FR"/>
        </w:rPr>
        <w:t xml:space="preserve"> adhérant à une O</w:t>
      </w:r>
      <w:r w:rsidR="00193823" w:rsidRPr="00B6647E">
        <w:rPr>
          <w:rFonts w:ascii="Arial" w:hAnsi="Arial" w:cs="Arial"/>
          <w:b/>
          <w:sz w:val="20"/>
          <w:szCs w:val="20"/>
          <w:lang w:val="fr-FR" w:eastAsia="fr-FR"/>
        </w:rPr>
        <w:t>P</w:t>
      </w:r>
      <w:r w:rsidRPr="00B6647E">
        <w:rPr>
          <w:rFonts w:ascii="Arial" w:hAnsi="Arial" w:cs="Arial"/>
          <w:b/>
          <w:sz w:val="20"/>
          <w:szCs w:val="20"/>
          <w:lang w:val="fr-FR" w:eastAsia="fr-FR"/>
        </w:rPr>
        <w:t xml:space="preserve"> par saison</w:t>
      </w:r>
    </w:p>
    <w:p w:rsidR="008712A2" w:rsidRPr="00B6647E" w:rsidRDefault="008712A2" w:rsidP="00EA5EE5">
      <w:pPr>
        <w:spacing w:after="120" w:line="240" w:lineRule="auto"/>
        <w:rPr>
          <w:lang w:val="fr-FR" w:eastAsia="fr-FR"/>
        </w:rPr>
      </w:pPr>
      <w:r w:rsidRPr="00B6647E">
        <w:rPr>
          <w:noProof/>
          <w:lang w:val="fr-FR" w:eastAsia="fr-FR"/>
        </w:rPr>
        <w:drawing>
          <wp:inline distT="0" distB="0" distL="0" distR="0">
            <wp:extent cx="5600700" cy="3457575"/>
            <wp:effectExtent l="19050" t="0" r="0" b="0"/>
            <wp:docPr id="19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0" cstate="print"/>
                    <a:srcRect/>
                    <a:stretch>
                      <a:fillRect/>
                    </a:stretch>
                  </pic:blipFill>
                  <pic:spPr bwMode="auto">
                    <a:xfrm>
                      <a:off x="0" y="0"/>
                      <a:ext cx="5600700" cy="3457575"/>
                    </a:xfrm>
                    <a:prstGeom prst="rect">
                      <a:avLst/>
                    </a:prstGeom>
                    <a:noFill/>
                    <a:ln w="9525">
                      <a:noFill/>
                      <a:miter lim="800000"/>
                      <a:headEnd/>
                      <a:tailEnd/>
                    </a:ln>
                  </pic:spPr>
                </pic:pic>
              </a:graphicData>
            </a:graphic>
          </wp:inline>
        </w:drawing>
      </w:r>
    </w:p>
    <w:p w:rsidR="00EA5EE5" w:rsidRPr="00B6647E" w:rsidRDefault="00EA5EE5" w:rsidP="00EA5EE5">
      <w:pPr>
        <w:spacing w:after="120" w:line="240" w:lineRule="auto"/>
        <w:jc w:val="both"/>
        <w:rPr>
          <w:rFonts w:ascii="Arial" w:hAnsi="Arial" w:cs="Arial"/>
          <w:sz w:val="20"/>
          <w:szCs w:val="20"/>
          <w:lang w:val="fr-FR" w:eastAsia="fr-FR"/>
        </w:rPr>
      </w:pPr>
      <w:r w:rsidRPr="00B6647E">
        <w:rPr>
          <w:rFonts w:ascii="Arial" w:hAnsi="Arial" w:cs="Arial"/>
          <w:sz w:val="20"/>
          <w:szCs w:val="20"/>
          <w:lang w:val="fr-FR" w:eastAsia="fr-FR"/>
        </w:rPr>
        <w:t>En saison C, il y a 172.602 ménages dirigés par des hommes adhérant à une OP (14,1% du nombre total de ménages dirigés par des hommes). Les plus grands effectifs ont été observés dans Ngozi (22.987 ménages), Muyinga (20.615 ménages), Kirundo (14.170 ménages), Bururi (13.844 ménages) et Muramvya (13.810 ménages). Il y a 44.805 ménages (13,4% de l’effectif total des ménages dirigés par des femmes) adhérant à une OP parmi ceux dirigés par des femmes.</w:t>
      </w:r>
    </w:p>
    <w:p w:rsidR="00EA5EE5" w:rsidRPr="00B6647E" w:rsidRDefault="00EA5EE5" w:rsidP="00EA5EE5">
      <w:pPr>
        <w:spacing w:after="120" w:line="240" w:lineRule="auto"/>
        <w:rPr>
          <w:lang w:val="fr-FR" w:eastAsia="fr-FR"/>
        </w:rPr>
      </w:pPr>
    </w:p>
    <w:p w:rsidR="008712A2" w:rsidRPr="00B6647E" w:rsidRDefault="008712A2" w:rsidP="00705DF7">
      <w:pPr>
        <w:rPr>
          <w:rFonts w:ascii="Arial" w:hAnsi="Arial" w:cs="Arial"/>
          <w:b/>
          <w:sz w:val="20"/>
          <w:szCs w:val="20"/>
          <w:lang w:val="fr-FR" w:eastAsia="fr-FR"/>
        </w:rPr>
      </w:pPr>
      <w:r w:rsidRPr="00B6647E">
        <w:rPr>
          <w:rFonts w:ascii="Arial" w:hAnsi="Arial" w:cs="Arial"/>
          <w:b/>
          <w:sz w:val="20"/>
          <w:szCs w:val="20"/>
          <w:lang w:val="fr-FR" w:eastAsia="fr-FR"/>
        </w:rPr>
        <w:t xml:space="preserve">Tableau </w:t>
      </w:r>
      <w:r w:rsidR="00705DF7" w:rsidRPr="00B6647E">
        <w:rPr>
          <w:rFonts w:ascii="Arial" w:hAnsi="Arial" w:cs="Arial"/>
          <w:b/>
          <w:sz w:val="20"/>
          <w:szCs w:val="20"/>
          <w:lang w:val="fr-FR" w:eastAsia="fr-FR"/>
        </w:rPr>
        <w:t>2</w:t>
      </w:r>
      <w:r w:rsidR="007177FA">
        <w:rPr>
          <w:rFonts w:ascii="Arial" w:hAnsi="Arial" w:cs="Arial"/>
          <w:b/>
          <w:sz w:val="20"/>
          <w:szCs w:val="20"/>
          <w:lang w:val="fr-FR" w:eastAsia="fr-FR"/>
        </w:rPr>
        <w:t>63</w:t>
      </w:r>
      <w:r w:rsidRPr="00B6647E">
        <w:rPr>
          <w:rFonts w:ascii="Arial" w:hAnsi="Arial" w:cs="Arial"/>
          <w:b/>
          <w:sz w:val="20"/>
          <w:szCs w:val="20"/>
          <w:lang w:val="fr-FR" w:eastAsia="fr-FR"/>
        </w:rPr>
        <w:t> : Nombre de ménages dirigés par des femmes adhérant à une O</w:t>
      </w:r>
      <w:r w:rsidR="00193823" w:rsidRPr="00B6647E">
        <w:rPr>
          <w:rFonts w:ascii="Arial" w:hAnsi="Arial" w:cs="Arial"/>
          <w:b/>
          <w:sz w:val="20"/>
          <w:szCs w:val="20"/>
          <w:lang w:val="fr-FR" w:eastAsia="fr-FR"/>
        </w:rPr>
        <w:t>P</w:t>
      </w:r>
      <w:r w:rsidRPr="00B6647E">
        <w:rPr>
          <w:rFonts w:ascii="Arial" w:hAnsi="Arial" w:cs="Arial"/>
          <w:b/>
          <w:sz w:val="20"/>
          <w:szCs w:val="20"/>
          <w:lang w:val="fr-FR" w:eastAsia="fr-FR"/>
        </w:rPr>
        <w:t xml:space="preserve"> par saison</w:t>
      </w:r>
    </w:p>
    <w:p w:rsidR="00A774B2" w:rsidRPr="00B6647E" w:rsidRDefault="008712A2" w:rsidP="00A774B2">
      <w:pPr>
        <w:rPr>
          <w:lang w:val="fr-FR" w:eastAsia="fr-FR"/>
        </w:rPr>
      </w:pPr>
      <w:r w:rsidRPr="00B6647E">
        <w:rPr>
          <w:noProof/>
          <w:lang w:val="fr-FR" w:eastAsia="fr-FR"/>
        </w:rPr>
        <w:drawing>
          <wp:inline distT="0" distB="0" distL="0" distR="0">
            <wp:extent cx="5731510" cy="3382989"/>
            <wp:effectExtent l="19050" t="0" r="2540" b="0"/>
            <wp:docPr id="18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1" cstate="print"/>
                    <a:srcRect/>
                    <a:stretch>
                      <a:fillRect/>
                    </a:stretch>
                  </pic:blipFill>
                  <pic:spPr bwMode="auto">
                    <a:xfrm>
                      <a:off x="0" y="0"/>
                      <a:ext cx="5731510" cy="3382989"/>
                    </a:xfrm>
                    <a:prstGeom prst="rect">
                      <a:avLst/>
                    </a:prstGeom>
                    <a:noFill/>
                    <a:ln w="9525">
                      <a:noFill/>
                      <a:miter lim="800000"/>
                      <a:headEnd/>
                      <a:tailEnd/>
                    </a:ln>
                  </pic:spPr>
                </pic:pic>
              </a:graphicData>
            </a:graphic>
          </wp:inline>
        </w:drawing>
      </w:r>
    </w:p>
    <w:p w:rsidR="00457485" w:rsidRPr="00B6647E" w:rsidRDefault="00457485" w:rsidP="00457485">
      <w:pPr>
        <w:spacing w:after="120" w:line="240" w:lineRule="auto"/>
        <w:jc w:val="both"/>
        <w:rPr>
          <w:rFonts w:ascii="Arial" w:hAnsi="Arial" w:cs="Arial"/>
          <w:sz w:val="20"/>
          <w:szCs w:val="20"/>
          <w:lang w:val="fr-FR" w:eastAsia="fr-FR"/>
        </w:rPr>
      </w:pPr>
      <w:r w:rsidRPr="00B6647E">
        <w:rPr>
          <w:rFonts w:ascii="Arial" w:hAnsi="Arial" w:cs="Arial"/>
          <w:sz w:val="20"/>
          <w:szCs w:val="20"/>
          <w:lang w:val="fr-FR" w:eastAsia="fr-FR"/>
        </w:rPr>
        <w:lastRenderedPageBreak/>
        <w:t>Les nombres les plus élevés ont été enregistrés dans les provinces de Gitega (8.575 ménages), Muyinga (4.930 ménages) et Mwaro (4.081 ménages). Les provinces de Cankuzo et Cibitoke n’ont pas enregistré de ménages dirigés par des femmes et adhérant à une OP.</w:t>
      </w:r>
    </w:p>
    <w:p w:rsidR="00D55773" w:rsidRPr="00B6647E" w:rsidRDefault="00D55773" w:rsidP="0052337E">
      <w:pPr>
        <w:pStyle w:val="Titre2"/>
        <w:keepNext w:val="0"/>
        <w:numPr>
          <w:ilvl w:val="1"/>
          <w:numId w:val="1"/>
        </w:numPr>
        <w:spacing w:before="240" w:after="200"/>
        <w:ind w:left="0" w:firstLine="0"/>
        <w:rPr>
          <w:rFonts w:cs="Arial"/>
          <w:u w:val="dotDash"/>
        </w:rPr>
      </w:pPr>
      <w:bookmarkStart w:id="347" w:name="_Toc354313930"/>
      <w:r w:rsidRPr="00B6647E">
        <w:rPr>
          <w:rFonts w:cs="Arial"/>
          <w:u w:val="dotDash"/>
        </w:rPr>
        <w:t>Proportion des ménages encadrés par sexe du CM</w:t>
      </w:r>
      <w:bookmarkEnd w:id="347"/>
    </w:p>
    <w:p w:rsidR="00383FF4" w:rsidRPr="00B6647E" w:rsidRDefault="00D27318" w:rsidP="00D27318">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t xml:space="preserve">Le nombre de ménages dirigés par des hommes et encadrés à  été estimé à 193.465 ménages en saison A (15,8% de l’ensemble des ménages dirigés par des hommes), à 110.112 </w:t>
      </w:r>
      <w:r w:rsidR="002C4CCD" w:rsidRPr="00B6647E">
        <w:rPr>
          <w:rFonts w:ascii="Arial" w:hAnsi="Arial" w:cs="Arial"/>
          <w:sz w:val="20"/>
          <w:szCs w:val="20"/>
          <w:lang w:val="fr-FR" w:eastAsia="fr-FR"/>
        </w:rPr>
        <w:t>ménages (</w:t>
      </w:r>
      <w:r w:rsidRPr="00B6647E">
        <w:rPr>
          <w:rFonts w:ascii="Arial" w:hAnsi="Arial" w:cs="Arial"/>
          <w:sz w:val="20"/>
          <w:szCs w:val="20"/>
          <w:lang w:val="fr-FR" w:eastAsia="fr-FR"/>
        </w:rPr>
        <w:t xml:space="preserve">9%) pendant la saison B et </w:t>
      </w:r>
      <w:r w:rsidR="002C4CCD" w:rsidRPr="00B6647E">
        <w:rPr>
          <w:rFonts w:ascii="Arial" w:hAnsi="Arial" w:cs="Arial"/>
          <w:sz w:val="20"/>
          <w:szCs w:val="20"/>
          <w:lang w:val="fr-FR" w:eastAsia="fr-FR"/>
        </w:rPr>
        <w:t xml:space="preserve">à </w:t>
      </w:r>
      <w:r w:rsidRPr="00B6647E">
        <w:rPr>
          <w:rFonts w:ascii="Arial" w:hAnsi="Arial" w:cs="Arial"/>
          <w:sz w:val="20"/>
          <w:szCs w:val="20"/>
          <w:lang w:val="fr-FR" w:eastAsia="fr-FR"/>
        </w:rPr>
        <w:t xml:space="preserve">113.111 ménages (9,3%) au cours de la saison C. </w:t>
      </w:r>
    </w:p>
    <w:p w:rsidR="001F5523" w:rsidRPr="00B6647E" w:rsidRDefault="001F5523" w:rsidP="00D27318">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t>Au cours de la saison A, Kirundo (24.448 ménages), Ngozi (18.539 ménages) et Mwaro (17.266 ménages) ont eu les effectifs les plus élevés de ménages encadrés dirigés par des hommes et à l’opposé, les plus petits nombres de ces ménages ont été estimés dans Cankuzo (3.818 ménages), Bubanza (5.290 ménages) et Rutana (5.877 ménages).</w:t>
      </w:r>
    </w:p>
    <w:p w:rsidR="00383FF4" w:rsidRPr="00B6647E" w:rsidRDefault="00383FF4" w:rsidP="00D27318">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t>En saison</w:t>
      </w:r>
      <w:r w:rsidR="001F5523" w:rsidRPr="00B6647E">
        <w:rPr>
          <w:rFonts w:ascii="Arial" w:hAnsi="Arial" w:cs="Arial"/>
          <w:sz w:val="20"/>
          <w:szCs w:val="20"/>
          <w:lang w:val="fr-FR" w:eastAsia="fr-FR"/>
        </w:rPr>
        <w:t xml:space="preserve"> B</w:t>
      </w:r>
      <w:r w:rsidRPr="00B6647E">
        <w:rPr>
          <w:rFonts w:ascii="Arial" w:hAnsi="Arial" w:cs="Arial"/>
          <w:sz w:val="20"/>
          <w:szCs w:val="20"/>
          <w:lang w:val="fr-FR" w:eastAsia="fr-FR"/>
        </w:rPr>
        <w:t xml:space="preserve">, Muyinga (13.345 ménages) et Bururi (11.854 ménages) ont </w:t>
      </w:r>
      <w:r w:rsidR="001F5523" w:rsidRPr="00B6647E">
        <w:rPr>
          <w:rFonts w:ascii="Arial" w:hAnsi="Arial" w:cs="Arial"/>
          <w:sz w:val="20"/>
          <w:szCs w:val="20"/>
          <w:lang w:val="fr-FR" w:eastAsia="fr-FR"/>
        </w:rPr>
        <w:t>enregistrés</w:t>
      </w:r>
      <w:r w:rsidRPr="00B6647E">
        <w:rPr>
          <w:rFonts w:ascii="Arial" w:hAnsi="Arial" w:cs="Arial"/>
          <w:sz w:val="20"/>
          <w:szCs w:val="20"/>
          <w:lang w:val="fr-FR" w:eastAsia="fr-FR"/>
        </w:rPr>
        <w:t xml:space="preserve"> les </w:t>
      </w:r>
      <w:r w:rsidR="001F5523" w:rsidRPr="00B6647E">
        <w:rPr>
          <w:rFonts w:ascii="Arial" w:hAnsi="Arial" w:cs="Arial"/>
          <w:sz w:val="20"/>
          <w:szCs w:val="20"/>
          <w:lang w:val="fr-FR" w:eastAsia="fr-FR"/>
        </w:rPr>
        <w:t xml:space="preserve">plus grands </w:t>
      </w:r>
      <w:r w:rsidRPr="00B6647E">
        <w:rPr>
          <w:rFonts w:ascii="Arial" w:hAnsi="Arial" w:cs="Arial"/>
          <w:sz w:val="20"/>
          <w:szCs w:val="20"/>
          <w:lang w:val="fr-FR" w:eastAsia="fr-FR"/>
        </w:rPr>
        <w:t xml:space="preserve">nombres </w:t>
      </w:r>
      <w:r w:rsidR="001F5523" w:rsidRPr="00B6647E">
        <w:rPr>
          <w:rFonts w:ascii="Arial" w:hAnsi="Arial" w:cs="Arial"/>
          <w:sz w:val="20"/>
          <w:szCs w:val="20"/>
          <w:lang w:val="fr-FR" w:eastAsia="fr-FR"/>
        </w:rPr>
        <w:t>de ménages encadrés dirigés par des hommes et les plus petits effectifs dans Bubanza (2.109 ménages), Rutana (2.199 ménages) et Cankuzo (2.871 ménages).</w:t>
      </w:r>
    </w:p>
    <w:p w:rsidR="00D27318" w:rsidRPr="00B6647E" w:rsidRDefault="00383FF4" w:rsidP="00D27318">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t>Pendant la saison C, l</w:t>
      </w:r>
      <w:r w:rsidR="00D27318" w:rsidRPr="00B6647E">
        <w:rPr>
          <w:rFonts w:ascii="Arial" w:hAnsi="Arial" w:cs="Arial"/>
          <w:sz w:val="20"/>
          <w:szCs w:val="20"/>
          <w:lang w:val="fr-FR" w:eastAsia="fr-FR"/>
        </w:rPr>
        <w:t xml:space="preserve">es provinces ayant les effectifs </w:t>
      </w:r>
      <w:r w:rsidR="002C4CCD" w:rsidRPr="00B6647E">
        <w:rPr>
          <w:rFonts w:ascii="Arial" w:hAnsi="Arial" w:cs="Arial"/>
          <w:sz w:val="20"/>
          <w:szCs w:val="20"/>
          <w:lang w:val="fr-FR" w:eastAsia="fr-FR"/>
        </w:rPr>
        <w:t xml:space="preserve">les plus élevés </w:t>
      </w:r>
      <w:r w:rsidR="00D27318" w:rsidRPr="00B6647E">
        <w:rPr>
          <w:rFonts w:ascii="Arial" w:hAnsi="Arial" w:cs="Arial"/>
          <w:sz w:val="20"/>
          <w:szCs w:val="20"/>
          <w:lang w:val="fr-FR" w:eastAsia="fr-FR"/>
        </w:rPr>
        <w:t>de ménages dirigés par des hommes et encadrés sont : Kirundo (14.580 ménages), Bururi (13.239 ménages) et Cibitoke (10.018 ménages)</w:t>
      </w:r>
      <w:r w:rsidRPr="00B6647E">
        <w:rPr>
          <w:rFonts w:ascii="Arial" w:hAnsi="Arial" w:cs="Arial"/>
          <w:sz w:val="20"/>
          <w:szCs w:val="20"/>
          <w:lang w:val="fr-FR" w:eastAsia="fr-FR"/>
        </w:rPr>
        <w:t xml:space="preserve">. </w:t>
      </w:r>
      <w:r w:rsidR="002C4CCD" w:rsidRPr="00B6647E">
        <w:rPr>
          <w:rFonts w:ascii="Arial" w:hAnsi="Arial" w:cs="Arial"/>
          <w:sz w:val="20"/>
          <w:szCs w:val="20"/>
          <w:lang w:val="fr-FR" w:eastAsia="fr-FR"/>
        </w:rPr>
        <w:t>L</w:t>
      </w:r>
      <w:r w:rsidR="00D27318" w:rsidRPr="00B6647E">
        <w:rPr>
          <w:rFonts w:ascii="Arial" w:hAnsi="Arial" w:cs="Arial"/>
          <w:sz w:val="20"/>
          <w:szCs w:val="20"/>
          <w:lang w:val="fr-FR" w:eastAsia="fr-FR"/>
        </w:rPr>
        <w:t xml:space="preserve">es effectifs les plus petits ont été enregistrés dans </w:t>
      </w:r>
      <w:r w:rsidR="002C4CCD" w:rsidRPr="00B6647E">
        <w:rPr>
          <w:rFonts w:ascii="Arial" w:hAnsi="Arial" w:cs="Arial"/>
          <w:sz w:val="20"/>
          <w:szCs w:val="20"/>
          <w:lang w:val="fr-FR" w:eastAsia="fr-FR"/>
        </w:rPr>
        <w:t>Bubanza (1.710 ménages), Gitega (1.760 ménages) et Cankuzo (2.736 ménages).</w:t>
      </w:r>
    </w:p>
    <w:p w:rsidR="008712A2" w:rsidRPr="00B6647E" w:rsidRDefault="008712A2" w:rsidP="008712A2">
      <w:pPr>
        <w:rPr>
          <w:rFonts w:ascii="Arial" w:hAnsi="Arial" w:cs="Arial"/>
          <w:b/>
          <w:sz w:val="20"/>
          <w:szCs w:val="20"/>
          <w:lang w:val="fr-FR" w:eastAsia="fr-FR"/>
        </w:rPr>
      </w:pPr>
      <w:r w:rsidRPr="00B6647E">
        <w:rPr>
          <w:rFonts w:ascii="Arial" w:hAnsi="Arial" w:cs="Arial"/>
          <w:b/>
          <w:sz w:val="20"/>
          <w:szCs w:val="20"/>
          <w:lang w:val="fr-FR" w:eastAsia="fr-FR"/>
        </w:rPr>
        <w:t xml:space="preserve">Tableau </w:t>
      </w:r>
      <w:r w:rsidR="00705DF7" w:rsidRPr="00B6647E">
        <w:rPr>
          <w:rFonts w:ascii="Arial" w:hAnsi="Arial" w:cs="Arial"/>
          <w:b/>
          <w:sz w:val="20"/>
          <w:szCs w:val="20"/>
          <w:lang w:val="fr-FR" w:eastAsia="fr-FR"/>
        </w:rPr>
        <w:t>2</w:t>
      </w:r>
      <w:r w:rsidR="007177FA">
        <w:rPr>
          <w:rFonts w:ascii="Arial" w:hAnsi="Arial" w:cs="Arial"/>
          <w:b/>
          <w:sz w:val="20"/>
          <w:szCs w:val="20"/>
          <w:lang w:val="fr-FR" w:eastAsia="fr-FR"/>
        </w:rPr>
        <w:t>64</w:t>
      </w:r>
      <w:r w:rsidRPr="00B6647E">
        <w:rPr>
          <w:rFonts w:ascii="Arial" w:hAnsi="Arial" w:cs="Arial"/>
          <w:b/>
          <w:sz w:val="20"/>
          <w:szCs w:val="20"/>
          <w:lang w:val="fr-FR" w:eastAsia="fr-FR"/>
        </w:rPr>
        <w:t> : Nombre de ménages encadrés dirigés par des hommes par saison</w:t>
      </w:r>
    </w:p>
    <w:p w:rsidR="00383FF4" w:rsidRPr="00B6647E" w:rsidRDefault="008712A2" w:rsidP="00383FF4">
      <w:pPr>
        <w:jc w:val="both"/>
        <w:rPr>
          <w:rFonts w:ascii="Arial" w:hAnsi="Arial" w:cs="Arial"/>
          <w:sz w:val="20"/>
          <w:szCs w:val="20"/>
          <w:lang w:val="fr-FR" w:eastAsia="fr-FR"/>
        </w:rPr>
      </w:pPr>
      <w:r w:rsidRPr="00B6647E">
        <w:rPr>
          <w:noProof/>
          <w:lang w:val="fr-FR" w:eastAsia="fr-FR"/>
        </w:rPr>
        <w:drawing>
          <wp:inline distT="0" distB="0" distL="0" distR="0">
            <wp:extent cx="5600700" cy="3457575"/>
            <wp:effectExtent l="19050" t="0" r="0" b="0"/>
            <wp:docPr id="17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2" cstate="print"/>
                    <a:srcRect/>
                    <a:stretch>
                      <a:fillRect/>
                    </a:stretch>
                  </pic:blipFill>
                  <pic:spPr bwMode="auto">
                    <a:xfrm>
                      <a:off x="0" y="0"/>
                      <a:ext cx="5600700" cy="3457575"/>
                    </a:xfrm>
                    <a:prstGeom prst="rect">
                      <a:avLst/>
                    </a:prstGeom>
                    <a:noFill/>
                    <a:ln w="9525">
                      <a:noFill/>
                      <a:miter lim="800000"/>
                      <a:headEnd/>
                      <a:tailEnd/>
                    </a:ln>
                  </pic:spPr>
                </pic:pic>
              </a:graphicData>
            </a:graphic>
          </wp:inline>
        </w:drawing>
      </w:r>
      <w:r w:rsidR="002C4CCD" w:rsidRPr="00B6647E">
        <w:rPr>
          <w:rFonts w:ascii="Arial" w:hAnsi="Arial" w:cs="Arial"/>
          <w:sz w:val="20"/>
          <w:szCs w:val="20"/>
          <w:lang w:val="fr-FR" w:eastAsia="fr-FR"/>
        </w:rPr>
        <w:t xml:space="preserve">Le nombre de ménages dirigés par des femmes et encadrés </w:t>
      </w:r>
      <w:r w:rsidR="00037A65">
        <w:rPr>
          <w:rFonts w:ascii="Arial" w:hAnsi="Arial" w:cs="Arial"/>
          <w:sz w:val="20"/>
          <w:szCs w:val="20"/>
          <w:lang w:val="fr-FR" w:eastAsia="fr-FR"/>
        </w:rPr>
        <w:t>a</w:t>
      </w:r>
      <w:r w:rsidR="002C4CCD" w:rsidRPr="00B6647E">
        <w:rPr>
          <w:rFonts w:ascii="Arial" w:hAnsi="Arial" w:cs="Arial"/>
          <w:sz w:val="20"/>
          <w:szCs w:val="20"/>
          <w:lang w:val="fr-FR" w:eastAsia="fr-FR"/>
        </w:rPr>
        <w:t xml:space="preserve"> été estimé à 44.212 ménages en saison A (13,2% de l’ensemble des ménages dirigés par des femmes), à 28.871 ménages (8,6%) pendant la saison B et à 26.172 ménages (7,8%) au cours de la saison C. </w:t>
      </w:r>
    </w:p>
    <w:p w:rsidR="001F5523" w:rsidRPr="00B6647E" w:rsidRDefault="001F5523" w:rsidP="001F5523">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t xml:space="preserve">Pendant la saison A, </w:t>
      </w:r>
      <w:r w:rsidR="00376AC7" w:rsidRPr="00B6647E">
        <w:rPr>
          <w:rFonts w:ascii="Arial" w:hAnsi="Arial" w:cs="Arial"/>
          <w:sz w:val="20"/>
          <w:szCs w:val="20"/>
          <w:lang w:val="fr-FR" w:eastAsia="fr-FR"/>
        </w:rPr>
        <w:t>Kayanza</w:t>
      </w:r>
      <w:r w:rsidRPr="00B6647E">
        <w:rPr>
          <w:rFonts w:ascii="Arial" w:hAnsi="Arial" w:cs="Arial"/>
          <w:sz w:val="20"/>
          <w:szCs w:val="20"/>
          <w:lang w:val="fr-FR" w:eastAsia="fr-FR"/>
        </w:rPr>
        <w:t xml:space="preserve"> (</w:t>
      </w:r>
      <w:r w:rsidR="00376AC7" w:rsidRPr="00B6647E">
        <w:rPr>
          <w:rFonts w:ascii="Arial" w:hAnsi="Arial" w:cs="Arial"/>
          <w:sz w:val="20"/>
          <w:szCs w:val="20"/>
          <w:lang w:val="fr-FR" w:eastAsia="fr-FR"/>
        </w:rPr>
        <w:t>6.</w:t>
      </w:r>
      <w:r w:rsidRPr="00B6647E">
        <w:rPr>
          <w:rFonts w:ascii="Arial" w:hAnsi="Arial" w:cs="Arial"/>
          <w:sz w:val="20"/>
          <w:szCs w:val="20"/>
          <w:lang w:val="fr-FR" w:eastAsia="fr-FR"/>
        </w:rPr>
        <w:t>.</w:t>
      </w:r>
      <w:r w:rsidR="00376AC7" w:rsidRPr="00B6647E">
        <w:rPr>
          <w:rFonts w:ascii="Arial" w:hAnsi="Arial" w:cs="Arial"/>
          <w:sz w:val="20"/>
          <w:szCs w:val="20"/>
          <w:lang w:val="fr-FR" w:eastAsia="fr-FR"/>
        </w:rPr>
        <w:t>0</w:t>
      </w:r>
      <w:r w:rsidRPr="00B6647E">
        <w:rPr>
          <w:rFonts w:ascii="Arial" w:hAnsi="Arial" w:cs="Arial"/>
          <w:sz w:val="20"/>
          <w:szCs w:val="20"/>
          <w:lang w:val="fr-FR" w:eastAsia="fr-FR"/>
        </w:rPr>
        <w:t xml:space="preserve">44 ménages), </w:t>
      </w:r>
      <w:r w:rsidR="00376AC7" w:rsidRPr="00B6647E">
        <w:rPr>
          <w:rFonts w:ascii="Arial" w:hAnsi="Arial" w:cs="Arial"/>
          <w:sz w:val="20"/>
          <w:szCs w:val="20"/>
          <w:lang w:val="fr-FR" w:eastAsia="fr-FR"/>
        </w:rPr>
        <w:t>Gitega (5.579</w:t>
      </w:r>
      <w:r w:rsidRPr="00B6647E">
        <w:rPr>
          <w:rFonts w:ascii="Arial" w:hAnsi="Arial" w:cs="Arial"/>
          <w:sz w:val="20"/>
          <w:szCs w:val="20"/>
          <w:lang w:val="fr-FR" w:eastAsia="fr-FR"/>
        </w:rPr>
        <w:t xml:space="preserve"> ménages) et </w:t>
      </w:r>
      <w:r w:rsidR="00376AC7" w:rsidRPr="00B6647E">
        <w:rPr>
          <w:rFonts w:ascii="Arial" w:hAnsi="Arial" w:cs="Arial"/>
          <w:sz w:val="20"/>
          <w:szCs w:val="20"/>
          <w:lang w:val="fr-FR" w:eastAsia="fr-FR"/>
        </w:rPr>
        <w:t>Muyinga</w:t>
      </w:r>
      <w:r w:rsidRPr="00B6647E">
        <w:rPr>
          <w:rFonts w:ascii="Arial" w:hAnsi="Arial" w:cs="Arial"/>
          <w:sz w:val="20"/>
          <w:szCs w:val="20"/>
          <w:lang w:val="fr-FR" w:eastAsia="fr-FR"/>
        </w:rPr>
        <w:t xml:space="preserve"> (</w:t>
      </w:r>
      <w:r w:rsidR="00376AC7" w:rsidRPr="00B6647E">
        <w:rPr>
          <w:rFonts w:ascii="Arial" w:hAnsi="Arial" w:cs="Arial"/>
          <w:sz w:val="20"/>
          <w:szCs w:val="20"/>
          <w:lang w:val="fr-FR" w:eastAsia="fr-FR"/>
        </w:rPr>
        <w:t>5.285</w:t>
      </w:r>
      <w:r w:rsidRPr="00B6647E">
        <w:rPr>
          <w:rFonts w:ascii="Arial" w:hAnsi="Arial" w:cs="Arial"/>
          <w:sz w:val="20"/>
          <w:szCs w:val="20"/>
          <w:lang w:val="fr-FR" w:eastAsia="fr-FR"/>
        </w:rPr>
        <w:t xml:space="preserve"> ménages) ont eu les effectifs les plus élevés de ménages encadrés dirigés</w:t>
      </w:r>
      <w:r w:rsidR="00376AC7" w:rsidRPr="00B6647E">
        <w:rPr>
          <w:rFonts w:ascii="Arial" w:hAnsi="Arial" w:cs="Arial"/>
          <w:sz w:val="20"/>
          <w:szCs w:val="20"/>
          <w:lang w:val="fr-FR" w:eastAsia="fr-FR"/>
        </w:rPr>
        <w:t xml:space="preserve"> par des fe</w:t>
      </w:r>
      <w:r w:rsidRPr="00B6647E">
        <w:rPr>
          <w:rFonts w:ascii="Arial" w:hAnsi="Arial" w:cs="Arial"/>
          <w:sz w:val="20"/>
          <w:szCs w:val="20"/>
          <w:lang w:val="fr-FR" w:eastAsia="fr-FR"/>
        </w:rPr>
        <w:t xml:space="preserve">mmes et à l’opposé, les plus petits nombres de ces ménages ont été estimés dans </w:t>
      </w:r>
      <w:r w:rsidR="00376AC7" w:rsidRPr="00B6647E">
        <w:rPr>
          <w:rFonts w:ascii="Arial" w:hAnsi="Arial" w:cs="Arial"/>
          <w:sz w:val="20"/>
          <w:szCs w:val="20"/>
          <w:lang w:val="fr-FR" w:eastAsia="fr-FR"/>
        </w:rPr>
        <w:t>Bujumbura rural (692 ménages) et Cibitoke</w:t>
      </w:r>
      <w:r w:rsidRPr="00B6647E">
        <w:rPr>
          <w:rFonts w:ascii="Arial" w:hAnsi="Arial" w:cs="Arial"/>
          <w:sz w:val="20"/>
          <w:szCs w:val="20"/>
          <w:lang w:val="fr-FR" w:eastAsia="fr-FR"/>
        </w:rPr>
        <w:t xml:space="preserve"> (</w:t>
      </w:r>
      <w:r w:rsidR="00376AC7" w:rsidRPr="00B6647E">
        <w:rPr>
          <w:rFonts w:ascii="Arial" w:hAnsi="Arial" w:cs="Arial"/>
          <w:sz w:val="20"/>
          <w:szCs w:val="20"/>
          <w:lang w:val="fr-FR" w:eastAsia="fr-FR"/>
        </w:rPr>
        <w:t>923</w:t>
      </w:r>
      <w:r w:rsidRPr="00B6647E">
        <w:rPr>
          <w:rFonts w:ascii="Arial" w:hAnsi="Arial" w:cs="Arial"/>
          <w:sz w:val="20"/>
          <w:szCs w:val="20"/>
          <w:lang w:val="fr-FR" w:eastAsia="fr-FR"/>
        </w:rPr>
        <w:t xml:space="preserve"> ménages)</w:t>
      </w:r>
      <w:r w:rsidR="00376AC7" w:rsidRPr="00B6647E">
        <w:rPr>
          <w:rFonts w:ascii="Arial" w:hAnsi="Arial" w:cs="Arial"/>
          <w:sz w:val="20"/>
          <w:szCs w:val="20"/>
          <w:lang w:val="fr-FR" w:eastAsia="fr-FR"/>
        </w:rPr>
        <w:t>.</w:t>
      </w:r>
    </w:p>
    <w:p w:rsidR="00376AC7" w:rsidRPr="00B6647E" w:rsidRDefault="00376AC7" w:rsidP="00376AC7">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lastRenderedPageBreak/>
        <w:t>En saison B, Muyinga (5.285 ménages) et Gitega (3.766 ménages) ont enregistrés les plus grands nombres de ménages encadrés dirigés par des femmes et les plus petits effectifs dans Ngozi (896 ménages) et Kirundo (968 ménages).</w:t>
      </w:r>
    </w:p>
    <w:p w:rsidR="002C4CCD" w:rsidRPr="00B6647E" w:rsidRDefault="00383FF4" w:rsidP="00383FF4">
      <w:pPr>
        <w:jc w:val="both"/>
        <w:rPr>
          <w:rFonts w:ascii="Arial" w:hAnsi="Arial" w:cs="Arial"/>
          <w:sz w:val="20"/>
          <w:szCs w:val="20"/>
          <w:lang w:val="fr-FR" w:eastAsia="fr-FR"/>
        </w:rPr>
      </w:pPr>
      <w:r w:rsidRPr="00B6647E">
        <w:rPr>
          <w:rFonts w:ascii="Arial" w:hAnsi="Arial" w:cs="Arial"/>
          <w:sz w:val="20"/>
          <w:szCs w:val="20"/>
          <w:lang w:val="fr-FR" w:eastAsia="fr-FR"/>
        </w:rPr>
        <w:t>Au cours de la saison C, l</w:t>
      </w:r>
      <w:r w:rsidR="002C4CCD" w:rsidRPr="00B6647E">
        <w:rPr>
          <w:rFonts w:ascii="Arial" w:hAnsi="Arial" w:cs="Arial"/>
          <w:sz w:val="20"/>
          <w:szCs w:val="20"/>
          <w:lang w:val="fr-FR" w:eastAsia="fr-FR"/>
        </w:rPr>
        <w:t xml:space="preserve">es provinces ayant les plus grands effectifs de ménages dirigés par des femmes et encadrés sont : Muyinga (3.562 ménages), </w:t>
      </w:r>
      <w:r w:rsidR="008A1889" w:rsidRPr="00B6647E">
        <w:rPr>
          <w:rFonts w:ascii="Arial" w:hAnsi="Arial" w:cs="Arial"/>
          <w:sz w:val="20"/>
          <w:szCs w:val="20"/>
          <w:lang w:val="fr-FR" w:eastAsia="fr-FR"/>
        </w:rPr>
        <w:t>Kayanza (2.979 ménages), Karuzi (2.894</w:t>
      </w:r>
      <w:r w:rsidR="002C4CCD" w:rsidRPr="00B6647E">
        <w:rPr>
          <w:rFonts w:ascii="Arial" w:hAnsi="Arial" w:cs="Arial"/>
          <w:sz w:val="20"/>
          <w:szCs w:val="20"/>
          <w:lang w:val="fr-FR" w:eastAsia="fr-FR"/>
        </w:rPr>
        <w:t xml:space="preserve"> ménages) </w:t>
      </w:r>
      <w:r w:rsidR="008A1889" w:rsidRPr="00B6647E">
        <w:rPr>
          <w:rFonts w:ascii="Arial" w:hAnsi="Arial" w:cs="Arial"/>
          <w:sz w:val="20"/>
          <w:szCs w:val="20"/>
          <w:lang w:val="fr-FR" w:eastAsia="fr-FR"/>
        </w:rPr>
        <w:t xml:space="preserve">Bubanza (2.748 ménages) </w:t>
      </w:r>
      <w:r w:rsidR="002C4CCD" w:rsidRPr="00B6647E">
        <w:rPr>
          <w:rFonts w:ascii="Arial" w:hAnsi="Arial" w:cs="Arial"/>
          <w:sz w:val="20"/>
          <w:szCs w:val="20"/>
          <w:lang w:val="fr-FR" w:eastAsia="fr-FR"/>
        </w:rPr>
        <w:t xml:space="preserve">et </w:t>
      </w:r>
      <w:r w:rsidR="008A1889" w:rsidRPr="00B6647E">
        <w:rPr>
          <w:rFonts w:ascii="Arial" w:hAnsi="Arial" w:cs="Arial"/>
          <w:sz w:val="20"/>
          <w:szCs w:val="20"/>
          <w:lang w:val="fr-FR" w:eastAsia="fr-FR"/>
        </w:rPr>
        <w:t>Mwaro (2</w:t>
      </w:r>
      <w:r w:rsidR="002C4CCD" w:rsidRPr="00B6647E">
        <w:rPr>
          <w:rFonts w:ascii="Arial" w:hAnsi="Arial" w:cs="Arial"/>
          <w:sz w:val="20"/>
          <w:szCs w:val="20"/>
          <w:lang w:val="fr-FR" w:eastAsia="fr-FR"/>
        </w:rPr>
        <w:t>.</w:t>
      </w:r>
      <w:r w:rsidR="008A1889" w:rsidRPr="00B6647E">
        <w:rPr>
          <w:rFonts w:ascii="Arial" w:hAnsi="Arial" w:cs="Arial"/>
          <w:sz w:val="20"/>
          <w:szCs w:val="20"/>
          <w:lang w:val="fr-FR" w:eastAsia="fr-FR"/>
        </w:rPr>
        <w:t>486</w:t>
      </w:r>
      <w:r w:rsidR="002C4CCD" w:rsidRPr="00B6647E">
        <w:rPr>
          <w:rFonts w:ascii="Arial" w:hAnsi="Arial" w:cs="Arial"/>
          <w:sz w:val="20"/>
          <w:szCs w:val="20"/>
          <w:lang w:val="fr-FR" w:eastAsia="fr-FR"/>
        </w:rPr>
        <w:t xml:space="preserve"> ménages).Les effectifs les plus petits ont été enregistrés dans </w:t>
      </w:r>
      <w:r w:rsidR="008A1889" w:rsidRPr="00B6647E">
        <w:rPr>
          <w:rFonts w:ascii="Arial" w:hAnsi="Arial" w:cs="Arial"/>
          <w:sz w:val="20"/>
          <w:szCs w:val="20"/>
          <w:lang w:val="fr-FR" w:eastAsia="fr-FR"/>
        </w:rPr>
        <w:t>Ruyigi</w:t>
      </w:r>
      <w:r w:rsidR="002C4CCD" w:rsidRPr="00B6647E">
        <w:rPr>
          <w:rFonts w:ascii="Arial" w:hAnsi="Arial" w:cs="Arial"/>
          <w:sz w:val="20"/>
          <w:szCs w:val="20"/>
          <w:lang w:val="fr-FR" w:eastAsia="fr-FR"/>
        </w:rPr>
        <w:t xml:space="preserve"> (</w:t>
      </w:r>
      <w:r w:rsidR="008A1889" w:rsidRPr="00B6647E">
        <w:rPr>
          <w:rFonts w:ascii="Arial" w:hAnsi="Arial" w:cs="Arial"/>
          <w:sz w:val="20"/>
          <w:szCs w:val="20"/>
          <w:lang w:val="fr-FR" w:eastAsia="fr-FR"/>
        </w:rPr>
        <w:t>406</w:t>
      </w:r>
      <w:r w:rsidR="002C4CCD" w:rsidRPr="00B6647E">
        <w:rPr>
          <w:rFonts w:ascii="Arial" w:hAnsi="Arial" w:cs="Arial"/>
          <w:sz w:val="20"/>
          <w:szCs w:val="20"/>
          <w:lang w:val="fr-FR" w:eastAsia="fr-FR"/>
        </w:rPr>
        <w:t xml:space="preserve"> ménages)</w:t>
      </w:r>
      <w:r w:rsidR="008A1889" w:rsidRPr="00B6647E">
        <w:rPr>
          <w:rFonts w:ascii="Arial" w:hAnsi="Arial" w:cs="Arial"/>
          <w:sz w:val="20"/>
          <w:szCs w:val="20"/>
          <w:lang w:val="fr-FR" w:eastAsia="fr-FR"/>
        </w:rPr>
        <w:t xml:space="preserve"> et Kirundo (942 ménages).</w:t>
      </w:r>
    </w:p>
    <w:p w:rsidR="00A81EFA" w:rsidRPr="00B6647E" w:rsidRDefault="00383FF4" w:rsidP="00457485">
      <w:pPr>
        <w:jc w:val="both"/>
        <w:rPr>
          <w:rFonts w:ascii="Arial" w:hAnsi="Arial" w:cs="Arial"/>
          <w:sz w:val="20"/>
          <w:szCs w:val="20"/>
          <w:lang w:val="fr-FR" w:eastAsia="fr-FR"/>
        </w:rPr>
      </w:pPr>
      <w:r w:rsidRPr="00B6647E">
        <w:rPr>
          <w:rFonts w:ascii="Arial" w:hAnsi="Arial" w:cs="Arial"/>
          <w:sz w:val="20"/>
          <w:szCs w:val="20"/>
          <w:lang w:val="fr-FR" w:eastAsia="fr-FR"/>
        </w:rPr>
        <w:t>Aucun ménage encadré n’a été enregistré dans Cankuzo au cours des trois saisons et dan Rutana pendant la saison B.</w:t>
      </w:r>
    </w:p>
    <w:p w:rsidR="008712A2" w:rsidRPr="00B6647E" w:rsidRDefault="008712A2" w:rsidP="008712A2">
      <w:pPr>
        <w:rPr>
          <w:rFonts w:ascii="Arial" w:hAnsi="Arial" w:cs="Arial"/>
          <w:b/>
          <w:sz w:val="20"/>
          <w:szCs w:val="20"/>
          <w:lang w:val="fr-FR" w:eastAsia="fr-FR"/>
        </w:rPr>
      </w:pPr>
      <w:r w:rsidRPr="00B6647E">
        <w:rPr>
          <w:rFonts w:ascii="Arial" w:hAnsi="Arial" w:cs="Arial"/>
          <w:b/>
          <w:sz w:val="20"/>
          <w:szCs w:val="20"/>
          <w:lang w:val="fr-FR" w:eastAsia="fr-FR"/>
        </w:rPr>
        <w:t xml:space="preserve">Tableau </w:t>
      </w:r>
      <w:r w:rsidR="00705DF7" w:rsidRPr="00B6647E">
        <w:rPr>
          <w:rFonts w:ascii="Arial" w:hAnsi="Arial" w:cs="Arial"/>
          <w:b/>
          <w:sz w:val="20"/>
          <w:szCs w:val="20"/>
          <w:lang w:val="fr-FR" w:eastAsia="fr-FR"/>
        </w:rPr>
        <w:t>2</w:t>
      </w:r>
      <w:r w:rsidR="007177FA">
        <w:rPr>
          <w:rFonts w:ascii="Arial" w:hAnsi="Arial" w:cs="Arial"/>
          <w:b/>
          <w:sz w:val="20"/>
          <w:szCs w:val="20"/>
          <w:lang w:val="fr-FR" w:eastAsia="fr-FR"/>
        </w:rPr>
        <w:t>65</w:t>
      </w:r>
      <w:r w:rsidRPr="00B6647E">
        <w:rPr>
          <w:rFonts w:ascii="Arial" w:hAnsi="Arial" w:cs="Arial"/>
          <w:b/>
          <w:sz w:val="20"/>
          <w:szCs w:val="20"/>
          <w:lang w:val="fr-FR" w:eastAsia="fr-FR"/>
        </w:rPr>
        <w:t xml:space="preserve"> : Nombre de ménages </w:t>
      </w:r>
      <w:r w:rsidR="006469EA" w:rsidRPr="00B6647E">
        <w:rPr>
          <w:rFonts w:ascii="Arial" w:hAnsi="Arial" w:cs="Arial"/>
          <w:b/>
          <w:sz w:val="20"/>
          <w:szCs w:val="20"/>
          <w:lang w:val="fr-FR" w:eastAsia="fr-FR"/>
        </w:rPr>
        <w:t xml:space="preserve">dirigés par des femmes </w:t>
      </w:r>
      <w:r w:rsidRPr="00B6647E">
        <w:rPr>
          <w:rFonts w:ascii="Arial" w:hAnsi="Arial" w:cs="Arial"/>
          <w:b/>
          <w:sz w:val="20"/>
          <w:szCs w:val="20"/>
          <w:lang w:val="fr-FR" w:eastAsia="fr-FR"/>
        </w:rPr>
        <w:t>encadrés par saison</w:t>
      </w:r>
    </w:p>
    <w:p w:rsidR="00A774B2" w:rsidRPr="00B6647E" w:rsidRDefault="008712A2" w:rsidP="00A774B2">
      <w:pPr>
        <w:rPr>
          <w:lang w:val="fr-FR" w:eastAsia="fr-FR"/>
        </w:rPr>
      </w:pPr>
      <w:r w:rsidRPr="00B6647E">
        <w:rPr>
          <w:noProof/>
          <w:lang w:val="fr-FR" w:eastAsia="fr-FR"/>
        </w:rPr>
        <w:drawing>
          <wp:inline distT="0" distB="0" distL="0" distR="0">
            <wp:extent cx="5731510" cy="3382989"/>
            <wp:effectExtent l="19050" t="0" r="2540" b="0"/>
            <wp:docPr id="18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3" cstate="print"/>
                    <a:srcRect/>
                    <a:stretch>
                      <a:fillRect/>
                    </a:stretch>
                  </pic:blipFill>
                  <pic:spPr bwMode="auto">
                    <a:xfrm>
                      <a:off x="0" y="0"/>
                      <a:ext cx="5731510" cy="3382989"/>
                    </a:xfrm>
                    <a:prstGeom prst="rect">
                      <a:avLst/>
                    </a:prstGeom>
                    <a:noFill/>
                    <a:ln w="9525">
                      <a:noFill/>
                      <a:miter lim="800000"/>
                      <a:headEnd/>
                      <a:tailEnd/>
                    </a:ln>
                  </pic:spPr>
                </pic:pic>
              </a:graphicData>
            </a:graphic>
          </wp:inline>
        </w:drawing>
      </w:r>
    </w:p>
    <w:p w:rsidR="00D55773" w:rsidRPr="00B6647E" w:rsidRDefault="002D1214" w:rsidP="00521000">
      <w:pPr>
        <w:pStyle w:val="Titre2"/>
        <w:keepNext w:val="0"/>
        <w:numPr>
          <w:ilvl w:val="1"/>
          <w:numId w:val="1"/>
        </w:numPr>
        <w:spacing w:before="240" w:after="200"/>
        <w:ind w:left="0" w:firstLine="0"/>
        <w:rPr>
          <w:rFonts w:cs="Arial"/>
          <w:u w:val="dotDash"/>
        </w:rPr>
      </w:pPr>
      <w:bookmarkStart w:id="348" w:name="_Toc354313931"/>
      <w:r w:rsidRPr="00B6647E">
        <w:rPr>
          <w:rFonts w:cs="Arial"/>
          <w:u w:val="dotDash"/>
        </w:rPr>
        <w:t xml:space="preserve">Valeur </w:t>
      </w:r>
      <w:r w:rsidR="00D55773" w:rsidRPr="00B6647E">
        <w:rPr>
          <w:rFonts w:cs="Arial"/>
          <w:u w:val="dotDash"/>
        </w:rPr>
        <w:t xml:space="preserve"> </w:t>
      </w:r>
      <w:r w:rsidRPr="00B6647E">
        <w:rPr>
          <w:rFonts w:cs="Arial"/>
          <w:u w:val="dotDash"/>
        </w:rPr>
        <w:t xml:space="preserve">des activités </w:t>
      </w:r>
      <w:r w:rsidR="00D55773" w:rsidRPr="00B6647E">
        <w:rPr>
          <w:rFonts w:cs="Arial"/>
          <w:u w:val="dotDash"/>
        </w:rPr>
        <w:t xml:space="preserve">des ménages </w:t>
      </w:r>
      <w:r w:rsidRPr="00B6647E">
        <w:rPr>
          <w:rFonts w:cs="Arial"/>
          <w:u w:val="dotDash"/>
        </w:rPr>
        <w:t xml:space="preserve">agricoles </w:t>
      </w:r>
      <w:r w:rsidR="00D55773" w:rsidRPr="00B6647E">
        <w:rPr>
          <w:rFonts w:cs="Arial"/>
          <w:u w:val="dotDash"/>
        </w:rPr>
        <w:t>selon le sexe du CM</w:t>
      </w:r>
      <w:bookmarkEnd w:id="348"/>
      <w:r w:rsidR="00D55773" w:rsidRPr="00B6647E">
        <w:rPr>
          <w:rFonts w:cs="Arial"/>
          <w:u w:val="dotDash"/>
        </w:rPr>
        <w:t xml:space="preserve">  </w:t>
      </w:r>
    </w:p>
    <w:p w:rsidR="00976026" w:rsidRPr="00B6647E" w:rsidRDefault="00976026" w:rsidP="00AA2775">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t>La moyenne nationale a été évaluée à 1.323.474 FBu pour les ménages dirigés par des hommes, soit 1,4 fois celle de ceux qui sont dirigés par des femmes</w:t>
      </w:r>
      <w:r w:rsidR="00BB4F83" w:rsidRPr="00B6647E">
        <w:rPr>
          <w:rFonts w:ascii="Arial" w:hAnsi="Arial" w:cs="Arial"/>
          <w:sz w:val="20"/>
          <w:szCs w:val="20"/>
          <w:lang w:val="fr-FR" w:eastAsia="fr-FR"/>
        </w:rPr>
        <w:t xml:space="preserve"> (963.667 FBu). Ce qui dégage une différence de 359.808 FBu entre les deux types de ménage.</w:t>
      </w:r>
    </w:p>
    <w:p w:rsidR="00080F31" w:rsidRPr="00B6647E" w:rsidRDefault="002D1214" w:rsidP="0052337E">
      <w:pPr>
        <w:pStyle w:val="Titre3"/>
        <w:keepNext w:val="0"/>
        <w:numPr>
          <w:ilvl w:val="2"/>
          <w:numId w:val="1"/>
        </w:numPr>
        <w:spacing w:before="200" w:after="120"/>
        <w:ind w:left="0" w:firstLine="0"/>
        <w:rPr>
          <w:rFonts w:cs="Arial"/>
          <w:szCs w:val="20"/>
        </w:rPr>
      </w:pPr>
      <w:bookmarkStart w:id="349" w:name="_Toc354313932"/>
      <w:r w:rsidRPr="00B6647E">
        <w:rPr>
          <w:rFonts w:cs="Arial"/>
          <w:szCs w:val="20"/>
        </w:rPr>
        <w:t xml:space="preserve">Valeur des activités </w:t>
      </w:r>
      <w:r w:rsidR="00080F31" w:rsidRPr="00B6647E">
        <w:rPr>
          <w:rFonts w:cs="Arial"/>
          <w:szCs w:val="20"/>
        </w:rPr>
        <w:t xml:space="preserve">des </w:t>
      </w:r>
      <w:r w:rsidR="00521000" w:rsidRPr="00B6647E">
        <w:rPr>
          <w:rFonts w:cs="Arial"/>
          <w:szCs w:val="20"/>
        </w:rPr>
        <w:t>ménages dirigés par des hommes</w:t>
      </w:r>
      <w:bookmarkEnd w:id="349"/>
    </w:p>
    <w:p w:rsidR="00431360" w:rsidRPr="00B6647E" w:rsidRDefault="00AA2775" w:rsidP="00AA2775">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t xml:space="preserve">Le </w:t>
      </w:r>
      <w:r w:rsidR="002D1214" w:rsidRPr="00B6647E">
        <w:rPr>
          <w:rFonts w:ascii="Arial" w:hAnsi="Arial" w:cs="Arial"/>
          <w:sz w:val="20"/>
          <w:szCs w:val="20"/>
          <w:lang w:val="fr-FR" w:eastAsia="fr-FR"/>
        </w:rPr>
        <w:t>montant</w:t>
      </w:r>
      <w:r w:rsidRPr="00B6647E">
        <w:rPr>
          <w:rFonts w:ascii="Arial" w:hAnsi="Arial" w:cs="Arial"/>
          <w:sz w:val="20"/>
          <w:szCs w:val="20"/>
          <w:lang w:val="fr-FR" w:eastAsia="fr-FR"/>
        </w:rPr>
        <w:t xml:space="preserve"> total des ménages dirigés par des hommes a été estimé à 1.616.872 millions de FBu, soit 8</w:t>
      </w:r>
      <w:r w:rsidR="00B30F00" w:rsidRPr="00B6647E">
        <w:rPr>
          <w:rFonts w:ascii="Arial" w:hAnsi="Arial" w:cs="Arial"/>
          <w:sz w:val="20"/>
          <w:szCs w:val="20"/>
          <w:lang w:val="fr-FR" w:eastAsia="fr-FR"/>
        </w:rPr>
        <w:t>3</w:t>
      </w:r>
      <w:r w:rsidRPr="00B6647E">
        <w:rPr>
          <w:rFonts w:ascii="Arial" w:hAnsi="Arial" w:cs="Arial"/>
          <w:sz w:val="20"/>
          <w:szCs w:val="20"/>
          <w:lang w:val="fr-FR" w:eastAsia="fr-FR"/>
        </w:rPr>
        <w:t>,</w:t>
      </w:r>
      <w:r w:rsidR="00B30F00" w:rsidRPr="00B6647E">
        <w:rPr>
          <w:rFonts w:ascii="Arial" w:hAnsi="Arial" w:cs="Arial"/>
          <w:sz w:val="20"/>
          <w:szCs w:val="20"/>
          <w:lang w:val="fr-FR" w:eastAsia="fr-FR"/>
        </w:rPr>
        <w:t>4</w:t>
      </w:r>
      <w:r w:rsidRPr="00B6647E">
        <w:rPr>
          <w:rFonts w:ascii="Arial" w:hAnsi="Arial" w:cs="Arial"/>
          <w:sz w:val="20"/>
          <w:szCs w:val="20"/>
          <w:lang w:val="fr-FR" w:eastAsia="fr-FR"/>
        </w:rPr>
        <w:t>% d</w:t>
      </w:r>
      <w:r w:rsidR="002D1214" w:rsidRPr="00B6647E">
        <w:rPr>
          <w:rFonts w:ascii="Arial" w:hAnsi="Arial" w:cs="Arial"/>
          <w:sz w:val="20"/>
          <w:szCs w:val="20"/>
          <w:lang w:val="fr-FR" w:eastAsia="fr-FR"/>
        </w:rPr>
        <w:t xml:space="preserve">e la valeur totale des activités </w:t>
      </w:r>
      <w:r w:rsidRPr="00B6647E">
        <w:rPr>
          <w:rFonts w:ascii="Arial" w:hAnsi="Arial" w:cs="Arial"/>
          <w:sz w:val="20"/>
          <w:szCs w:val="20"/>
          <w:lang w:val="fr-FR" w:eastAsia="fr-FR"/>
        </w:rPr>
        <w:t>des ménages agricoles. Il se compose de 1.231.418 millions valeur de la production vivrière (représentant 76,2% d</w:t>
      </w:r>
      <w:r w:rsidR="002D1214" w:rsidRPr="00B6647E">
        <w:rPr>
          <w:rFonts w:ascii="Arial" w:hAnsi="Arial" w:cs="Arial"/>
          <w:sz w:val="20"/>
          <w:szCs w:val="20"/>
          <w:lang w:val="fr-FR" w:eastAsia="fr-FR"/>
        </w:rPr>
        <w:t xml:space="preserve">e la valeur </w:t>
      </w:r>
      <w:r w:rsidRPr="00B6647E">
        <w:rPr>
          <w:rFonts w:ascii="Arial" w:hAnsi="Arial" w:cs="Arial"/>
          <w:sz w:val="20"/>
          <w:szCs w:val="20"/>
          <w:lang w:val="fr-FR" w:eastAsia="fr-FR"/>
        </w:rPr>
        <w:t>total</w:t>
      </w:r>
      <w:r w:rsidR="002D1214" w:rsidRPr="00B6647E">
        <w:rPr>
          <w:rFonts w:ascii="Arial" w:hAnsi="Arial" w:cs="Arial"/>
          <w:sz w:val="20"/>
          <w:szCs w:val="20"/>
          <w:lang w:val="fr-FR" w:eastAsia="fr-FR"/>
        </w:rPr>
        <w:t>e</w:t>
      </w:r>
      <w:r w:rsidRPr="00B6647E">
        <w:rPr>
          <w:rFonts w:ascii="Arial" w:hAnsi="Arial" w:cs="Arial"/>
          <w:sz w:val="20"/>
          <w:szCs w:val="20"/>
          <w:lang w:val="fr-FR" w:eastAsia="fr-FR"/>
        </w:rPr>
        <w:t>), de 279.105 millions de FBu (17,3%) tirés d’activés non agricole, de 83.091 millions de FBu (5,1%) issus de la sylviculture, de 19.230 millions de FBu (1,2%) provenant de la pêche et de 4.028 millions de FBu tirés de l’apiculture.</w:t>
      </w:r>
    </w:p>
    <w:p w:rsidR="00431360" w:rsidRPr="00B6647E" w:rsidRDefault="00151E76" w:rsidP="00151E76">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t>Les montants les plus élevés des ménages dirigés par des hommes ont été enregistrés dans Kirundo (174.174 million</w:t>
      </w:r>
      <w:r w:rsidR="00F12A1D" w:rsidRPr="00B6647E">
        <w:rPr>
          <w:rFonts w:ascii="Arial" w:hAnsi="Arial" w:cs="Arial"/>
          <w:sz w:val="20"/>
          <w:szCs w:val="20"/>
          <w:lang w:val="fr-FR" w:eastAsia="fr-FR"/>
        </w:rPr>
        <w:t>s</w:t>
      </w:r>
      <w:r w:rsidRPr="00B6647E">
        <w:rPr>
          <w:rFonts w:ascii="Arial" w:hAnsi="Arial" w:cs="Arial"/>
          <w:sz w:val="20"/>
          <w:szCs w:val="20"/>
          <w:lang w:val="fr-FR" w:eastAsia="fr-FR"/>
        </w:rPr>
        <w:t xml:space="preserve"> de FBu, soit 10,8% d</w:t>
      </w:r>
      <w:r w:rsidR="002D1214" w:rsidRPr="00B6647E">
        <w:rPr>
          <w:rFonts w:ascii="Arial" w:hAnsi="Arial" w:cs="Arial"/>
          <w:sz w:val="20"/>
          <w:szCs w:val="20"/>
          <w:lang w:val="fr-FR" w:eastAsia="fr-FR"/>
        </w:rPr>
        <w:t>u</w:t>
      </w:r>
      <w:r w:rsidRPr="00B6647E">
        <w:rPr>
          <w:rFonts w:ascii="Arial" w:hAnsi="Arial" w:cs="Arial"/>
          <w:sz w:val="20"/>
          <w:szCs w:val="20"/>
          <w:lang w:val="fr-FR" w:eastAsia="fr-FR"/>
        </w:rPr>
        <w:t xml:space="preserve"> total des ménages dirigés par des hommes), Gitega (173.079 millions de FBu, 10,7%) et Muyinga (162.391 millions de FBu, soit 10%). </w:t>
      </w:r>
    </w:p>
    <w:p w:rsidR="00431360" w:rsidRPr="00B6647E" w:rsidRDefault="008D598B" w:rsidP="00747A50">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t>La moyenne nationale pour les ménages dirigés par des hommes a été évaluée à 1.323.474 FBu. Il a neuf provinces qui ont des revenus par ménage supérieurs à la moyenne nationale parmi lesquelles Mwaro (1.779.270 FBu), Makamba (1.739.964 FBu), Gitega (1.725.374 FBu) et Bujumbura rural (1.619.961 FBu).</w:t>
      </w:r>
      <w:r w:rsidR="00747A50" w:rsidRPr="00B6647E">
        <w:rPr>
          <w:rFonts w:ascii="Arial" w:hAnsi="Arial" w:cs="Arial"/>
          <w:sz w:val="20"/>
          <w:szCs w:val="20"/>
          <w:lang w:val="fr-FR" w:eastAsia="fr-FR"/>
        </w:rPr>
        <w:t xml:space="preserve"> </w:t>
      </w:r>
      <w:r w:rsidR="002D1214" w:rsidRPr="00B6647E">
        <w:rPr>
          <w:rFonts w:ascii="Arial" w:hAnsi="Arial" w:cs="Arial"/>
          <w:sz w:val="20"/>
          <w:szCs w:val="20"/>
          <w:lang w:val="fr-FR" w:eastAsia="fr-FR"/>
        </w:rPr>
        <w:t xml:space="preserve">Sur les sept provinces qui ont un montant </w:t>
      </w:r>
      <w:r w:rsidR="00747A50" w:rsidRPr="00B6647E">
        <w:rPr>
          <w:rFonts w:ascii="Arial" w:hAnsi="Arial" w:cs="Arial"/>
          <w:sz w:val="20"/>
          <w:szCs w:val="20"/>
          <w:lang w:val="fr-FR" w:eastAsia="fr-FR"/>
        </w:rPr>
        <w:t xml:space="preserve">moyen par ménage dirigé par un </w:t>
      </w:r>
      <w:r w:rsidR="00574921" w:rsidRPr="00B6647E">
        <w:rPr>
          <w:rFonts w:ascii="Arial" w:hAnsi="Arial" w:cs="Arial"/>
          <w:sz w:val="20"/>
          <w:szCs w:val="20"/>
          <w:lang w:val="fr-FR" w:eastAsia="fr-FR"/>
        </w:rPr>
        <w:t>homme</w:t>
      </w:r>
      <w:r w:rsidR="00747A50" w:rsidRPr="00B6647E">
        <w:rPr>
          <w:rFonts w:ascii="Arial" w:hAnsi="Arial" w:cs="Arial"/>
          <w:sz w:val="20"/>
          <w:szCs w:val="20"/>
          <w:lang w:val="fr-FR" w:eastAsia="fr-FR"/>
        </w:rPr>
        <w:t xml:space="preserve"> </w:t>
      </w:r>
      <w:r w:rsidR="00747A50" w:rsidRPr="00B6647E">
        <w:rPr>
          <w:rFonts w:ascii="Arial" w:hAnsi="Arial" w:cs="Arial"/>
          <w:sz w:val="20"/>
          <w:szCs w:val="20"/>
          <w:lang w:val="fr-FR" w:eastAsia="fr-FR"/>
        </w:rPr>
        <w:lastRenderedPageBreak/>
        <w:t xml:space="preserve">inférieur à la moyenne nationale, il y en a trois qui ont moins d’un million de FBU de </w:t>
      </w:r>
      <w:r w:rsidR="002D1214" w:rsidRPr="00B6647E">
        <w:rPr>
          <w:rFonts w:ascii="Arial" w:hAnsi="Arial" w:cs="Arial"/>
          <w:sz w:val="20"/>
          <w:szCs w:val="20"/>
          <w:lang w:val="fr-FR" w:eastAsia="fr-FR"/>
        </w:rPr>
        <w:t>montant</w:t>
      </w:r>
      <w:r w:rsidR="00747A50" w:rsidRPr="00B6647E">
        <w:rPr>
          <w:rFonts w:ascii="Arial" w:hAnsi="Arial" w:cs="Arial"/>
          <w:sz w:val="20"/>
          <w:szCs w:val="20"/>
          <w:lang w:val="fr-FR" w:eastAsia="fr-FR"/>
        </w:rPr>
        <w:t xml:space="preserve"> moyen : Ngozi (659.887 FBu), Kayanza (735.907 FBu) et Rutana (967.902 FBu).</w:t>
      </w:r>
    </w:p>
    <w:p w:rsidR="006F3699" w:rsidRPr="00B6647E" w:rsidRDefault="006F3699" w:rsidP="00705DF7">
      <w:pPr>
        <w:rPr>
          <w:rFonts w:ascii="Arial" w:hAnsi="Arial" w:cs="Arial"/>
          <w:b/>
          <w:sz w:val="20"/>
          <w:szCs w:val="20"/>
          <w:lang w:val="fr-FR" w:eastAsia="fr-FR"/>
        </w:rPr>
      </w:pPr>
      <w:r w:rsidRPr="00B6647E">
        <w:rPr>
          <w:rFonts w:ascii="Arial" w:hAnsi="Arial" w:cs="Arial"/>
          <w:b/>
          <w:sz w:val="20"/>
          <w:szCs w:val="20"/>
          <w:lang w:val="fr-FR" w:eastAsia="fr-FR"/>
        </w:rPr>
        <w:t xml:space="preserve">Tableau </w:t>
      </w:r>
      <w:r w:rsidR="00705DF7" w:rsidRPr="00B6647E">
        <w:rPr>
          <w:rFonts w:ascii="Arial" w:hAnsi="Arial" w:cs="Arial"/>
          <w:b/>
          <w:sz w:val="20"/>
          <w:szCs w:val="20"/>
          <w:lang w:val="fr-FR" w:eastAsia="fr-FR"/>
        </w:rPr>
        <w:t>2</w:t>
      </w:r>
      <w:r w:rsidR="007177FA">
        <w:rPr>
          <w:rFonts w:ascii="Arial" w:hAnsi="Arial" w:cs="Arial"/>
          <w:b/>
          <w:sz w:val="20"/>
          <w:szCs w:val="20"/>
          <w:lang w:val="fr-FR" w:eastAsia="fr-FR"/>
        </w:rPr>
        <w:t>66</w:t>
      </w:r>
      <w:r w:rsidRPr="00B6647E">
        <w:rPr>
          <w:rFonts w:ascii="Arial" w:hAnsi="Arial" w:cs="Arial"/>
          <w:b/>
          <w:sz w:val="20"/>
          <w:szCs w:val="20"/>
          <w:lang w:val="fr-FR" w:eastAsia="fr-FR"/>
        </w:rPr>
        <w:t xml:space="preserve"> : </w:t>
      </w:r>
      <w:r w:rsidR="002D1214" w:rsidRPr="00B6647E">
        <w:rPr>
          <w:rFonts w:ascii="Arial" w:hAnsi="Arial" w:cs="Arial"/>
          <w:b/>
          <w:sz w:val="20"/>
          <w:szCs w:val="20"/>
          <w:lang w:val="fr-FR" w:eastAsia="fr-FR"/>
        </w:rPr>
        <w:t>Valeur des activités</w:t>
      </w:r>
      <w:r w:rsidRPr="00B6647E">
        <w:rPr>
          <w:rFonts w:ascii="Arial" w:hAnsi="Arial" w:cs="Arial"/>
          <w:b/>
          <w:sz w:val="20"/>
          <w:szCs w:val="20"/>
          <w:lang w:val="fr-FR" w:eastAsia="fr-FR"/>
        </w:rPr>
        <w:t xml:space="preserve"> des ménages dirigés par des hommes</w:t>
      </w:r>
    </w:p>
    <w:p w:rsidR="006F3699" w:rsidRPr="00B6647E" w:rsidRDefault="008E2148" w:rsidP="00E51ED6">
      <w:pPr>
        <w:spacing w:line="240" w:lineRule="auto"/>
        <w:rPr>
          <w:rFonts w:ascii="Arial" w:hAnsi="Arial" w:cs="Arial"/>
          <w:lang w:val="fr-FR" w:eastAsia="fr-FR"/>
        </w:rPr>
      </w:pPr>
      <w:r w:rsidRPr="00B6647E">
        <w:rPr>
          <w:noProof/>
          <w:lang w:val="fr-FR" w:eastAsia="fr-FR"/>
        </w:rPr>
        <w:drawing>
          <wp:inline distT="0" distB="0" distL="0" distR="0">
            <wp:extent cx="5731510" cy="3113413"/>
            <wp:effectExtent l="19050" t="0" r="2540" b="0"/>
            <wp:docPr id="16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4" cstate="print"/>
                    <a:srcRect/>
                    <a:stretch>
                      <a:fillRect/>
                    </a:stretch>
                  </pic:blipFill>
                  <pic:spPr bwMode="auto">
                    <a:xfrm>
                      <a:off x="0" y="0"/>
                      <a:ext cx="5731510" cy="3113413"/>
                    </a:xfrm>
                    <a:prstGeom prst="rect">
                      <a:avLst/>
                    </a:prstGeom>
                    <a:noFill/>
                    <a:ln w="9525">
                      <a:noFill/>
                      <a:miter lim="800000"/>
                      <a:headEnd/>
                      <a:tailEnd/>
                    </a:ln>
                  </pic:spPr>
                </pic:pic>
              </a:graphicData>
            </a:graphic>
          </wp:inline>
        </w:drawing>
      </w:r>
    </w:p>
    <w:p w:rsidR="00976026" w:rsidRPr="00B6647E" w:rsidRDefault="0028381F" w:rsidP="0052337E">
      <w:pPr>
        <w:pStyle w:val="Titre3"/>
        <w:keepNext w:val="0"/>
        <w:numPr>
          <w:ilvl w:val="2"/>
          <w:numId w:val="1"/>
        </w:numPr>
        <w:spacing w:before="200" w:after="120"/>
        <w:ind w:left="0" w:firstLine="0"/>
        <w:rPr>
          <w:rFonts w:cs="Arial"/>
          <w:szCs w:val="20"/>
        </w:rPr>
      </w:pPr>
      <w:bookmarkStart w:id="350" w:name="_Toc354313933"/>
      <w:r w:rsidRPr="00B6647E">
        <w:rPr>
          <w:rFonts w:cs="Arial"/>
          <w:szCs w:val="20"/>
        </w:rPr>
        <w:t xml:space="preserve">Valeur des activités </w:t>
      </w:r>
      <w:r w:rsidR="00521000" w:rsidRPr="00B6647E">
        <w:rPr>
          <w:rFonts w:cs="Arial"/>
          <w:szCs w:val="20"/>
        </w:rPr>
        <w:t>des m</w:t>
      </w:r>
      <w:r w:rsidR="00976026" w:rsidRPr="00B6647E">
        <w:rPr>
          <w:rFonts w:cs="Arial"/>
          <w:szCs w:val="20"/>
        </w:rPr>
        <w:t>énages dirigés par des femmes</w:t>
      </w:r>
      <w:bookmarkEnd w:id="350"/>
    </w:p>
    <w:p w:rsidR="00457485" w:rsidRPr="00B6647E" w:rsidRDefault="00574921" w:rsidP="00574921">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t xml:space="preserve">Les ménages dirigés par des femmes </w:t>
      </w:r>
      <w:r w:rsidR="0002180B" w:rsidRPr="00B6647E">
        <w:rPr>
          <w:rFonts w:ascii="Arial" w:hAnsi="Arial" w:cs="Arial"/>
          <w:sz w:val="20"/>
          <w:szCs w:val="20"/>
          <w:lang w:val="fr-FR" w:eastAsia="fr-FR"/>
        </w:rPr>
        <w:t>pourraient</w:t>
      </w:r>
      <w:r w:rsidRPr="00B6647E">
        <w:rPr>
          <w:rFonts w:ascii="Arial" w:hAnsi="Arial" w:cs="Arial"/>
          <w:sz w:val="20"/>
          <w:szCs w:val="20"/>
          <w:lang w:val="fr-FR" w:eastAsia="fr-FR"/>
        </w:rPr>
        <w:t xml:space="preserve"> tir</w:t>
      </w:r>
      <w:r w:rsidR="0002180B" w:rsidRPr="00B6647E">
        <w:rPr>
          <w:rFonts w:ascii="Arial" w:hAnsi="Arial" w:cs="Arial"/>
          <w:sz w:val="20"/>
          <w:szCs w:val="20"/>
          <w:lang w:val="fr-FR" w:eastAsia="fr-FR"/>
        </w:rPr>
        <w:t>er</w:t>
      </w:r>
      <w:r w:rsidRPr="00B6647E">
        <w:rPr>
          <w:rFonts w:ascii="Arial" w:hAnsi="Arial" w:cs="Arial"/>
          <w:sz w:val="20"/>
          <w:szCs w:val="20"/>
          <w:lang w:val="fr-FR" w:eastAsia="fr-FR"/>
        </w:rPr>
        <w:t xml:space="preserve"> des </w:t>
      </w:r>
      <w:r w:rsidR="0002180B" w:rsidRPr="00B6647E">
        <w:rPr>
          <w:rFonts w:ascii="Arial" w:hAnsi="Arial" w:cs="Arial"/>
          <w:sz w:val="20"/>
          <w:szCs w:val="20"/>
          <w:lang w:val="fr-FR" w:eastAsia="fr-FR"/>
        </w:rPr>
        <w:t>valeurs</w:t>
      </w:r>
      <w:r w:rsidRPr="00B6647E">
        <w:rPr>
          <w:rFonts w:ascii="Arial" w:hAnsi="Arial" w:cs="Arial"/>
          <w:sz w:val="20"/>
          <w:szCs w:val="20"/>
          <w:lang w:val="fr-FR" w:eastAsia="fr-FR"/>
        </w:rPr>
        <w:t xml:space="preserve"> s’élevant au total à 322.675 millions de FBu, soit </w:t>
      </w:r>
      <w:r w:rsidR="00B30F00" w:rsidRPr="00B6647E">
        <w:rPr>
          <w:rFonts w:ascii="Arial" w:hAnsi="Arial" w:cs="Arial"/>
          <w:sz w:val="20"/>
          <w:szCs w:val="20"/>
          <w:lang w:val="fr-FR" w:eastAsia="fr-FR"/>
        </w:rPr>
        <w:t>16,6</w:t>
      </w:r>
      <w:r w:rsidRPr="00B6647E">
        <w:rPr>
          <w:rFonts w:ascii="Arial" w:hAnsi="Arial" w:cs="Arial"/>
          <w:sz w:val="20"/>
          <w:szCs w:val="20"/>
          <w:lang w:val="fr-FR" w:eastAsia="fr-FR"/>
        </w:rPr>
        <w:t>% d</w:t>
      </w:r>
      <w:r w:rsidR="0002180B" w:rsidRPr="00B6647E">
        <w:rPr>
          <w:rFonts w:ascii="Arial" w:hAnsi="Arial" w:cs="Arial"/>
          <w:sz w:val="20"/>
          <w:szCs w:val="20"/>
          <w:lang w:val="fr-FR" w:eastAsia="fr-FR"/>
        </w:rPr>
        <w:t xml:space="preserve">e la valeur totale des activités </w:t>
      </w:r>
      <w:r w:rsidRPr="00B6647E">
        <w:rPr>
          <w:rFonts w:ascii="Arial" w:hAnsi="Arial" w:cs="Arial"/>
          <w:sz w:val="20"/>
          <w:szCs w:val="20"/>
          <w:lang w:val="fr-FR" w:eastAsia="fr-FR"/>
        </w:rPr>
        <w:t>des ménages agricoles.</w:t>
      </w:r>
    </w:p>
    <w:p w:rsidR="008E2148" w:rsidRPr="00B6647E" w:rsidRDefault="008E2148" w:rsidP="008E2148">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t>Cette valeur totale se compose de 279.930 millions valeur de la production vivrière (représentant 86,8% de leur valeur totale), de 12.713 millions de FBu (3,9%) tirés d’activés non agricole, de 29.972 millions de FBu (9,3%) issus de la sylviculture, de 56 millions de FBu (0,02%) provenant de l’apiculture. Ce type de ménage n’a rien tiré de la pêche.</w:t>
      </w:r>
    </w:p>
    <w:p w:rsidR="006F3699" w:rsidRPr="00B6647E" w:rsidRDefault="00705DF7" w:rsidP="00705DF7">
      <w:pPr>
        <w:rPr>
          <w:rFonts w:ascii="Arial" w:hAnsi="Arial" w:cs="Arial"/>
          <w:b/>
          <w:sz w:val="20"/>
          <w:szCs w:val="20"/>
          <w:lang w:val="fr-FR" w:eastAsia="fr-FR"/>
        </w:rPr>
      </w:pPr>
      <w:r w:rsidRPr="00B6647E">
        <w:rPr>
          <w:rFonts w:ascii="Arial" w:hAnsi="Arial" w:cs="Arial"/>
          <w:b/>
          <w:sz w:val="20"/>
          <w:szCs w:val="20"/>
          <w:lang w:val="fr-FR" w:eastAsia="fr-FR"/>
        </w:rPr>
        <w:t>Tableau 2</w:t>
      </w:r>
      <w:r w:rsidR="007177FA">
        <w:rPr>
          <w:rFonts w:ascii="Arial" w:hAnsi="Arial" w:cs="Arial"/>
          <w:b/>
          <w:sz w:val="20"/>
          <w:szCs w:val="20"/>
          <w:lang w:val="fr-FR" w:eastAsia="fr-FR"/>
        </w:rPr>
        <w:t>67</w:t>
      </w:r>
      <w:r w:rsidR="006F3699" w:rsidRPr="00B6647E">
        <w:rPr>
          <w:rFonts w:ascii="Arial" w:hAnsi="Arial" w:cs="Arial"/>
          <w:b/>
          <w:sz w:val="20"/>
          <w:szCs w:val="20"/>
          <w:lang w:val="fr-FR" w:eastAsia="fr-FR"/>
        </w:rPr>
        <w:t xml:space="preserve"> : </w:t>
      </w:r>
      <w:r w:rsidR="0002180B" w:rsidRPr="00B6647E">
        <w:rPr>
          <w:rFonts w:ascii="Arial" w:hAnsi="Arial" w:cs="Arial"/>
          <w:b/>
          <w:sz w:val="20"/>
          <w:szCs w:val="20"/>
          <w:lang w:val="fr-FR" w:eastAsia="fr-FR"/>
        </w:rPr>
        <w:t>Valeurs des activités</w:t>
      </w:r>
      <w:r w:rsidR="006F3699" w:rsidRPr="00B6647E">
        <w:rPr>
          <w:rFonts w:ascii="Arial" w:hAnsi="Arial" w:cs="Arial"/>
          <w:b/>
          <w:sz w:val="20"/>
          <w:szCs w:val="20"/>
          <w:lang w:val="fr-FR" w:eastAsia="fr-FR"/>
        </w:rPr>
        <w:t xml:space="preserve"> des ménages dirigés par des femmes</w:t>
      </w:r>
    </w:p>
    <w:p w:rsidR="006F3699" w:rsidRPr="00B6647E" w:rsidRDefault="008E2148" w:rsidP="006F3699">
      <w:pPr>
        <w:spacing w:line="240" w:lineRule="auto"/>
        <w:rPr>
          <w:rFonts w:ascii="Arial" w:hAnsi="Arial" w:cs="Arial"/>
          <w:sz w:val="20"/>
          <w:szCs w:val="20"/>
          <w:lang w:val="fr-FR" w:eastAsia="fr-FR"/>
        </w:rPr>
      </w:pPr>
      <w:r w:rsidRPr="00B6647E">
        <w:rPr>
          <w:noProof/>
          <w:szCs w:val="20"/>
          <w:lang w:val="fr-FR" w:eastAsia="fr-FR"/>
        </w:rPr>
        <w:drawing>
          <wp:inline distT="0" distB="0" distL="0" distR="0">
            <wp:extent cx="5731510" cy="3089826"/>
            <wp:effectExtent l="19050" t="0" r="2540" b="0"/>
            <wp:docPr id="22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5" cstate="print"/>
                    <a:srcRect/>
                    <a:stretch>
                      <a:fillRect/>
                    </a:stretch>
                  </pic:blipFill>
                  <pic:spPr bwMode="auto">
                    <a:xfrm>
                      <a:off x="0" y="0"/>
                      <a:ext cx="5731510" cy="3089826"/>
                    </a:xfrm>
                    <a:prstGeom prst="rect">
                      <a:avLst/>
                    </a:prstGeom>
                    <a:noFill/>
                    <a:ln w="9525">
                      <a:noFill/>
                      <a:miter lim="800000"/>
                      <a:headEnd/>
                      <a:tailEnd/>
                    </a:ln>
                  </pic:spPr>
                </pic:pic>
              </a:graphicData>
            </a:graphic>
          </wp:inline>
        </w:drawing>
      </w:r>
    </w:p>
    <w:p w:rsidR="008E2148" w:rsidRPr="00B6647E" w:rsidRDefault="008E2148" w:rsidP="008E2148">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lastRenderedPageBreak/>
        <w:t xml:space="preserve">Les montants totaux les plus élevés des ménages dirigés par des femmes ont été enregistrés dans Mwaro (44.108 millions de FBu, soit 13,7% du montant total des ménages dirigés par des femmes), Gitega (41.700 millions de FBu, 12,9%), Karuzi (28.104 millions, soit 8,7%) et Kirundo (27.570 millions de FBu, soit 8,5%). </w:t>
      </w:r>
    </w:p>
    <w:p w:rsidR="008E2148" w:rsidRPr="00B6647E" w:rsidRDefault="008E2148" w:rsidP="008E2148">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t>Au plan national, le montant moyen des ménages dirigés par des femmes a été évalué à 963.667 FBu. Au provincial, les montants moyens les plus élevés ont été estimés Mwaro (2.847.339 FBu), Cankuzo (1.739.757 FBu) et Karuzi (1.590.162 FBu).</w:t>
      </w:r>
    </w:p>
    <w:p w:rsidR="008E2148" w:rsidRPr="00B6647E" w:rsidRDefault="008E2148" w:rsidP="008E2148">
      <w:pPr>
        <w:spacing w:line="240" w:lineRule="auto"/>
        <w:jc w:val="both"/>
        <w:rPr>
          <w:rFonts w:ascii="Arial" w:hAnsi="Arial" w:cs="Arial"/>
          <w:sz w:val="20"/>
          <w:szCs w:val="20"/>
          <w:lang w:val="fr-FR" w:eastAsia="fr-FR"/>
        </w:rPr>
      </w:pPr>
      <w:r w:rsidRPr="00B6647E">
        <w:rPr>
          <w:rFonts w:ascii="Arial" w:hAnsi="Arial" w:cs="Arial"/>
          <w:sz w:val="20"/>
          <w:szCs w:val="20"/>
          <w:lang w:val="fr-FR" w:eastAsia="fr-FR"/>
        </w:rPr>
        <w:t>Les plus petits montants moyens par ménage dirigé par une femme ont été enregistrés dans Ngozi (462.018 FBu), Rutana (579.566 FBu) et Bururi (632.366 FBu).</w:t>
      </w:r>
    </w:p>
    <w:p w:rsidR="000079F6" w:rsidRPr="00B6647E" w:rsidRDefault="000079F6">
      <w:pPr>
        <w:rPr>
          <w:rFonts w:ascii="Arial" w:eastAsia="Times New Roman" w:hAnsi="Arial" w:cs="Arial"/>
          <w:color w:val="365F91"/>
          <w:sz w:val="24"/>
          <w:szCs w:val="24"/>
          <w:lang w:eastAsia="fr-FR"/>
        </w:rPr>
      </w:pPr>
      <w:r w:rsidRPr="00B6647E">
        <w:rPr>
          <w:rFonts w:ascii="Arial" w:hAnsi="Arial" w:cs="Arial"/>
          <w:color w:val="365F91"/>
        </w:rPr>
        <w:br w:type="page"/>
      </w:r>
    </w:p>
    <w:p w:rsidR="004F4CA0" w:rsidRPr="00B6647E" w:rsidRDefault="004F4CA0" w:rsidP="002A0073">
      <w:pPr>
        <w:pStyle w:val="Titre1"/>
        <w:keepNext w:val="0"/>
        <w:numPr>
          <w:ilvl w:val="0"/>
          <w:numId w:val="1"/>
        </w:numPr>
        <w:tabs>
          <w:tab w:val="num" w:pos="432"/>
        </w:tabs>
        <w:ind w:left="432" w:hanging="432"/>
        <w:rPr>
          <w:rFonts w:cs="Arial"/>
          <w:color w:val="365F91"/>
        </w:rPr>
      </w:pPr>
      <w:bookmarkStart w:id="351" w:name="_Toc349912931"/>
      <w:bookmarkStart w:id="352" w:name="_Toc354313934"/>
      <w:r w:rsidRPr="00B6647E">
        <w:rPr>
          <w:rFonts w:cs="Arial"/>
          <w:color w:val="365F91"/>
        </w:rPr>
        <w:lastRenderedPageBreak/>
        <w:t>Annexe 1 : Note sur l’estimation des superficies et productions</w:t>
      </w:r>
      <w:bookmarkEnd w:id="351"/>
      <w:bookmarkEnd w:id="352"/>
    </w:p>
    <w:p w:rsidR="004F4CA0" w:rsidRPr="00B6647E" w:rsidRDefault="00DF50D8" w:rsidP="004F4CA0">
      <w:pPr>
        <w:pStyle w:val="Titre1"/>
        <w:keepNext w:val="0"/>
        <w:numPr>
          <w:ilvl w:val="0"/>
          <w:numId w:val="0"/>
        </w:numPr>
        <w:ind w:left="432"/>
        <w:rPr>
          <w:rFonts w:cs="Arial"/>
          <w:b w:val="0"/>
          <w:sz w:val="20"/>
          <w:szCs w:val="20"/>
        </w:rPr>
      </w:pPr>
      <w:r w:rsidRPr="00DF50D8">
        <w:rPr>
          <w:rFonts w:cs="Arial"/>
          <w:b w:val="0"/>
          <w:noProof/>
          <w:sz w:val="20"/>
          <w:szCs w:val="20"/>
          <w:lang w:eastAsia="fr-BE"/>
        </w:rPr>
        <w:pict>
          <v:shape id="_x0000_s1055" type="#_x0000_t32" style="position:absolute;left:0;text-align:left;margin-left:1.15pt;margin-top:4.8pt;width:453.55pt;height:0;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CiqwIAAJcFAAAOAAAAZHJzL2Uyb0RvYy54bWysVE2PmzAQvVfqf7B8Z4FACEFLVlkCvWzb&#10;lXarnh1sglWwke18rKr+945NQjfbS1UtB+SPmTdvZt749u7Ud+jAlOZS5Di8CTBiopaUi12Ovz1X&#10;XoqRNkRQ0knBcvzCNL5bffxwexwyNpOt7ChTCECEzo5Djltjhsz3dd2ynugbOTABl41UPTGwVTuf&#10;KnIE9L7zZ0GQ+Eep6KBkzbSG0814iVcOv2lYbb42jWYGdTkGbsb9lftv7d9f3ZJsp8jQ8vpMg/wH&#10;i55wAUEnqA0xBO0V/wuq57WSWjbmppa9L5uG18zlANmEwZtsnloyMJcLFEcPU5n0+8HWXw6PCnGa&#10;4zjCSJAeerTeG+lCo5mtz3HQGZgV4lHZDOuTeBoeZP1DIyGLlogdc8bPLwP4htbDv3KxGz1AlO3x&#10;s6RgQwDfFevUqN5CQhnQyfXkZeoJOxlUw+F8kQRBOseovtz5JLs4DkqbT0z2yC5yrI0ifNeaQgoB&#10;nZcqdGHI4UEbS4tkFwcbVciKd50TQCfQMcdRGgaB89Cy49TeWjutdtuiU+hAQENRMq+WY5Jw89pM&#10;yb2gDq1lhJbntSG8G9cQvRMWjzlZjpRgdzKwdOeQsZPMz2WwLNMyjb14lpReHGw23roqYi+pwsV8&#10;E22KYhP+skTDOGs5pUxYrhf5hvG/yeM8SKPwJgFPVfGv0V35gOw103U1DxZxlHqLxTzy4qgMvPu0&#10;Krx1ESbJorwv7ss3TEuXvX4fslMpLSu5N0w9tfSIKLdqmKXREl4fymHcozRIguUCI9Lt4J2qjcJI&#10;SfOdm9aJ18rOYlz1ehZHVTKek25oyaiAeQCfU/lk7mozhR8rdWmy3U1tOif/p5YgiosA3NDYORkn&#10;bivpy6O6DBNMv3M6v1T2eXm9h/Xr93T1GwAA//8DAFBLAwQUAAYACAAAACEAEupkKNwAAAAFAQAA&#10;DwAAAGRycy9kb3ducmV2LnhtbEyOUUvDMBSF34X9h3AHvohLN0tZa9MxFHEMEaz+gLS5NsXmpjRZ&#10;2/nrjXvRx8M5fOfLd7Pp2IiDay0JWK8iYEi1VS01Aj7en263wJyXpGRnCQWc0cGuWFzlMlN2ojcc&#10;S9+wACGXSQHa+z7j3NUajXQr2yOF7tMORvoQh4arQU4Bbjq+iaKEG9lSeNCyxweN9Vd5MgKmMTm+&#10;3Gz5/H18Lc9NFR8e9XMsxPVy3t8D8zj7vzH86gd1KIJTZU+kHOsEbO7CUECaAAttGqUxsOqSeZHz&#10;//bFDwAAAP//AwBQSwECLQAUAAYACAAAACEAtoM4kv4AAADhAQAAEwAAAAAAAAAAAAAAAAAAAAAA&#10;W0NvbnRlbnRfVHlwZXNdLnhtbFBLAQItABQABgAIAAAAIQA4/SH/1gAAAJQBAAALAAAAAAAAAAAA&#10;AAAAAC8BAABfcmVscy8ucmVsc1BLAQItABQABgAIAAAAIQCQNaCiqwIAAJcFAAAOAAAAAAAAAAAA&#10;AAAAAC4CAABkcnMvZTJvRG9jLnhtbFBLAQItABQABgAIAAAAIQAS6mQo3AAAAAUBAAAPAAAAAAAA&#10;AAAAAAAAAAUFAABkcnMvZG93bnJldi54bWxQSwUGAAAAAAQABADzAAAADgYAAAAA&#10;" strokecolor="#365f91" strokeweight="3pt">
            <v:shadow color="#243f60" opacity=".5" offset="1pt"/>
          </v:shape>
        </w:pict>
      </w:r>
    </w:p>
    <w:p w:rsidR="004F4CA0" w:rsidRPr="00B6647E" w:rsidRDefault="004F4CA0" w:rsidP="004F4CA0">
      <w:pPr>
        <w:pStyle w:val="Titre1"/>
        <w:keepNext w:val="0"/>
        <w:numPr>
          <w:ilvl w:val="0"/>
          <w:numId w:val="0"/>
        </w:numPr>
        <w:ind w:left="432"/>
        <w:rPr>
          <w:rFonts w:cs="Arial"/>
          <w:b w:val="0"/>
          <w:color w:val="365F91"/>
        </w:rPr>
      </w:pPr>
    </w:p>
    <w:p w:rsidR="004F4CA0" w:rsidRPr="00B6647E" w:rsidRDefault="004F4CA0" w:rsidP="004F4CA0">
      <w:pPr>
        <w:jc w:val="both"/>
        <w:rPr>
          <w:rFonts w:ascii="Arial" w:hAnsi="Arial" w:cs="Arial"/>
          <w:noProof/>
          <w:sz w:val="20"/>
          <w:szCs w:val="20"/>
        </w:rPr>
      </w:pPr>
      <w:r w:rsidRPr="00B6647E">
        <w:rPr>
          <w:rFonts w:ascii="Arial" w:hAnsi="Arial" w:cs="Arial"/>
          <w:noProof/>
          <w:sz w:val="20"/>
          <w:szCs w:val="20"/>
        </w:rPr>
        <w:t xml:space="preserve">L’ENAB utilise des mesures objectives pour l’estimation des superficies et des rendements. La production est estimée à partir de l’équation : </w:t>
      </w:r>
    </w:p>
    <w:p w:rsidR="004F4CA0" w:rsidRPr="00B6647E" w:rsidRDefault="004F4CA0" w:rsidP="004F4CA0">
      <w:pPr>
        <w:jc w:val="both"/>
        <w:rPr>
          <w:rFonts w:ascii="Arial" w:hAnsi="Arial" w:cs="Arial"/>
          <w:i/>
          <w:noProof/>
          <w:sz w:val="20"/>
          <w:szCs w:val="20"/>
        </w:rPr>
      </w:pPr>
      <w:r w:rsidRPr="00B6647E">
        <w:rPr>
          <w:rFonts w:ascii="Arial" w:hAnsi="Arial" w:cs="Arial"/>
          <w:i/>
          <w:noProof/>
          <w:sz w:val="20"/>
          <w:szCs w:val="20"/>
        </w:rPr>
        <w:t>Production = Rendement x Superficie</w:t>
      </w:r>
    </w:p>
    <w:p w:rsidR="004F4CA0" w:rsidRPr="00B6647E" w:rsidRDefault="004F4CA0" w:rsidP="004F4CA0">
      <w:pPr>
        <w:jc w:val="both"/>
        <w:rPr>
          <w:rFonts w:ascii="Arial" w:hAnsi="Arial" w:cs="Arial"/>
          <w:noProof/>
          <w:sz w:val="20"/>
          <w:szCs w:val="20"/>
        </w:rPr>
      </w:pPr>
      <w:r w:rsidRPr="00B6647E">
        <w:rPr>
          <w:rFonts w:ascii="Arial" w:hAnsi="Arial" w:cs="Arial"/>
          <w:noProof/>
          <w:sz w:val="20"/>
          <w:szCs w:val="20"/>
        </w:rPr>
        <w:t>La détermination de la superficie et de la production dans le cas des cultures pures ne posent aucun problème.</w:t>
      </w:r>
    </w:p>
    <w:p w:rsidR="004F4CA0" w:rsidRPr="00B6647E" w:rsidRDefault="004F4CA0" w:rsidP="004F4CA0">
      <w:pPr>
        <w:jc w:val="both"/>
        <w:rPr>
          <w:rFonts w:ascii="Arial" w:hAnsi="Arial" w:cs="Arial"/>
          <w:noProof/>
          <w:sz w:val="20"/>
          <w:szCs w:val="20"/>
        </w:rPr>
      </w:pPr>
      <w:r w:rsidRPr="00B6647E">
        <w:rPr>
          <w:rFonts w:ascii="Arial" w:hAnsi="Arial" w:cs="Arial"/>
          <w:noProof/>
          <w:sz w:val="20"/>
          <w:szCs w:val="20"/>
        </w:rPr>
        <w:t>Dans le cas des cultures en assocations deux problèmes sont généralement posés :</w:t>
      </w:r>
    </w:p>
    <w:p w:rsidR="004F4CA0" w:rsidRPr="00B6647E" w:rsidRDefault="004F4CA0" w:rsidP="00320D68">
      <w:pPr>
        <w:pStyle w:val="Paragraphedeliste"/>
        <w:numPr>
          <w:ilvl w:val="0"/>
          <w:numId w:val="14"/>
        </w:numPr>
        <w:jc w:val="both"/>
        <w:rPr>
          <w:rFonts w:ascii="Arial" w:hAnsi="Arial" w:cs="Arial"/>
          <w:sz w:val="20"/>
          <w:szCs w:val="20"/>
        </w:rPr>
      </w:pPr>
      <w:r w:rsidRPr="00B6647E">
        <w:rPr>
          <w:rFonts w:ascii="Arial" w:hAnsi="Arial" w:cs="Arial"/>
          <w:sz w:val="20"/>
          <w:szCs w:val="20"/>
        </w:rPr>
        <w:t>La superficie totale d’une culture donnée est la combinaison des superficies des parcelles portant la culture en pur et celles des parcelles la portant en association avec d’autres cultures. Comment déterminer la superficie de chaque culture d’une association et par la suite la superficie totale d’une culture donnée.</w:t>
      </w:r>
    </w:p>
    <w:p w:rsidR="004F4CA0" w:rsidRPr="00B6647E" w:rsidRDefault="004F4CA0" w:rsidP="00320D68">
      <w:pPr>
        <w:pStyle w:val="Paragraphedeliste"/>
        <w:numPr>
          <w:ilvl w:val="0"/>
          <w:numId w:val="14"/>
        </w:numPr>
        <w:jc w:val="both"/>
        <w:rPr>
          <w:rFonts w:ascii="Arial" w:hAnsi="Arial" w:cs="Arial"/>
          <w:sz w:val="20"/>
          <w:szCs w:val="20"/>
        </w:rPr>
      </w:pPr>
      <w:r w:rsidRPr="00B6647E">
        <w:rPr>
          <w:rFonts w:ascii="Arial" w:hAnsi="Arial" w:cs="Arial"/>
          <w:sz w:val="20"/>
          <w:szCs w:val="20"/>
        </w:rPr>
        <w:t>Il est indispensable de multiplier la superficie de chaque culture par un rendement approprié pour ne pas biaiser la production</w:t>
      </w:r>
    </w:p>
    <w:p w:rsidR="004F4CA0" w:rsidRPr="00B6647E" w:rsidRDefault="004F4CA0" w:rsidP="0052337E">
      <w:pPr>
        <w:pStyle w:val="Titre2"/>
        <w:spacing w:before="240" w:after="200"/>
        <w:rPr>
          <w:rFonts w:cs="Arial"/>
          <w:u w:val="dotDash"/>
        </w:rPr>
      </w:pPr>
      <w:bookmarkStart w:id="353" w:name="_Toc349912932"/>
      <w:bookmarkStart w:id="354" w:name="_Toc354313935"/>
      <w:r w:rsidRPr="00B6647E">
        <w:rPr>
          <w:rFonts w:cs="Arial"/>
          <w:u w:val="dotDash"/>
        </w:rPr>
        <w:t>Estimation de la superficie par culture</w:t>
      </w:r>
      <w:bookmarkEnd w:id="353"/>
      <w:bookmarkEnd w:id="354"/>
    </w:p>
    <w:p w:rsidR="004F4CA0" w:rsidRPr="00B6647E" w:rsidRDefault="004F4CA0" w:rsidP="004F4CA0">
      <w:pPr>
        <w:jc w:val="both"/>
        <w:rPr>
          <w:rFonts w:ascii="Arial" w:hAnsi="Arial" w:cs="Arial"/>
          <w:sz w:val="20"/>
          <w:szCs w:val="20"/>
        </w:rPr>
      </w:pPr>
      <w:r w:rsidRPr="00B6647E">
        <w:rPr>
          <w:rFonts w:ascii="Arial" w:hAnsi="Arial" w:cs="Arial"/>
          <w:sz w:val="20"/>
          <w:szCs w:val="20"/>
        </w:rPr>
        <w:t>Compte tenu des pratiques culturales du pays, plusieurs types de présentation des résultats des superficies cultivées peuvent être adoptés. Dans le cas de l’ENAB, on vise la détermination de la superficie par culture en vue de l’estimation de la production. La campagne agricole comprend trois saisons et l’enquête couvre séparément chaque saison et les estimations sont faites séparément pour chacune d’entre elles.</w:t>
      </w:r>
    </w:p>
    <w:p w:rsidR="004F4CA0" w:rsidRPr="00B6647E" w:rsidRDefault="004F4CA0" w:rsidP="004F4CA0">
      <w:pPr>
        <w:jc w:val="both"/>
        <w:rPr>
          <w:rFonts w:ascii="Arial" w:hAnsi="Arial" w:cs="Arial"/>
          <w:i/>
          <w:sz w:val="20"/>
          <w:szCs w:val="20"/>
        </w:rPr>
      </w:pPr>
      <w:r w:rsidRPr="00B6647E">
        <w:rPr>
          <w:rFonts w:ascii="Arial" w:hAnsi="Arial" w:cs="Arial"/>
          <w:i/>
          <w:sz w:val="20"/>
          <w:szCs w:val="20"/>
        </w:rPr>
        <w:t xml:space="preserve">Soient : </w:t>
      </w:r>
    </w:p>
    <w:p w:rsidR="004F4CA0" w:rsidRPr="00B6647E" w:rsidRDefault="004F4CA0" w:rsidP="00320D68">
      <w:pPr>
        <w:pStyle w:val="Paragraphedeliste"/>
        <w:numPr>
          <w:ilvl w:val="0"/>
          <w:numId w:val="14"/>
        </w:numPr>
        <w:jc w:val="both"/>
        <w:rPr>
          <w:rFonts w:ascii="Arial" w:hAnsi="Arial" w:cs="Arial"/>
          <w:i/>
          <w:sz w:val="20"/>
          <w:szCs w:val="20"/>
        </w:rPr>
      </w:pPr>
      <w:r w:rsidRPr="00B6647E">
        <w:rPr>
          <w:rFonts w:ascii="Arial" w:hAnsi="Arial" w:cs="Arial"/>
          <w:i/>
          <w:sz w:val="20"/>
          <w:szCs w:val="20"/>
        </w:rPr>
        <w:t>ni le nombre de parcelles portant une culture i ;</w:t>
      </w:r>
    </w:p>
    <w:p w:rsidR="004F4CA0" w:rsidRPr="00B6647E" w:rsidRDefault="004F4CA0" w:rsidP="00320D68">
      <w:pPr>
        <w:pStyle w:val="Paragraphedeliste"/>
        <w:numPr>
          <w:ilvl w:val="0"/>
          <w:numId w:val="14"/>
        </w:numPr>
        <w:jc w:val="both"/>
        <w:rPr>
          <w:rFonts w:ascii="Arial" w:hAnsi="Arial" w:cs="Arial"/>
          <w:i/>
          <w:sz w:val="20"/>
          <w:szCs w:val="20"/>
        </w:rPr>
      </w:pPr>
      <w:r w:rsidRPr="00B6647E">
        <w:rPr>
          <w:rFonts w:ascii="Arial" w:hAnsi="Arial" w:cs="Arial"/>
          <w:i/>
          <w:sz w:val="20"/>
          <w:szCs w:val="20"/>
        </w:rPr>
        <w:t>n1i  le nombre parcelles où la culture i est en pur</w:t>
      </w:r>
    </w:p>
    <w:p w:rsidR="004F4CA0" w:rsidRPr="00B6647E" w:rsidRDefault="004F4CA0" w:rsidP="00320D68">
      <w:pPr>
        <w:pStyle w:val="Paragraphedeliste"/>
        <w:numPr>
          <w:ilvl w:val="0"/>
          <w:numId w:val="14"/>
        </w:numPr>
        <w:jc w:val="both"/>
        <w:rPr>
          <w:rFonts w:ascii="Arial" w:hAnsi="Arial" w:cs="Arial"/>
          <w:i/>
          <w:sz w:val="20"/>
          <w:szCs w:val="20"/>
        </w:rPr>
      </w:pPr>
      <w:r w:rsidRPr="00B6647E">
        <w:rPr>
          <w:rFonts w:ascii="Arial" w:hAnsi="Arial" w:cs="Arial"/>
          <w:i/>
          <w:sz w:val="20"/>
          <w:szCs w:val="20"/>
        </w:rPr>
        <w:t>S1ij la superficie de la parcelle j</w:t>
      </w:r>
    </w:p>
    <w:p w:rsidR="004F4CA0" w:rsidRPr="00B6647E" w:rsidRDefault="004F4CA0" w:rsidP="00320D68">
      <w:pPr>
        <w:pStyle w:val="Paragraphedeliste"/>
        <w:numPr>
          <w:ilvl w:val="0"/>
          <w:numId w:val="14"/>
        </w:numPr>
        <w:jc w:val="both"/>
        <w:rPr>
          <w:rFonts w:ascii="Arial" w:hAnsi="Arial" w:cs="Arial"/>
          <w:i/>
          <w:sz w:val="20"/>
          <w:szCs w:val="20"/>
        </w:rPr>
      </w:pPr>
      <w:r w:rsidRPr="00B6647E">
        <w:rPr>
          <w:rFonts w:ascii="Arial" w:hAnsi="Arial" w:cs="Arial"/>
          <w:i/>
          <w:sz w:val="20"/>
          <w:szCs w:val="20"/>
        </w:rPr>
        <w:t>n2i le nombre parcelles où la culture i est en association, mais où elle est dominante sur la parcelle ;</w:t>
      </w:r>
    </w:p>
    <w:p w:rsidR="004F4CA0" w:rsidRPr="00B6647E" w:rsidRDefault="004F4CA0" w:rsidP="00320D68">
      <w:pPr>
        <w:pStyle w:val="Paragraphedeliste"/>
        <w:numPr>
          <w:ilvl w:val="0"/>
          <w:numId w:val="14"/>
        </w:numPr>
        <w:jc w:val="both"/>
        <w:rPr>
          <w:rFonts w:ascii="Arial" w:hAnsi="Arial" w:cs="Arial"/>
          <w:i/>
          <w:sz w:val="20"/>
          <w:szCs w:val="20"/>
        </w:rPr>
      </w:pPr>
      <w:r w:rsidRPr="00B6647E">
        <w:rPr>
          <w:rFonts w:ascii="Arial" w:hAnsi="Arial" w:cs="Arial"/>
          <w:i/>
          <w:sz w:val="20"/>
          <w:szCs w:val="20"/>
        </w:rPr>
        <w:t>S2ij la superficie de la parcelle j</w:t>
      </w:r>
    </w:p>
    <w:p w:rsidR="004F4CA0" w:rsidRPr="00B6647E" w:rsidRDefault="004F4CA0" w:rsidP="00320D68">
      <w:pPr>
        <w:pStyle w:val="Paragraphedeliste"/>
        <w:numPr>
          <w:ilvl w:val="0"/>
          <w:numId w:val="14"/>
        </w:numPr>
        <w:jc w:val="both"/>
        <w:rPr>
          <w:rFonts w:ascii="Arial" w:hAnsi="Arial" w:cs="Arial"/>
          <w:i/>
          <w:sz w:val="20"/>
          <w:szCs w:val="20"/>
        </w:rPr>
      </w:pPr>
      <w:r w:rsidRPr="00B6647E">
        <w:rPr>
          <w:rFonts w:ascii="Arial" w:hAnsi="Arial" w:cs="Arial"/>
          <w:i/>
          <w:sz w:val="20"/>
          <w:szCs w:val="20"/>
        </w:rPr>
        <w:t>n3i le nombre parcelles où la culture i est en association, autre que la culture dominante ;</w:t>
      </w:r>
    </w:p>
    <w:p w:rsidR="004F4CA0" w:rsidRPr="00B6647E" w:rsidRDefault="004F4CA0" w:rsidP="00320D68">
      <w:pPr>
        <w:pStyle w:val="Paragraphedeliste"/>
        <w:numPr>
          <w:ilvl w:val="0"/>
          <w:numId w:val="14"/>
        </w:numPr>
        <w:jc w:val="both"/>
        <w:rPr>
          <w:rFonts w:ascii="Arial" w:hAnsi="Arial" w:cs="Arial"/>
          <w:i/>
          <w:sz w:val="20"/>
          <w:szCs w:val="20"/>
        </w:rPr>
      </w:pPr>
      <w:r w:rsidRPr="00B6647E">
        <w:rPr>
          <w:rFonts w:ascii="Arial" w:hAnsi="Arial" w:cs="Arial"/>
          <w:i/>
          <w:sz w:val="20"/>
          <w:szCs w:val="20"/>
        </w:rPr>
        <w:t>S3ij la superficie de la parcelle j</w:t>
      </w:r>
    </w:p>
    <w:p w:rsidR="004F4CA0" w:rsidRPr="00B6647E" w:rsidRDefault="004F4CA0" w:rsidP="004F4CA0">
      <w:pPr>
        <w:pStyle w:val="Paragraphedeliste"/>
        <w:jc w:val="both"/>
        <w:rPr>
          <w:rFonts w:ascii="Arial" w:hAnsi="Arial" w:cs="Arial"/>
          <w:sz w:val="20"/>
          <w:szCs w:val="20"/>
        </w:rPr>
      </w:pPr>
    </w:p>
    <w:p w:rsidR="004F4CA0" w:rsidRPr="00B6647E" w:rsidRDefault="004F4CA0" w:rsidP="004F4CA0">
      <w:pPr>
        <w:pStyle w:val="Paragraphedeliste"/>
        <w:ind w:left="0"/>
        <w:jc w:val="both"/>
        <w:rPr>
          <w:rFonts w:ascii="Arial" w:hAnsi="Arial" w:cs="Arial"/>
          <w:sz w:val="20"/>
          <w:szCs w:val="20"/>
        </w:rPr>
      </w:pPr>
      <w:r w:rsidRPr="00B6647E">
        <w:rPr>
          <w:rFonts w:ascii="Arial" w:hAnsi="Arial" w:cs="Arial"/>
          <w:sz w:val="20"/>
          <w:szCs w:val="20"/>
        </w:rPr>
        <w:t>La superficie en une culture donnée i est la combinaison des superficies des parcelles portant la culture i en pur et des parcelles la portant en association, c’est-à-dire :</w:t>
      </w:r>
    </w:p>
    <w:p w:rsidR="004F4CA0" w:rsidRPr="00B6647E" w:rsidRDefault="004F4CA0" w:rsidP="004F4CA0">
      <w:pPr>
        <w:pStyle w:val="Paragraphedeliste"/>
        <w:ind w:left="0"/>
        <w:jc w:val="both"/>
        <w:rPr>
          <w:rFonts w:ascii="Arial" w:hAnsi="Arial" w:cs="Arial"/>
          <w:sz w:val="20"/>
          <w:szCs w:val="20"/>
        </w:rPr>
      </w:pPr>
    </w:p>
    <w:p w:rsidR="004F4CA0" w:rsidRPr="00B6647E" w:rsidRDefault="00C07947" w:rsidP="004F4CA0">
      <w:pPr>
        <w:pStyle w:val="Paragraphedeliste"/>
        <w:ind w:left="0"/>
        <w:jc w:val="both"/>
        <w:rPr>
          <w:rFonts w:ascii="Arial" w:hAnsi="Arial" w:cs="Arial"/>
          <w:sz w:val="20"/>
          <w:szCs w:val="20"/>
        </w:rPr>
      </w:pPr>
      <m:oMath>
        <m:r>
          <m:rPr>
            <m:sty m:val="p"/>
          </m:rPr>
          <w:rPr>
            <w:rFonts w:ascii="Cambria Math" w:hAnsi="Arial" w:cs="Arial"/>
            <w:sz w:val="20"/>
            <w:szCs w:val="20"/>
          </w:rPr>
          <m:t>S1i</m:t>
        </m:r>
        <m:r>
          <w:rPr>
            <w:rFonts w:ascii="Cambria Math" w:eastAsia="Cambria Math" w:hAnsi="Arial" w:cs="Arial"/>
            <w:sz w:val="20"/>
            <w:szCs w:val="20"/>
          </w:rPr>
          <m:t>=</m:t>
        </m:r>
        <m:nary>
          <m:naryPr>
            <m:chr m:val="∑"/>
            <m:grow m:val="on"/>
            <m:ctrlPr>
              <w:rPr>
                <w:rFonts w:ascii="Cambria Math" w:hAnsi="Arial" w:cs="Arial"/>
                <w:sz w:val="20"/>
                <w:szCs w:val="20"/>
              </w:rPr>
            </m:ctrlPr>
          </m:naryPr>
          <m:sub>
            <m:r>
              <w:rPr>
                <w:rFonts w:ascii="Cambria Math" w:eastAsia="Cambria Math" w:hAnsi="Cambria Math" w:cs="Arial"/>
                <w:sz w:val="20"/>
                <w:szCs w:val="20"/>
              </w:rPr>
              <m:t>j</m:t>
            </m:r>
            <m:r>
              <w:rPr>
                <w:rFonts w:ascii="Cambria Math" w:eastAsia="Cambria Math" w:hAnsi="Arial" w:cs="Arial"/>
                <w:sz w:val="20"/>
                <w:szCs w:val="20"/>
              </w:rPr>
              <m:t>=1</m:t>
            </m:r>
          </m:sub>
          <m:sup>
            <m:r>
              <w:rPr>
                <w:rFonts w:ascii="Cambria Math" w:eastAsia="Cambria Math" w:hAnsi="Cambria Math" w:cs="Arial"/>
                <w:sz w:val="20"/>
                <w:szCs w:val="20"/>
              </w:rPr>
              <m:t>n</m:t>
            </m:r>
            <m:r>
              <w:rPr>
                <w:rFonts w:ascii="Cambria Math" w:eastAsia="Cambria Math" w:hAnsi="Arial" w:cs="Arial"/>
                <w:sz w:val="20"/>
                <w:szCs w:val="20"/>
              </w:rPr>
              <m:t>1</m:t>
            </m:r>
            <m:r>
              <w:rPr>
                <w:rFonts w:ascii="Cambria Math" w:eastAsia="Cambria Math" w:hAnsi="Cambria Math" w:cs="Arial"/>
                <w:sz w:val="20"/>
                <w:szCs w:val="20"/>
              </w:rPr>
              <m:t>i</m:t>
            </m:r>
          </m:sup>
          <m:e>
            <m:r>
              <m:rPr>
                <m:sty m:val="p"/>
              </m:rPr>
              <w:rPr>
                <w:rFonts w:ascii="Cambria Math" w:hAnsi="Arial" w:cs="Arial"/>
                <w:sz w:val="20"/>
                <w:szCs w:val="20"/>
              </w:rPr>
              <m:t>S1ij</m:t>
            </m:r>
          </m:e>
        </m:nary>
      </m:oMath>
      <w:r w:rsidR="004F4CA0" w:rsidRPr="00B6647E">
        <w:rPr>
          <w:rFonts w:ascii="Arial" w:hAnsi="Arial" w:cs="Arial"/>
          <w:sz w:val="20"/>
          <w:szCs w:val="20"/>
        </w:rPr>
        <w:t xml:space="preserve">    (Superficie des parcelles portant la culture i en pur)</w:t>
      </w:r>
    </w:p>
    <w:p w:rsidR="004F4CA0" w:rsidRPr="00B6647E" w:rsidRDefault="00C07947" w:rsidP="004F4CA0">
      <w:pPr>
        <w:jc w:val="both"/>
        <w:rPr>
          <w:rFonts w:ascii="Arial" w:hAnsi="Arial" w:cs="Arial"/>
          <w:sz w:val="20"/>
          <w:szCs w:val="20"/>
        </w:rPr>
      </w:pPr>
      <m:oMath>
        <m:r>
          <m:rPr>
            <m:sty m:val="p"/>
          </m:rPr>
          <w:rPr>
            <w:rFonts w:ascii="Cambria Math" w:hAnsi="Arial" w:cs="Arial"/>
            <w:sz w:val="20"/>
            <w:szCs w:val="20"/>
          </w:rPr>
          <m:t>S2i</m:t>
        </m:r>
        <m:r>
          <w:rPr>
            <w:rFonts w:ascii="Cambria Math" w:eastAsia="Cambria Math" w:hAnsi="Arial" w:cs="Arial"/>
            <w:sz w:val="20"/>
            <w:szCs w:val="20"/>
          </w:rPr>
          <m:t>=</m:t>
        </m:r>
        <m:nary>
          <m:naryPr>
            <m:chr m:val="∑"/>
            <m:grow m:val="on"/>
            <m:ctrlPr>
              <w:rPr>
                <w:rFonts w:ascii="Cambria Math" w:hAnsi="Arial" w:cs="Arial"/>
                <w:sz w:val="20"/>
                <w:szCs w:val="20"/>
              </w:rPr>
            </m:ctrlPr>
          </m:naryPr>
          <m:sub>
            <m:r>
              <w:rPr>
                <w:rFonts w:ascii="Cambria Math" w:eastAsia="Cambria Math" w:hAnsi="Cambria Math" w:cs="Arial"/>
                <w:sz w:val="20"/>
                <w:szCs w:val="20"/>
              </w:rPr>
              <m:t>j</m:t>
            </m:r>
            <m:r>
              <w:rPr>
                <w:rFonts w:ascii="Cambria Math" w:eastAsia="Cambria Math" w:hAnsi="Arial" w:cs="Arial"/>
                <w:sz w:val="20"/>
                <w:szCs w:val="20"/>
              </w:rPr>
              <m:t>=1</m:t>
            </m:r>
          </m:sub>
          <m:sup>
            <m:r>
              <w:rPr>
                <w:rFonts w:ascii="Cambria Math" w:eastAsia="Cambria Math" w:hAnsi="Cambria Math" w:cs="Arial"/>
                <w:sz w:val="20"/>
                <w:szCs w:val="20"/>
              </w:rPr>
              <m:t>n</m:t>
            </m:r>
            <m:r>
              <w:rPr>
                <w:rFonts w:ascii="Cambria Math" w:eastAsia="Cambria Math" w:hAnsi="Arial" w:cs="Arial"/>
                <w:sz w:val="20"/>
                <w:szCs w:val="20"/>
              </w:rPr>
              <m:t>2</m:t>
            </m:r>
            <m:r>
              <w:rPr>
                <w:rFonts w:ascii="Cambria Math" w:eastAsia="Cambria Math" w:hAnsi="Cambria Math" w:cs="Arial"/>
                <w:sz w:val="20"/>
                <w:szCs w:val="20"/>
              </w:rPr>
              <m:t>i</m:t>
            </m:r>
          </m:sup>
          <m:e>
            <m:r>
              <m:rPr>
                <m:sty m:val="p"/>
              </m:rPr>
              <w:rPr>
                <w:rFonts w:ascii="Cambria Math" w:hAnsi="Arial" w:cs="Arial"/>
                <w:sz w:val="20"/>
                <w:szCs w:val="20"/>
              </w:rPr>
              <m:t>S2ij</m:t>
            </m:r>
          </m:e>
        </m:nary>
        <m:r>
          <w:rPr>
            <w:rFonts w:ascii="Cambria Math" w:hAnsi="Arial" w:cs="Arial"/>
            <w:sz w:val="20"/>
            <w:szCs w:val="20"/>
          </w:rPr>
          <m:t xml:space="preserve"> </m:t>
        </m:r>
      </m:oMath>
      <w:r w:rsidR="004F4CA0" w:rsidRPr="00B6647E">
        <w:rPr>
          <w:rFonts w:ascii="Arial" w:hAnsi="Arial" w:cs="Arial"/>
          <w:sz w:val="20"/>
          <w:szCs w:val="20"/>
        </w:rPr>
        <w:t xml:space="preserve">   (Superficie des parcelles portant la culture i en association, mais où elle est dominante sur la parcelle) ;</w:t>
      </w:r>
    </w:p>
    <w:p w:rsidR="004F4CA0" w:rsidRPr="00B6647E" w:rsidRDefault="00C07947" w:rsidP="004F4CA0">
      <w:pPr>
        <w:jc w:val="both"/>
        <w:rPr>
          <w:rFonts w:ascii="Arial" w:hAnsi="Arial" w:cs="Arial"/>
          <w:sz w:val="20"/>
          <w:szCs w:val="20"/>
        </w:rPr>
      </w:pPr>
      <m:oMath>
        <m:r>
          <m:rPr>
            <m:sty m:val="p"/>
          </m:rPr>
          <w:rPr>
            <w:rFonts w:ascii="Cambria Math" w:hAnsi="Arial" w:cs="Arial"/>
            <w:sz w:val="20"/>
            <w:szCs w:val="20"/>
          </w:rPr>
          <m:t>S3i</m:t>
        </m:r>
        <m:r>
          <w:rPr>
            <w:rFonts w:ascii="Cambria Math" w:eastAsia="Cambria Math" w:hAnsi="Arial" w:cs="Arial"/>
            <w:sz w:val="20"/>
            <w:szCs w:val="20"/>
          </w:rPr>
          <m:t>=</m:t>
        </m:r>
        <m:nary>
          <m:naryPr>
            <m:chr m:val="∑"/>
            <m:grow m:val="on"/>
            <m:ctrlPr>
              <w:rPr>
                <w:rFonts w:ascii="Cambria Math" w:hAnsi="Arial" w:cs="Arial"/>
                <w:sz w:val="20"/>
                <w:szCs w:val="20"/>
              </w:rPr>
            </m:ctrlPr>
          </m:naryPr>
          <m:sub>
            <m:r>
              <w:rPr>
                <w:rFonts w:ascii="Cambria Math" w:eastAsia="Cambria Math" w:hAnsi="Cambria Math" w:cs="Arial"/>
                <w:sz w:val="20"/>
                <w:szCs w:val="20"/>
              </w:rPr>
              <m:t>j</m:t>
            </m:r>
            <m:r>
              <w:rPr>
                <w:rFonts w:ascii="Cambria Math" w:eastAsia="Cambria Math" w:hAnsi="Arial" w:cs="Arial"/>
                <w:sz w:val="20"/>
                <w:szCs w:val="20"/>
              </w:rPr>
              <m:t>=1</m:t>
            </m:r>
          </m:sub>
          <m:sup>
            <m:r>
              <w:rPr>
                <w:rFonts w:ascii="Cambria Math" w:eastAsia="Cambria Math" w:hAnsi="Cambria Math" w:cs="Arial"/>
                <w:sz w:val="20"/>
                <w:szCs w:val="20"/>
              </w:rPr>
              <m:t>n</m:t>
            </m:r>
            <m:r>
              <w:rPr>
                <w:rFonts w:ascii="Cambria Math" w:eastAsia="Cambria Math" w:hAnsi="Arial" w:cs="Arial"/>
                <w:sz w:val="20"/>
                <w:szCs w:val="20"/>
              </w:rPr>
              <m:t>3</m:t>
            </m:r>
            <m:r>
              <w:rPr>
                <w:rFonts w:ascii="Cambria Math" w:eastAsia="Cambria Math" w:hAnsi="Cambria Math" w:cs="Arial"/>
                <w:sz w:val="20"/>
                <w:szCs w:val="20"/>
              </w:rPr>
              <m:t>i</m:t>
            </m:r>
          </m:sup>
          <m:e>
            <m:r>
              <m:rPr>
                <m:sty m:val="p"/>
              </m:rPr>
              <w:rPr>
                <w:rFonts w:ascii="Cambria Math" w:hAnsi="Arial" w:cs="Arial"/>
                <w:sz w:val="20"/>
                <w:szCs w:val="20"/>
              </w:rPr>
              <m:t>S3ij</m:t>
            </m:r>
          </m:e>
        </m:nary>
        <m:r>
          <w:rPr>
            <w:rFonts w:ascii="Cambria Math" w:hAnsi="Arial" w:cs="Arial"/>
            <w:sz w:val="20"/>
            <w:szCs w:val="20"/>
          </w:rPr>
          <m:t xml:space="preserve"> </m:t>
        </m:r>
      </m:oMath>
      <w:r w:rsidR="004F4CA0" w:rsidRPr="00B6647E">
        <w:rPr>
          <w:rFonts w:ascii="Arial" w:hAnsi="Arial" w:cs="Arial"/>
          <w:sz w:val="20"/>
          <w:szCs w:val="20"/>
        </w:rPr>
        <w:t xml:space="preserve">   (Superficie des parcelles portant la culture i en association, autre que la culture dominante).</w:t>
      </w:r>
    </w:p>
    <w:p w:rsidR="004F4CA0" w:rsidRPr="00B6647E" w:rsidRDefault="004F4CA0" w:rsidP="004F4CA0">
      <w:pPr>
        <w:pStyle w:val="Paragraphedeliste"/>
        <w:ind w:left="0"/>
        <w:jc w:val="both"/>
        <w:rPr>
          <w:rFonts w:ascii="Arial" w:hAnsi="Arial" w:cs="Arial"/>
          <w:sz w:val="20"/>
          <w:szCs w:val="20"/>
        </w:rPr>
      </w:pPr>
    </w:p>
    <w:p w:rsidR="004F4CA0" w:rsidRPr="00B6647E" w:rsidRDefault="004F4CA0" w:rsidP="004F4CA0">
      <w:pPr>
        <w:pStyle w:val="Paragraphedeliste"/>
        <w:ind w:left="0"/>
        <w:jc w:val="both"/>
        <w:rPr>
          <w:rFonts w:ascii="Arial" w:hAnsi="Arial" w:cs="Arial"/>
          <w:sz w:val="20"/>
          <w:szCs w:val="20"/>
        </w:rPr>
      </w:pPr>
      <w:r w:rsidRPr="00B6647E">
        <w:rPr>
          <w:rFonts w:ascii="Arial" w:hAnsi="Arial" w:cs="Arial"/>
          <w:sz w:val="20"/>
          <w:szCs w:val="20"/>
        </w:rPr>
        <w:t>Le terme S1i ne pose aucun problème méthodologique. Par contre il y a plusieurs approches pour estimer les termes S2i et S3i, chacune ayant ses avantages et ses inconvénients :</w:t>
      </w:r>
    </w:p>
    <w:p w:rsidR="004F4CA0" w:rsidRPr="00B6647E" w:rsidRDefault="004F4CA0" w:rsidP="004F4CA0">
      <w:pPr>
        <w:pStyle w:val="Paragraphedeliste"/>
        <w:ind w:left="0"/>
        <w:jc w:val="both"/>
        <w:rPr>
          <w:rFonts w:ascii="Arial" w:hAnsi="Arial" w:cs="Arial"/>
          <w:sz w:val="20"/>
          <w:szCs w:val="20"/>
        </w:rPr>
      </w:pPr>
    </w:p>
    <w:p w:rsidR="004F4CA0" w:rsidRPr="00B6647E" w:rsidRDefault="004F4CA0" w:rsidP="00320D68">
      <w:pPr>
        <w:pStyle w:val="Paragraphedeliste"/>
        <w:numPr>
          <w:ilvl w:val="0"/>
          <w:numId w:val="14"/>
        </w:numPr>
        <w:contextualSpacing w:val="0"/>
        <w:jc w:val="both"/>
        <w:rPr>
          <w:rFonts w:ascii="Arial" w:hAnsi="Arial" w:cs="Arial"/>
          <w:sz w:val="20"/>
          <w:szCs w:val="20"/>
        </w:rPr>
      </w:pPr>
      <w:r w:rsidRPr="00B6647E">
        <w:rPr>
          <w:rFonts w:ascii="Arial" w:hAnsi="Arial" w:cs="Arial"/>
          <w:i/>
          <w:sz w:val="20"/>
          <w:szCs w:val="20"/>
        </w:rPr>
        <w:lastRenderedPageBreak/>
        <w:t>Approche par la culture de présence </w:t>
      </w:r>
      <w:r w:rsidRPr="00B6647E">
        <w:rPr>
          <w:rFonts w:ascii="Arial" w:hAnsi="Arial" w:cs="Arial"/>
          <w:sz w:val="20"/>
          <w:szCs w:val="20"/>
        </w:rPr>
        <w:t>: dans cette approche on attribue à la culture présente, indépendamment de son importance (en terme d’homogénéité et de densité), l’ensemble de la superficie de la parcelle;</w:t>
      </w:r>
    </w:p>
    <w:p w:rsidR="004F4CA0" w:rsidRPr="00B6647E" w:rsidRDefault="004F4CA0" w:rsidP="00320D68">
      <w:pPr>
        <w:pStyle w:val="Paragraphedeliste"/>
        <w:numPr>
          <w:ilvl w:val="0"/>
          <w:numId w:val="14"/>
        </w:numPr>
        <w:contextualSpacing w:val="0"/>
        <w:jc w:val="both"/>
        <w:rPr>
          <w:rFonts w:ascii="Arial" w:hAnsi="Arial" w:cs="Arial"/>
          <w:sz w:val="20"/>
          <w:szCs w:val="20"/>
        </w:rPr>
      </w:pPr>
      <w:r w:rsidRPr="00B6647E">
        <w:rPr>
          <w:rFonts w:ascii="Arial" w:hAnsi="Arial" w:cs="Arial"/>
          <w:i/>
          <w:sz w:val="20"/>
          <w:szCs w:val="20"/>
        </w:rPr>
        <w:t>Approche par la culture dominante :</w:t>
      </w:r>
      <w:r w:rsidRPr="00B6647E">
        <w:rPr>
          <w:rFonts w:ascii="Arial" w:hAnsi="Arial" w:cs="Arial"/>
          <w:sz w:val="20"/>
          <w:szCs w:val="20"/>
        </w:rPr>
        <w:t xml:space="preserve"> la culture dominante est considérée comme étant celle qui occupe la plus grande superficie de la parcelle. Sa détermination peut se faire à vue ou avec la collaboration de l’exploitant;</w:t>
      </w:r>
    </w:p>
    <w:p w:rsidR="004F4CA0" w:rsidRPr="00B6647E" w:rsidRDefault="004F4CA0" w:rsidP="00320D68">
      <w:pPr>
        <w:pStyle w:val="Paragraphedeliste"/>
        <w:numPr>
          <w:ilvl w:val="0"/>
          <w:numId w:val="14"/>
        </w:numPr>
        <w:contextualSpacing w:val="0"/>
        <w:jc w:val="both"/>
        <w:rPr>
          <w:rFonts w:ascii="Arial" w:hAnsi="Arial" w:cs="Arial"/>
          <w:sz w:val="20"/>
          <w:szCs w:val="20"/>
        </w:rPr>
      </w:pPr>
      <w:r w:rsidRPr="00B6647E">
        <w:rPr>
          <w:rFonts w:ascii="Arial" w:hAnsi="Arial" w:cs="Arial"/>
          <w:i/>
          <w:sz w:val="20"/>
          <w:szCs w:val="20"/>
        </w:rPr>
        <w:t>Approche par la culture principale :</w:t>
      </w:r>
      <w:r w:rsidRPr="00B6647E">
        <w:rPr>
          <w:rFonts w:ascii="Arial" w:hAnsi="Arial" w:cs="Arial"/>
          <w:sz w:val="20"/>
          <w:szCs w:val="20"/>
        </w:rPr>
        <w:t> la culture principale est considérée comme celle dont les caractéristiques sont proches de celles des cultures en mode pur (quantité de semences, densité de la culture, opinion de l’exploitant);</w:t>
      </w:r>
    </w:p>
    <w:p w:rsidR="004F4CA0" w:rsidRPr="00B6647E" w:rsidRDefault="004F4CA0" w:rsidP="00320D68">
      <w:pPr>
        <w:pStyle w:val="Paragraphedeliste"/>
        <w:numPr>
          <w:ilvl w:val="0"/>
          <w:numId w:val="14"/>
        </w:numPr>
        <w:contextualSpacing w:val="0"/>
        <w:jc w:val="both"/>
        <w:rPr>
          <w:rFonts w:ascii="Arial" w:hAnsi="Arial" w:cs="Arial"/>
          <w:sz w:val="20"/>
          <w:szCs w:val="20"/>
        </w:rPr>
      </w:pPr>
      <w:r w:rsidRPr="00B6647E">
        <w:rPr>
          <w:rFonts w:ascii="Arial" w:hAnsi="Arial" w:cs="Arial"/>
          <w:i/>
          <w:sz w:val="20"/>
          <w:szCs w:val="20"/>
        </w:rPr>
        <w:t>Approche par l’imputation de superficie aux cultures de l’association :</w:t>
      </w:r>
      <w:r w:rsidRPr="00B6647E">
        <w:rPr>
          <w:rFonts w:ascii="Arial" w:hAnsi="Arial" w:cs="Arial"/>
          <w:sz w:val="20"/>
          <w:szCs w:val="20"/>
        </w:rPr>
        <w:t xml:space="preserve"> il s’agit d’une superficie théorique qui revient à déterminer la superficie que la culture aurait occupée en mode pur. Le critère d’imputation généralement utilisé est la densité de la culture ou la quantité de semences utilisée.</w:t>
      </w:r>
    </w:p>
    <w:p w:rsidR="004F4CA0" w:rsidRPr="00B6647E" w:rsidRDefault="004F4CA0" w:rsidP="004F4CA0">
      <w:pPr>
        <w:jc w:val="both"/>
        <w:rPr>
          <w:rFonts w:ascii="Arial" w:hAnsi="Arial" w:cs="Arial"/>
          <w:sz w:val="20"/>
          <w:szCs w:val="20"/>
        </w:rPr>
      </w:pPr>
      <w:r w:rsidRPr="00B6647E">
        <w:rPr>
          <w:rFonts w:ascii="Arial" w:hAnsi="Arial" w:cs="Arial"/>
          <w:sz w:val="20"/>
          <w:szCs w:val="20"/>
        </w:rPr>
        <w:t>Dans l’ENAB l’approche employée est celle de la culture de présence. Cependant, la superficie publiée est la superficie physique, c’est-à-dire :</w:t>
      </w:r>
      <m:oMath>
        <m:r>
          <w:rPr>
            <w:rFonts w:ascii="Cambria Math" w:hAnsi="Arial" w:cs="Arial"/>
            <w:sz w:val="20"/>
            <w:szCs w:val="20"/>
          </w:rPr>
          <m:t xml:space="preserve"> </m:t>
        </m:r>
        <m:r>
          <m:rPr>
            <m:sty m:val="p"/>
          </m:rPr>
          <w:rPr>
            <w:rFonts w:ascii="Cambria Math" w:hAnsi="Arial" w:cs="Arial"/>
            <w:sz w:val="20"/>
            <w:szCs w:val="20"/>
          </w:rPr>
          <m:t>Si=S1i+ S2i</m:t>
        </m:r>
      </m:oMath>
      <w:r w:rsidRPr="00B6647E">
        <w:rPr>
          <w:rFonts w:ascii="Arial" w:hAnsi="Arial" w:cs="Arial"/>
          <w:sz w:val="20"/>
          <w:szCs w:val="20"/>
        </w:rPr>
        <w:t xml:space="preserve"> et non la superficie de présence : </w:t>
      </w:r>
      <m:oMath>
        <m:r>
          <m:rPr>
            <m:sty m:val="p"/>
          </m:rPr>
          <w:rPr>
            <w:rFonts w:ascii="Cambria Math" w:hAnsi="Arial" w:cs="Arial"/>
            <w:sz w:val="20"/>
            <w:szCs w:val="20"/>
          </w:rPr>
          <m:t>Si=S1i+ S2i</m:t>
        </m:r>
      </m:oMath>
      <w:r w:rsidRPr="00B6647E">
        <w:rPr>
          <w:rFonts w:ascii="Arial" w:hAnsi="Arial" w:cs="Arial"/>
          <w:sz w:val="20"/>
          <w:szCs w:val="20"/>
        </w:rPr>
        <w:t xml:space="preserve"> + </w:t>
      </w:r>
      <m:oMath>
        <m:r>
          <m:rPr>
            <m:sty m:val="p"/>
          </m:rPr>
          <w:rPr>
            <w:rFonts w:ascii="Cambria Math" w:hAnsi="Arial" w:cs="Arial"/>
            <w:sz w:val="20"/>
            <w:szCs w:val="20"/>
          </w:rPr>
          <m:t>S3i</m:t>
        </m:r>
      </m:oMath>
    </w:p>
    <w:p w:rsidR="004F4CA0" w:rsidRPr="00B6647E" w:rsidRDefault="004F4CA0" w:rsidP="0052337E">
      <w:pPr>
        <w:pStyle w:val="Titre2"/>
        <w:spacing w:before="240" w:after="200"/>
        <w:rPr>
          <w:rFonts w:cs="Arial"/>
          <w:u w:val="dotDash"/>
        </w:rPr>
      </w:pPr>
      <w:bookmarkStart w:id="355" w:name="_Toc349912933"/>
      <w:bookmarkStart w:id="356" w:name="_Toc354313936"/>
      <w:r w:rsidRPr="00B6647E">
        <w:rPr>
          <w:rFonts w:cs="Arial"/>
          <w:u w:val="dotDash"/>
        </w:rPr>
        <w:t>Estimation de la production</w:t>
      </w:r>
      <w:bookmarkEnd w:id="355"/>
      <w:bookmarkEnd w:id="356"/>
    </w:p>
    <w:p w:rsidR="004F4CA0" w:rsidRPr="00B6647E" w:rsidRDefault="004F4CA0" w:rsidP="004F4CA0">
      <w:pPr>
        <w:jc w:val="both"/>
        <w:rPr>
          <w:rFonts w:ascii="Arial" w:hAnsi="Arial" w:cs="Arial"/>
          <w:sz w:val="20"/>
          <w:szCs w:val="20"/>
        </w:rPr>
      </w:pPr>
      <w:r w:rsidRPr="00B6647E">
        <w:rPr>
          <w:rFonts w:ascii="Arial" w:hAnsi="Arial" w:cs="Arial"/>
          <w:sz w:val="20"/>
          <w:szCs w:val="20"/>
        </w:rPr>
        <w:t>Les rendements sont estimés à partir des carrés de rendement posés dans toutes les parcelles d’un ménage échantillons sur deux.</w:t>
      </w:r>
    </w:p>
    <w:p w:rsidR="004F4CA0" w:rsidRPr="00B6647E" w:rsidRDefault="004F4CA0" w:rsidP="004F4CA0">
      <w:pPr>
        <w:jc w:val="both"/>
        <w:rPr>
          <w:rFonts w:ascii="Arial" w:hAnsi="Arial" w:cs="Arial"/>
          <w:sz w:val="20"/>
          <w:szCs w:val="20"/>
        </w:rPr>
      </w:pPr>
      <w:r w:rsidRPr="00B6647E">
        <w:rPr>
          <w:rFonts w:ascii="Arial" w:hAnsi="Arial" w:cs="Arial"/>
          <w:sz w:val="20"/>
          <w:szCs w:val="20"/>
        </w:rPr>
        <w:t xml:space="preserve">Soient : </w:t>
      </w:r>
    </w:p>
    <w:p w:rsidR="004F4CA0" w:rsidRPr="00B6647E" w:rsidRDefault="004F4CA0" w:rsidP="00320D68">
      <w:pPr>
        <w:pStyle w:val="Paragraphedeliste"/>
        <w:numPr>
          <w:ilvl w:val="0"/>
          <w:numId w:val="14"/>
        </w:numPr>
        <w:jc w:val="both"/>
        <w:rPr>
          <w:rFonts w:ascii="Arial" w:hAnsi="Arial" w:cs="Arial"/>
          <w:i/>
          <w:sz w:val="20"/>
          <w:szCs w:val="20"/>
        </w:rPr>
      </w:pPr>
      <w:r w:rsidRPr="00B6647E">
        <w:rPr>
          <w:rFonts w:ascii="Arial" w:hAnsi="Arial" w:cs="Arial"/>
          <w:i/>
          <w:sz w:val="20"/>
          <w:szCs w:val="20"/>
        </w:rPr>
        <w:t>ni le nombre de parcelles portant une culture i ;</w:t>
      </w:r>
    </w:p>
    <w:p w:rsidR="004F4CA0" w:rsidRPr="00B6647E" w:rsidRDefault="004F4CA0" w:rsidP="00320D68">
      <w:pPr>
        <w:pStyle w:val="Paragraphedeliste"/>
        <w:numPr>
          <w:ilvl w:val="0"/>
          <w:numId w:val="14"/>
        </w:numPr>
        <w:jc w:val="both"/>
        <w:rPr>
          <w:rFonts w:ascii="Arial" w:hAnsi="Arial" w:cs="Arial"/>
          <w:i/>
          <w:sz w:val="20"/>
          <w:szCs w:val="20"/>
        </w:rPr>
      </w:pPr>
      <w:r w:rsidRPr="00B6647E">
        <w:rPr>
          <w:rFonts w:ascii="Arial" w:hAnsi="Arial" w:cs="Arial"/>
          <w:i/>
          <w:sz w:val="20"/>
          <w:szCs w:val="20"/>
        </w:rPr>
        <w:t>n1i  le nombre parcelles où la culture i est en pur</w:t>
      </w:r>
    </w:p>
    <w:p w:rsidR="004F4CA0" w:rsidRPr="00B6647E" w:rsidRDefault="004F4CA0" w:rsidP="00320D68">
      <w:pPr>
        <w:pStyle w:val="Paragraphedeliste"/>
        <w:numPr>
          <w:ilvl w:val="0"/>
          <w:numId w:val="14"/>
        </w:numPr>
        <w:jc w:val="both"/>
        <w:rPr>
          <w:rFonts w:ascii="Arial" w:hAnsi="Arial" w:cs="Arial"/>
          <w:i/>
          <w:sz w:val="20"/>
          <w:szCs w:val="20"/>
        </w:rPr>
      </w:pPr>
      <w:r w:rsidRPr="00B6647E">
        <w:rPr>
          <w:rFonts w:ascii="Arial" w:hAnsi="Arial" w:cs="Arial"/>
          <w:i/>
          <w:sz w:val="20"/>
          <w:szCs w:val="20"/>
        </w:rPr>
        <w:t>R1ij le rendement de la culture i de la parcelle j</w:t>
      </w:r>
    </w:p>
    <w:p w:rsidR="004F4CA0" w:rsidRPr="00B6647E" w:rsidRDefault="004F4CA0" w:rsidP="00320D68">
      <w:pPr>
        <w:pStyle w:val="Paragraphedeliste"/>
        <w:numPr>
          <w:ilvl w:val="0"/>
          <w:numId w:val="14"/>
        </w:numPr>
        <w:jc w:val="both"/>
        <w:rPr>
          <w:rFonts w:ascii="Arial" w:hAnsi="Arial" w:cs="Arial"/>
          <w:i/>
          <w:sz w:val="20"/>
          <w:szCs w:val="20"/>
        </w:rPr>
      </w:pPr>
      <w:r w:rsidRPr="00B6647E">
        <w:rPr>
          <w:rFonts w:ascii="Arial" w:hAnsi="Arial" w:cs="Arial"/>
          <w:i/>
          <w:sz w:val="20"/>
          <w:szCs w:val="20"/>
        </w:rPr>
        <w:t>n2i le nombre parcelles où la culture i est en association, mais où elle est dominante sur la parcelle ;</w:t>
      </w:r>
    </w:p>
    <w:p w:rsidR="004F4CA0" w:rsidRPr="00B6647E" w:rsidRDefault="004F4CA0" w:rsidP="00320D68">
      <w:pPr>
        <w:pStyle w:val="Paragraphedeliste"/>
        <w:numPr>
          <w:ilvl w:val="0"/>
          <w:numId w:val="14"/>
        </w:numPr>
        <w:jc w:val="both"/>
        <w:rPr>
          <w:rFonts w:ascii="Arial" w:hAnsi="Arial" w:cs="Arial"/>
          <w:i/>
          <w:sz w:val="20"/>
          <w:szCs w:val="20"/>
        </w:rPr>
      </w:pPr>
      <w:r w:rsidRPr="00B6647E">
        <w:rPr>
          <w:rFonts w:ascii="Arial" w:hAnsi="Arial" w:cs="Arial"/>
          <w:i/>
          <w:sz w:val="20"/>
          <w:szCs w:val="20"/>
        </w:rPr>
        <w:t>R2ij le rendement de la culture dominante i de la parcelle j</w:t>
      </w:r>
    </w:p>
    <w:p w:rsidR="004F4CA0" w:rsidRPr="00B6647E" w:rsidRDefault="004F4CA0" w:rsidP="00320D68">
      <w:pPr>
        <w:pStyle w:val="Paragraphedeliste"/>
        <w:numPr>
          <w:ilvl w:val="0"/>
          <w:numId w:val="14"/>
        </w:numPr>
        <w:jc w:val="both"/>
        <w:rPr>
          <w:rFonts w:ascii="Arial" w:hAnsi="Arial" w:cs="Arial"/>
          <w:i/>
          <w:sz w:val="20"/>
          <w:szCs w:val="20"/>
        </w:rPr>
      </w:pPr>
      <w:r w:rsidRPr="00B6647E">
        <w:rPr>
          <w:rFonts w:ascii="Arial" w:hAnsi="Arial" w:cs="Arial"/>
          <w:i/>
          <w:sz w:val="20"/>
          <w:szCs w:val="20"/>
        </w:rPr>
        <w:t>n3i le nombre parcelles où la culture i est en association, autre que la culture dominante ;</w:t>
      </w:r>
    </w:p>
    <w:p w:rsidR="004F4CA0" w:rsidRPr="00B6647E" w:rsidRDefault="004F4CA0" w:rsidP="00320D68">
      <w:pPr>
        <w:pStyle w:val="Paragraphedeliste"/>
        <w:numPr>
          <w:ilvl w:val="0"/>
          <w:numId w:val="14"/>
        </w:numPr>
        <w:jc w:val="both"/>
        <w:rPr>
          <w:rFonts w:ascii="Arial" w:hAnsi="Arial" w:cs="Arial"/>
          <w:i/>
          <w:sz w:val="20"/>
          <w:szCs w:val="20"/>
        </w:rPr>
      </w:pPr>
      <w:r w:rsidRPr="00B6647E">
        <w:rPr>
          <w:rFonts w:ascii="Arial" w:hAnsi="Arial" w:cs="Arial"/>
          <w:i/>
          <w:sz w:val="20"/>
          <w:szCs w:val="20"/>
        </w:rPr>
        <w:t>R 3ij le rendement de la culture non dominante i de la parcelle j</w:t>
      </w:r>
    </w:p>
    <w:p w:rsidR="004F4CA0" w:rsidRPr="00B6647E" w:rsidRDefault="004F4CA0" w:rsidP="004F4CA0">
      <w:pPr>
        <w:jc w:val="both"/>
        <w:rPr>
          <w:rFonts w:ascii="Arial" w:hAnsi="Arial" w:cs="Arial"/>
          <w:sz w:val="20"/>
          <w:szCs w:val="20"/>
        </w:rPr>
      </w:pPr>
      <w:r w:rsidRPr="00B6647E">
        <w:rPr>
          <w:rFonts w:ascii="Arial" w:hAnsi="Arial" w:cs="Arial"/>
          <w:sz w:val="20"/>
          <w:szCs w:val="20"/>
        </w:rPr>
        <w:t>Des rendements sont calculés par moyenne simple par province (ou région naturelle) et par culture (en pur et en association dominante ou non dominante).</w:t>
      </w:r>
    </w:p>
    <w:p w:rsidR="004F4CA0" w:rsidRPr="00B6647E" w:rsidRDefault="00C07947" w:rsidP="00320D68">
      <w:pPr>
        <w:pStyle w:val="Paragraphedeliste"/>
        <w:numPr>
          <w:ilvl w:val="0"/>
          <w:numId w:val="14"/>
        </w:numPr>
        <w:contextualSpacing w:val="0"/>
        <w:jc w:val="both"/>
        <w:rPr>
          <w:rFonts w:ascii="Arial" w:hAnsi="Arial" w:cs="Arial"/>
          <w:sz w:val="20"/>
          <w:szCs w:val="20"/>
        </w:rPr>
      </w:pPr>
      <m:oMath>
        <m:r>
          <m:rPr>
            <m:sty m:val="p"/>
          </m:rPr>
          <w:rPr>
            <w:rFonts w:ascii="Cambria Math" w:hAnsi="Arial" w:cs="Arial"/>
            <w:sz w:val="20"/>
            <w:szCs w:val="20"/>
          </w:rPr>
          <m:t>R1i</m:t>
        </m:r>
        <m:r>
          <w:rPr>
            <w:rFonts w:ascii="Cambria Math" w:eastAsia="Cambria Math" w:hAnsi="Arial" w:cs="Arial"/>
            <w:sz w:val="20"/>
            <w:szCs w:val="20"/>
          </w:rPr>
          <m:t>=</m:t>
        </m:r>
        <m:f>
          <m:fPr>
            <m:ctrlPr>
              <w:rPr>
                <w:rFonts w:ascii="Cambria Math" w:eastAsia="Cambria Math" w:hAnsi="Arial" w:cs="Arial"/>
                <w:i/>
                <w:sz w:val="20"/>
                <w:szCs w:val="20"/>
              </w:rPr>
            </m:ctrlPr>
          </m:fPr>
          <m:num>
            <m:r>
              <w:rPr>
                <w:rFonts w:ascii="Cambria Math" w:eastAsia="Cambria Math" w:hAnsi="Arial" w:cs="Arial"/>
                <w:sz w:val="20"/>
                <w:szCs w:val="20"/>
              </w:rPr>
              <m:t>1</m:t>
            </m:r>
          </m:num>
          <m:den>
            <m:r>
              <w:rPr>
                <w:rFonts w:ascii="Cambria Math" w:eastAsia="Cambria Math" w:hAnsi="Arial" w:cs="Arial"/>
                <w:sz w:val="20"/>
                <w:szCs w:val="20"/>
              </w:rPr>
              <m:t>n1i</m:t>
            </m:r>
          </m:den>
        </m:f>
        <m:nary>
          <m:naryPr>
            <m:chr m:val="∑"/>
            <m:grow m:val="on"/>
            <m:ctrlPr>
              <w:rPr>
                <w:rFonts w:ascii="Cambria Math" w:hAnsi="Arial" w:cs="Arial"/>
                <w:sz w:val="20"/>
                <w:szCs w:val="20"/>
              </w:rPr>
            </m:ctrlPr>
          </m:naryPr>
          <m:sub>
            <m:r>
              <w:rPr>
                <w:rFonts w:ascii="Cambria Math" w:eastAsia="Cambria Math" w:hAnsi="Cambria Math" w:cs="Arial"/>
                <w:sz w:val="20"/>
                <w:szCs w:val="20"/>
              </w:rPr>
              <m:t>j</m:t>
            </m:r>
            <m:r>
              <w:rPr>
                <w:rFonts w:ascii="Cambria Math" w:eastAsia="Cambria Math" w:hAnsi="Arial" w:cs="Arial"/>
                <w:sz w:val="20"/>
                <w:szCs w:val="20"/>
              </w:rPr>
              <m:t>=1</m:t>
            </m:r>
          </m:sub>
          <m:sup>
            <m:r>
              <w:rPr>
                <w:rFonts w:ascii="Cambria Math" w:eastAsia="Cambria Math" w:hAnsi="Cambria Math" w:cs="Arial"/>
                <w:sz w:val="20"/>
                <w:szCs w:val="20"/>
              </w:rPr>
              <m:t>n</m:t>
            </m:r>
            <m:r>
              <w:rPr>
                <w:rFonts w:ascii="Cambria Math" w:eastAsia="Cambria Math" w:hAnsi="Arial" w:cs="Arial"/>
                <w:sz w:val="20"/>
                <w:szCs w:val="20"/>
              </w:rPr>
              <m:t>1</m:t>
            </m:r>
            <m:r>
              <w:rPr>
                <w:rFonts w:ascii="Cambria Math" w:eastAsia="Cambria Math" w:hAnsi="Cambria Math" w:cs="Arial"/>
                <w:sz w:val="20"/>
                <w:szCs w:val="20"/>
              </w:rPr>
              <m:t>i</m:t>
            </m:r>
          </m:sup>
          <m:e>
            <m:r>
              <m:rPr>
                <m:sty m:val="p"/>
              </m:rPr>
              <w:rPr>
                <w:rFonts w:ascii="Cambria Math" w:hAnsi="Arial" w:cs="Arial"/>
                <w:sz w:val="20"/>
                <w:szCs w:val="20"/>
              </w:rPr>
              <m:t>R1ij</m:t>
            </m:r>
          </m:e>
        </m:nary>
      </m:oMath>
      <w:r w:rsidR="004F4CA0" w:rsidRPr="00B6647E">
        <w:rPr>
          <w:rFonts w:ascii="Arial" w:hAnsi="Arial" w:cs="Arial"/>
          <w:sz w:val="20"/>
          <w:szCs w:val="20"/>
        </w:rPr>
        <w:t xml:space="preserve">    (Rendement moyen de la culture i en pur)</w:t>
      </w:r>
    </w:p>
    <w:p w:rsidR="004F4CA0" w:rsidRPr="00B6647E" w:rsidRDefault="00C07947" w:rsidP="00320D68">
      <w:pPr>
        <w:pStyle w:val="Paragraphedeliste"/>
        <w:numPr>
          <w:ilvl w:val="0"/>
          <w:numId w:val="14"/>
        </w:numPr>
        <w:contextualSpacing w:val="0"/>
        <w:jc w:val="both"/>
        <w:rPr>
          <w:rFonts w:ascii="Arial" w:hAnsi="Arial" w:cs="Arial"/>
          <w:sz w:val="20"/>
          <w:szCs w:val="20"/>
        </w:rPr>
      </w:pPr>
      <m:oMath>
        <m:r>
          <m:rPr>
            <m:sty m:val="p"/>
          </m:rPr>
          <w:rPr>
            <w:rFonts w:ascii="Cambria Math" w:hAnsi="Arial" w:cs="Arial"/>
            <w:sz w:val="20"/>
            <w:szCs w:val="20"/>
          </w:rPr>
          <m:t>R2i</m:t>
        </m:r>
        <m:r>
          <w:rPr>
            <w:rFonts w:ascii="Cambria Math" w:eastAsia="Cambria Math" w:hAnsi="Arial" w:cs="Arial"/>
            <w:sz w:val="20"/>
            <w:szCs w:val="20"/>
          </w:rPr>
          <m:t>=</m:t>
        </m:r>
        <m:f>
          <m:fPr>
            <m:ctrlPr>
              <w:rPr>
                <w:rFonts w:ascii="Cambria Math" w:eastAsia="Cambria Math" w:hAnsi="Arial" w:cs="Arial"/>
                <w:i/>
                <w:sz w:val="20"/>
                <w:szCs w:val="20"/>
              </w:rPr>
            </m:ctrlPr>
          </m:fPr>
          <m:num>
            <m:r>
              <w:rPr>
                <w:rFonts w:ascii="Cambria Math" w:eastAsia="Cambria Math" w:hAnsi="Arial" w:cs="Arial"/>
                <w:sz w:val="20"/>
                <w:szCs w:val="20"/>
              </w:rPr>
              <m:t>1</m:t>
            </m:r>
          </m:num>
          <m:den>
            <m:r>
              <w:rPr>
                <w:rFonts w:ascii="Cambria Math" w:eastAsia="Cambria Math" w:hAnsi="Arial" w:cs="Arial"/>
                <w:sz w:val="20"/>
                <w:szCs w:val="20"/>
              </w:rPr>
              <m:t>n2i</m:t>
            </m:r>
          </m:den>
        </m:f>
        <m:nary>
          <m:naryPr>
            <m:chr m:val="∑"/>
            <m:grow m:val="on"/>
            <m:ctrlPr>
              <w:rPr>
                <w:rFonts w:ascii="Cambria Math" w:hAnsi="Arial" w:cs="Arial"/>
                <w:sz w:val="20"/>
                <w:szCs w:val="20"/>
              </w:rPr>
            </m:ctrlPr>
          </m:naryPr>
          <m:sub>
            <m:r>
              <w:rPr>
                <w:rFonts w:ascii="Cambria Math" w:eastAsia="Cambria Math" w:hAnsi="Cambria Math" w:cs="Arial"/>
                <w:sz w:val="20"/>
                <w:szCs w:val="20"/>
              </w:rPr>
              <m:t>j</m:t>
            </m:r>
            <m:r>
              <w:rPr>
                <w:rFonts w:ascii="Cambria Math" w:eastAsia="Cambria Math" w:hAnsi="Arial" w:cs="Arial"/>
                <w:sz w:val="20"/>
                <w:szCs w:val="20"/>
              </w:rPr>
              <m:t>=1</m:t>
            </m:r>
          </m:sub>
          <m:sup>
            <m:r>
              <w:rPr>
                <w:rFonts w:ascii="Cambria Math" w:eastAsia="Cambria Math" w:hAnsi="Cambria Math" w:cs="Arial"/>
                <w:sz w:val="20"/>
                <w:szCs w:val="20"/>
              </w:rPr>
              <m:t>n</m:t>
            </m:r>
            <m:r>
              <w:rPr>
                <w:rFonts w:ascii="Cambria Math" w:eastAsia="Cambria Math" w:hAnsi="Arial" w:cs="Arial"/>
                <w:sz w:val="20"/>
                <w:szCs w:val="20"/>
              </w:rPr>
              <m:t>2</m:t>
            </m:r>
            <m:r>
              <w:rPr>
                <w:rFonts w:ascii="Cambria Math" w:eastAsia="Cambria Math" w:hAnsi="Cambria Math" w:cs="Arial"/>
                <w:sz w:val="20"/>
                <w:szCs w:val="20"/>
              </w:rPr>
              <m:t>i</m:t>
            </m:r>
          </m:sup>
          <m:e>
            <m:r>
              <m:rPr>
                <m:sty m:val="p"/>
              </m:rPr>
              <w:rPr>
                <w:rFonts w:ascii="Cambria Math" w:hAnsi="Arial" w:cs="Arial"/>
                <w:sz w:val="20"/>
                <w:szCs w:val="20"/>
              </w:rPr>
              <m:t>R2ij</m:t>
            </m:r>
          </m:e>
        </m:nary>
      </m:oMath>
      <w:r w:rsidR="004F4CA0" w:rsidRPr="00B6647E">
        <w:rPr>
          <w:rFonts w:ascii="Arial" w:hAnsi="Arial" w:cs="Arial"/>
          <w:sz w:val="20"/>
          <w:szCs w:val="20"/>
        </w:rPr>
        <w:t xml:space="preserve">    (Rendement moyen de la culture dominante i)</w:t>
      </w:r>
    </w:p>
    <w:p w:rsidR="004F4CA0" w:rsidRPr="00B6647E" w:rsidRDefault="00C07947" w:rsidP="00320D68">
      <w:pPr>
        <w:pStyle w:val="Paragraphedeliste"/>
        <w:numPr>
          <w:ilvl w:val="0"/>
          <w:numId w:val="14"/>
        </w:numPr>
        <w:contextualSpacing w:val="0"/>
        <w:jc w:val="both"/>
        <w:rPr>
          <w:rFonts w:ascii="Arial" w:hAnsi="Arial" w:cs="Arial"/>
          <w:sz w:val="20"/>
          <w:szCs w:val="20"/>
        </w:rPr>
      </w:pPr>
      <m:oMath>
        <m:r>
          <m:rPr>
            <m:sty m:val="p"/>
          </m:rPr>
          <w:rPr>
            <w:rFonts w:ascii="Cambria Math" w:hAnsi="Arial" w:cs="Arial"/>
            <w:sz w:val="20"/>
            <w:szCs w:val="20"/>
          </w:rPr>
          <m:t>R3i</m:t>
        </m:r>
        <m:r>
          <w:rPr>
            <w:rFonts w:ascii="Cambria Math" w:eastAsia="Cambria Math" w:hAnsi="Arial" w:cs="Arial"/>
            <w:sz w:val="20"/>
            <w:szCs w:val="20"/>
          </w:rPr>
          <m:t>=</m:t>
        </m:r>
        <m:f>
          <m:fPr>
            <m:ctrlPr>
              <w:rPr>
                <w:rFonts w:ascii="Cambria Math" w:eastAsia="Cambria Math" w:hAnsi="Arial" w:cs="Arial"/>
                <w:i/>
                <w:sz w:val="20"/>
                <w:szCs w:val="20"/>
              </w:rPr>
            </m:ctrlPr>
          </m:fPr>
          <m:num>
            <m:r>
              <w:rPr>
                <w:rFonts w:ascii="Cambria Math" w:eastAsia="Cambria Math" w:hAnsi="Arial" w:cs="Arial"/>
                <w:sz w:val="20"/>
                <w:szCs w:val="20"/>
              </w:rPr>
              <m:t>1</m:t>
            </m:r>
          </m:num>
          <m:den>
            <m:r>
              <w:rPr>
                <w:rFonts w:ascii="Cambria Math" w:eastAsia="Cambria Math" w:hAnsi="Arial" w:cs="Arial"/>
                <w:sz w:val="20"/>
                <w:szCs w:val="20"/>
              </w:rPr>
              <m:t>n3i</m:t>
            </m:r>
          </m:den>
        </m:f>
        <m:nary>
          <m:naryPr>
            <m:chr m:val="∑"/>
            <m:grow m:val="on"/>
            <m:ctrlPr>
              <w:rPr>
                <w:rFonts w:ascii="Cambria Math" w:hAnsi="Arial" w:cs="Arial"/>
                <w:sz w:val="20"/>
                <w:szCs w:val="20"/>
              </w:rPr>
            </m:ctrlPr>
          </m:naryPr>
          <m:sub>
            <m:r>
              <w:rPr>
                <w:rFonts w:ascii="Cambria Math" w:eastAsia="Cambria Math" w:hAnsi="Cambria Math" w:cs="Arial"/>
                <w:sz w:val="20"/>
                <w:szCs w:val="20"/>
              </w:rPr>
              <m:t>j</m:t>
            </m:r>
            <m:r>
              <w:rPr>
                <w:rFonts w:ascii="Cambria Math" w:eastAsia="Cambria Math" w:hAnsi="Arial" w:cs="Arial"/>
                <w:sz w:val="20"/>
                <w:szCs w:val="20"/>
              </w:rPr>
              <m:t>=1</m:t>
            </m:r>
          </m:sub>
          <m:sup>
            <m:r>
              <w:rPr>
                <w:rFonts w:ascii="Cambria Math" w:eastAsia="Cambria Math" w:hAnsi="Cambria Math" w:cs="Arial"/>
                <w:sz w:val="20"/>
                <w:szCs w:val="20"/>
              </w:rPr>
              <m:t>n</m:t>
            </m:r>
            <m:r>
              <w:rPr>
                <w:rFonts w:ascii="Cambria Math" w:eastAsia="Cambria Math" w:hAnsi="Arial" w:cs="Arial"/>
                <w:sz w:val="20"/>
                <w:szCs w:val="20"/>
              </w:rPr>
              <m:t>3</m:t>
            </m:r>
            <m:r>
              <w:rPr>
                <w:rFonts w:ascii="Cambria Math" w:eastAsia="Cambria Math" w:hAnsi="Cambria Math" w:cs="Arial"/>
                <w:sz w:val="20"/>
                <w:szCs w:val="20"/>
              </w:rPr>
              <m:t>i</m:t>
            </m:r>
          </m:sup>
          <m:e>
            <m:r>
              <m:rPr>
                <m:sty m:val="p"/>
              </m:rPr>
              <w:rPr>
                <w:rFonts w:ascii="Cambria Math" w:hAnsi="Arial" w:cs="Arial"/>
                <w:sz w:val="20"/>
                <w:szCs w:val="20"/>
              </w:rPr>
              <m:t>R3ij</m:t>
            </m:r>
          </m:e>
        </m:nary>
      </m:oMath>
      <w:r w:rsidR="004F4CA0" w:rsidRPr="00B6647E">
        <w:rPr>
          <w:rFonts w:ascii="Arial" w:hAnsi="Arial" w:cs="Arial"/>
          <w:sz w:val="20"/>
          <w:szCs w:val="20"/>
        </w:rPr>
        <w:t xml:space="preserve">    (Rendement moyen de la culture non dominante i)</w:t>
      </w:r>
    </w:p>
    <w:p w:rsidR="004F4CA0" w:rsidRPr="00B6647E" w:rsidRDefault="004F4CA0" w:rsidP="004F4CA0">
      <w:pPr>
        <w:jc w:val="both"/>
        <w:rPr>
          <w:rFonts w:ascii="Arial" w:hAnsi="Arial" w:cs="Arial"/>
          <w:sz w:val="20"/>
          <w:szCs w:val="20"/>
        </w:rPr>
      </w:pPr>
      <w:r w:rsidRPr="00B6647E">
        <w:rPr>
          <w:rFonts w:ascii="Arial" w:hAnsi="Arial" w:cs="Arial"/>
          <w:sz w:val="20"/>
          <w:szCs w:val="20"/>
        </w:rPr>
        <w:t>Dans chaque province ou région naturelle, la production pour une culture i est estimée par :</w:t>
      </w:r>
    </w:p>
    <w:p w:rsidR="004F4CA0" w:rsidRPr="00B6647E" w:rsidRDefault="004F4CA0" w:rsidP="004F4CA0">
      <w:pPr>
        <w:jc w:val="both"/>
        <w:rPr>
          <w:rFonts w:ascii="Arial" w:hAnsi="Arial" w:cs="Arial"/>
          <w:sz w:val="20"/>
          <w:szCs w:val="20"/>
        </w:rPr>
      </w:pPr>
    </w:p>
    <w:p w:rsidR="004F4CA0" w:rsidRPr="00B6647E" w:rsidRDefault="00C07947" w:rsidP="004F4CA0">
      <w:pPr>
        <w:jc w:val="both"/>
        <w:rPr>
          <w:rFonts w:ascii="Arial" w:hAnsi="Arial" w:cs="Arial"/>
          <w:sz w:val="20"/>
          <w:szCs w:val="20"/>
        </w:rPr>
      </w:pPr>
      <m:oMath>
        <m:r>
          <m:rPr>
            <m:sty m:val="p"/>
          </m:rPr>
          <w:rPr>
            <w:rFonts w:ascii="Cambria Math" w:hAnsi="Arial" w:cs="Arial"/>
            <w:sz w:val="20"/>
            <w:szCs w:val="20"/>
          </w:rPr>
          <m:t>Pi=R1i x S1i + R2i xS2i + R3ixS3i</m:t>
        </m:r>
      </m:oMath>
      <w:r w:rsidR="004F4CA0" w:rsidRPr="00B6647E">
        <w:rPr>
          <w:rFonts w:ascii="Arial" w:hAnsi="Arial" w:cs="Arial"/>
          <w:sz w:val="20"/>
          <w:szCs w:val="20"/>
        </w:rPr>
        <w:t xml:space="preserve"> </w:t>
      </w:r>
    </w:p>
    <w:p w:rsidR="004F4CA0" w:rsidRPr="00B6647E" w:rsidRDefault="004F4CA0" w:rsidP="004F4CA0">
      <w:pPr>
        <w:jc w:val="both"/>
        <w:rPr>
          <w:rFonts w:ascii="Arial" w:hAnsi="Arial" w:cs="Arial"/>
          <w:sz w:val="20"/>
          <w:szCs w:val="20"/>
        </w:rPr>
      </w:pPr>
    </w:p>
    <w:p w:rsidR="004F4CA0" w:rsidRPr="00B6647E" w:rsidRDefault="004F4CA0" w:rsidP="004F4CA0">
      <w:pPr>
        <w:jc w:val="both"/>
        <w:rPr>
          <w:rFonts w:ascii="Arial" w:hAnsi="Arial" w:cs="Arial"/>
          <w:sz w:val="20"/>
          <w:szCs w:val="20"/>
        </w:rPr>
      </w:pPr>
      <w:r w:rsidRPr="00B6647E">
        <w:rPr>
          <w:rFonts w:ascii="Arial" w:hAnsi="Arial" w:cs="Arial"/>
          <w:sz w:val="20"/>
          <w:szCs w:val="20"/>
        </w:rPr>
        <w:lastRenderedPageBreak/>
        <w:t>NB : En se référant aux formules ci-dessus, la recherche d’un rendement d’une culture donnée par simple division de la production de cette culture par la superficie physique cultivée est à éviter. Il faut plutôt se référer aux rendements des cultures en pur.</w:t>
      </w:r>
    </w:p>
    <w:p w:rsidR="00757868" w:rsidRPr="00B6647E" w:rsidRDefault="00757868">
      <w:pPr>
        <w:rPr>
          <w:rFonts w:ascii="Arial" w:eastAsia="Times New Roman" w:hAnsi="Arial" w:cs="Arial"/>
          <w:color w:val="365F91"/>
          <w:sz w:val="24"/>
          <w:szCs w:val="24"/>
          <w:lang w:eastAsia="fr-FR"/>
        </w:rPr>
      </w:pPr>
      <w:bookmarkStart w:id="357" w:name="_Toc349912934"/>
      <w:r w:rsidRPr="00B6647E">
        <w:rPr>
          <w:rFonts w:cs="Arial"/>
          <w:color w:val="365F91"/>
        </w:rPr>
        <w:br w:type="page"/>
      </w:r>
    </w:p>
    <w:p w:rsidR="00705DF7" w:rsidRPr="00B6647E" w:rsidRDefault="00705DF7" w:rsidP="002A0073">
      <w:pPr>
        <w:pStyle w:val="Titre1"/>
        <w:keepNext w:val="0"/>
        <w:numPr>
          <w:ilvl w:val="0"/>
          <w:numId w:val="1"/>
        </w:numPr>
        <w:tabs>
          <w:tab w:val="num" w:pos="432"/>
        </w:tabs>
        <w:ind w:left="432" w:hanging="432"/>
        <w:rPr>
          <w:rFonts w:cs="Arial"/>
          <w:color w:val="365F91"/>
        </w:rPr>
      </w:pPr>
      <w:bookmarkStart w:id="358" w:name="_Toc354313937"/>
      <w:r w:rsidRPr="00B6647E">
        <w:rPr>
          <w:rFonts w:cs="Arial"/>
          <w:color w:val="365F91"/>
        </w:rPr>
        <w:lastRenderedPageBreak/>
        <w:t xml:space="preserve">Annexe 2 : Prix des produits </w:t>
      </w:r>
      <w:r w:rsidR="0007119C" w:rsidRPr="00B6647E">
        <w:rPr>
          <w:rFonts w:cs="Arial"/>
          <w:color w:val="365F91"/>
        </w:rPr>
        <w:t>vivriers en 2012</w:t>
      </w:r>
      <w:bookmarkEnd w:id="358"/>
    </w:p>
    <w:p w:rsidR="00705DF7" w:rsidRPr="00B6647E" w:rsidRDefault="00DF50D8" w:rsidP="00705DF7">
      <w:pPr>
        <w:rPr>
          <w:rFonts w:cs="Arial"/>
          <w:sz w:val="20"/>
          <w:szCs w:val="20"/>
        </w:rPr>
      </w:pPr>
      <w:r w:rsidRPr="00DF50D8">
        <w:rPr>
          <w:rFonts w:cs="Arial"/>
          <w:noProof/>
          <w:sz w:val="20"/>
          <w:szCs w:val="20"/>
        </w:rPr>
        <w:pict>
          <v:shape id="_x0000_s1060" type="#_x0000_t32" style="position:absolute;margin-left:1.15pt;margin-top:4.8pt;width:453.55pt;height:0;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CiqwIAAJcFAAAOAAAAZHJzL2Uyb0RvYy54bWysVE2PmzAQvVfqf7B8Z4FACEFLVlkCvWzb&#10;lXarnh1sglWwke18rKr+945NQjfbS1UtB+SPmTdvZt749u7Ud+jAlOZS5Di8CTBiopaUi12Ovz1X&#10;XoqRNkRQ0knBcvzCNL5bffxwexwyNpOt7ChTCECEzo5Djltjhsz3dd2ynugbOTABl41UPTGwVTuf&#10;KnIE9L7zZ0GQ+Eep6KBkzbSG0814iVcOv2lYbb42jWYGdTkGbsb9lftv7d9f3ZJsp8jQ8vpMg/wH&#10;i55wAUEnqA0xBO0V/wuq57WSWjbmppa9L5uG18zlANmEwZtsnloyMJcLFEcPU5n0+8HWXw6PCnGa&#10;4zjCSJAeerTeG+lCo5mtz3HQGZgV4lHZDOuTeBoeZP1DIyGLlogdc8bPLwP4htbDv3KxGz1AlO3x&#10;s6RgQwDfFevUqN5CQhnQyfXkZeoJOxlUw+F8kQRBOseovtz5JLs4DkqbT0z2yC5yrI0ifNeaQgoB&#10;nZcqdGHI4UEbS4tkFwcbVciKd50TQCfQMcdRGgaB89Cy49TeWjutdtuiU+hAQENRMq+WY5Jw89pM&#10;yb2gDq1lhJbntSG8G9cQvRMWjzlZjpRgdzKwdOeQsZPMz2WwLNMyjb14lpReHGw23roqYi+pwsV8&#10;E22KYhP+skTDOGs5pUxYrhf5hvG/yeM8SKPwJgFPVfGv0V35gOw103U1DxZxlHqLxTzy4qgMvPu0&#10;Krx1ESbJorwv7ss3TEuXvX4fslMpLSu5N0w9tfSIKLdqmKXREl4fymHcozRIguUCI9Lt4J2qjcJI&#10;SfOdm9aJ18rOYlz1ehZHVTKek25oyaiAeQCfU/lk7mozhR8rdWmy3U1tOif/p5YgiosA3NDYORkn&#10;bivpy6O6DBNMv3M6v1T2eXm9h/Xr93T1GwAA//8DAFBLAwQUAAYACAAAACEAEupkKNwAAAAFAQAA&#10;DwAAAGRycy9kb3ducmV2LnhtbEyOUUvDMBSF34X9h3AHvohLN0tZa9MxFHEMEaz+gLS5NsXmpjRZ&#10;2/nrjXvRx8M5fOfLd7Pp2IiDay0JWK8iYEi1VS01Aj7en263wJyXpGRnCQWc0cGuWFzlMlN2ojcc&#10;S9+wACGXSQHa+z7j3NUajXQr2yOF7tMORvoQh4arQU4Bbjq+iaKEG9lSeNCyxweN9Vd5MgKmMTm+&#10;3Gz5/H18Lc9NFR8e9XMsxPVy3t8D8zj7vzH86gd1KIJTZU+kHOsEbO7CUECaAAttGqUxsOqSeZHz&#10;//bFDwAAAP//AwBQSwECLQAUAAYACAAAACEAtoM4kv4AAADhAQAAEwAAAAAAAAAAAAAAAAAAAAAA&#10;W0NvbnRlbnRfVHlwZXNdLnhtbFBLAQItABQABgAIAAAAIQA4/SH/1gAAAJQBAAALAAAAAAAAAAAA&#10;AAAAAC8BAABfcmVscy8ucmVsc1BLAQItABQABgAIAAAAIQCQNaCiqwIAAJcFAAAOAAAAAAAAAAAA&#10;AAAAAC4CAABkcnMvZTJvRG9jLnhtbFBLAQItABQABgAIAAAAIQAS6mQo3AAAAAUBAAAPAAAAAAAA&#10;AAAAAAAAAAUFAABkcnMvZG93bnJldi54bWxQSwUGAAAAAAQABADzAAAADgYAAAAA&#10;" strokecolor="#365f91" strokeweight="3pt">
            <v:shadow color="#243f60" opacity=".5" offset="1pt"/>
          </v:shape>
        </w:pict>
      </w:r>
    </w:p>
    <w:p w:rsidR="00532F82" w:rsidRPr="00B6647E" w:rsidRDefault="00532F82">
      <w:pPr>
        <w:rPr>
          <w:rFonts w:cs="Arial"/>
          <w:sz w:val="20"/>
          <w:szCs w:val="20"/>
        </w:rPr>
      </w:pPr>
    </w:p>
    <w:p w:rsidR="00532F82" w:rsidRPr="00B6647E" w:rsidRDefault="0007119C">
      <w:pPr>
        <w:rPr>
          <w:rFonts w:ascii="Arial" w:hAnsi="Arial" w:cs="Arial"/>
          <w:b/>
          <w:sz w:val="20"/>
          <w:szCs w:val="20"/>
        </w:rPr>
      </w:pPr>
      <w:r w:rsidRPr="00B6647E">
        <w:rPr>
          <w:rFonts w:ascii="Arial" w:hAnsi="Arial" w:cs="Arial"/>
          <w:b/>
          <w:sz w:val="20"/>
          <w:szCs w:val="20"/>
        </w:rPr>
        <w:t>Tableau : Prix au consommateur et au producteur des principaux produits vivriers estimé par interview</w:t>
      </w:r>
    </w:p>
    <w:p w:rsidR="00532F82" w:rsidRPr="00B6647E" w:rsidRDefault="0007119C">
      <w:pPr>
        <w:rPr>
          <w:rFonts w:cs="Arial"/>
          <w:sz w:val="20"/>
          <w:szCs w:val="20"/>
        </w:rPr>
      </w:pPr>
      <w:r w:rsidRPr="00B6647E">
        <w:rPr>
          <w:noProof/>
          <w:szCs w:val="20"/>
          <w:lang w:val="fr-FR" w:eastAsia="fr-FR"/>
        </w:rPr>
        <w:drawing>
          <wp:inline distT="0" distB="0" distL="0" distR="0">
            <wp:extent cx="5731510" cy="3365599"/>
            <wp:effectExtent l="19050" t="0" r="2540" b="0"/>
            <wp:docPr id="24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6" cstate="print"/>
                    <a:srcRect/>
                    <a:stretch>
                      <a:fillRect/>
                    </a:stretch>
                  </pic:blipFill>
                  <pic:spPr bwMode="auto">
                    <a:xfrm>
                      <a:off x="0" y="0"/>
                      <a:ext cx="5731510" cy="3365599"/>
                    </a:xfrm>
                    <a:prstGeom prst="rect">
                      <a:avLst/>
                    </a:prstGeom>
                    <a:noFill/>
                    <a:ln w="9525">
                      <a:noFill/>
                      <a:miter lim="800000"/>
                      <a:headEnd/>
                      <a:tailEnd/>
                    </a:ln>
                  </pic:spPr>
                </pic:pic>
              </a:graphicData>
            </a:graphic>
          </wp:inline>
        </w:drawing>
      </w:r>
    </w:p>
    <w:p w:rsidR="00705DF7" w:rsidRPr="00B6647E" w:rsidRDefault="00705DF7">
      <w:pPr>
        <w:rPr>
          <w:rFonts w:ascii="Arial" w:eastAsia="Times New Roman" w:hAnsi="Arial" w:cs="Arial"/>
          <w:b/>
          <w:color w:val="365F91"/>
          <w:sz w:val="24"/>
          <w:szCs w:val="24"/>
          <w:lang w:eastAsia="fr-FR"/>
        </w:rPr>
      </w:pPr>
      <w:r w:rsidRPr="00B6647E">
        <w:rPr>
          <w:rFonts w:cs="Arial"/>
          <w:color w:val="365F91"/>
        </w:rPr>
        <w:br w:type="page"/>
      </w:r>
    </w:p>
    <w:p w:rsidR="004F4CA0" w:rsidRPr="00B6647E" w:rsidRDefault="004F4CA0" w:rsidP="002A0073">
      <w:pPr>
        <w:pStyle w:val="Titre1"/>
        <w:keepNext w:val="0"/>
        <w:numPr>
          <w:ilvl w:val="0"/>
          <w:numId w:val="1"/>
        </w:numPr>
        <w:tabs>
          <w:tab w:val="num" w:pos="432"/>
        </w:tabs>
        <w:ind w:left="432" w:hanging="432"/>
        <w:rPr>
          <w:rFonts w:cs="Arial"/>
          <w:color w:val="365F91"/>
        </w:rPr>
      </w:pPr>
      <w:bookmarkStart w:id="359" w:name="_Toc354313938"/>
      <w:r w:rsidRPr="00B6647E">
        <w:rPr>
          <w:rFonts w:cs="Arial"/>
          <w:color w:val="365F91"/>
        </w:rPr>
        <w:lastRenderedPageBreak/>
        <w:t xml:space="preserve">Annexe </w:t>
      </w:r>
      <w:r w:rsidR="00557166" w:rsidRPr="00B6647E">
        <w:rPr>
          <w:rFonts w:cs="Arial"/>
          <w:color w:val="365F91"/>
        </w:rPr>
        <w:t>3</w:t>
      </w:r>
      <w:r w:rsidRPr="00B6647E">
        <w:rPr>
          <w:rFonts w:cs="Arial"/>
          <w:color w:val="365F91"/>
        </w:rPr>
        <w:t> : Taux de conversion en équivalent céréale</w:t>
      </w:r>
      <w:bookmarkEnd w:id="357"/>
      <w:bookmarkEnd w:id="359"/>
    </w:p>
    <w:p w:rsidR="004F4CA0" w:rsidRPr="00B6647E" w:rsidRDefault="00DF50D8" w:rsidP="004F4CA0">
      <w:pPr>
        <w:rPr>
          <w:rFonts w:cs="Arial"/>
          <w:sz w:val="20"/>
          <w:szCs w:val="20"/>
        </w:rPr>
      </w:pPr>
      <w:r w:rsidRPr="00DF50D8">
        <w:rPr>
          <w:rFonts w:cs="Arial"/>
          <w:noProof/>
          <w:sz w:val="20"/>
          <w:szCs w:val="20"/>
        </w:rPr>
        <w:pict>
          <v:shape id="_x0000_s1056" type="#_x0000_t32" style="position:absolute;margin-left:1.15pt;margin-top:4.8pt;width:453.55pt;height:0;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CiqwIAAJcFAAAOAAAAZHJzL2Uyb0RvYy54bWysVE2PmzAQvVfqf7B8Z4FACEFLVlkCvWzb&#10;lXarnh1sglWwke18rKr+945NQjfbS1UtB+SPmTdvZt749u7Ud+jAlOZS5Di8CTBiopaUi12Ovz1X&#10;XoqRNkRQ0knBcvzCNL5bffxwexwyNpOt7ChTCECEzo5Djltjhsz3dd2ynugbOTABl41UPTGwVTuf&#10;KnIE9L7zZ0GQ+Eep6KBkzbSG0814iVcOv2lYbb42jWYGdTkGbsb9lftv7d9f3ZJsp8jQ8vpMg/wH&#10;i55wAUEnqA0xBO0V/wuq57WSWjbmppa9L5uG18zlANmEwZtsnloyMJcLFEcPU5n0+8HWXw6PCnGa&#10;4zjCSJAeerTeG+lCo5mtz3HQGZgV4lHZDOuTeBoeZP1DIyGLlogdc8bPLwP4htbDv3KxGz1AlO3x&#10;s6RgQwDfFevUqN5CQhnQyfXkZeoJOxlUw+F8kQRBOseovtz5JLs4DkqbT0z2yC5yrI0ifNeaQgoB&#10;nZcqdGHI4UEbS4tkFwcbVciKd50TQCfQMcdRGgaB89Cy49TeWjutdtuiU+hAQENRMq+WY5Jw89pM&#10;yb2gDq1lhJbntSG8G9cQvRMWjzlZjpRgdzKwdOeQsZPMz2WwLNMyjb14lpReHGw23roqYi+pwsV8&#10;E22KYhP+skTDOGs5pUxYrhf5hvG/yeM8SKPwJgFPVfGv0V35gOw103U1DxZxlHqLxTzy4qgMvPu0&#10;Krx1ESbJorwv7ss3TEuXvX4fslMpLSu5N0w9tfSIKLdqmKXREl4fymHcozRIguUCI9Lt4J2qjcJI&#10;SfOdm9aJ18rOYlz1ehZHVTKek25oyaiAeQCfU/lk7mozhR8rdWmy3U1tOif/p5YgiosA3NDYORkn&#10;bivpy6O6DBNMv3M6v1T2eXm9h/Xr93T1GwAA//8DAFBLAwQUAAYACAAAACEAEupkKNwAAAAFAQAA&#10;DwAAAGRycy9kb3ducmV2LnhtbEyOUUvDMBSF34X9h3AHvohLN0tZa9MxFHEMEaz+gLS5NsXmpjRZ&#10;2/nrjXvRx8M5fOfLd7Pp2IiDay0JWK8iYEi1VS01Aj7en263wJyXpGRnCQWc0cGuWFzlMlN2ojcc&#10;S9+wACGXSQHa+z7j3NUajXQr2yOF7tMORvoQh4arQU4Bbjq+iaKEG9lSeNCyxweN9Vd5MgKmMTm+&#10;3Gz5/H18Lc9NFR8e9XMsxPVy3t8D8zj7vzH86gd1KIJTZU+kHOsEbO7CUECaAAttGqUxsOqSeZHz&#10;//bFDwAAAP//AwBQSwECLQAUAAYACAAAACEAtoM4kv4AAADhAQAAEwAAAAAAAAAAAAAAAAAAAAAA&#10;W0NvbnRlbnRfVHlwZXNdLnhtbFBLAQItABQABgAIAAAAIQA4/SH/1gAAAJQBAAALAAAAAAAAAAAA&#10;AAAAAC8BAABfcmVscy8ucmVsc1BLAQItABQABgAIAAAAIQCQNaCiqwIAAJcFAAAOAAAAAAAAAAAA&#10;AAAAAC4CAABkcnMvZTJvRG9jLnhtbFBLAQItABQABgAIAAAAIQAS6mQo3AAAAAUBAAAPAAAAAAAA&#10;AAAAAAAAAAUFAABkcnMvZG93bnJldi54bWxQSwUGAAAAAAQABADzAAAADgYAAAAA&#10;" strokecolor="#365f91" strokeweight="3pt">
            <v:shadow color="#243f60" opacity=".5" offset="1pt"/>
          </v:shape>
        </w:pict>
      </w:r>
    </w:p>
    <w:p w:rsidR="004F4CA0" w:rsidRPr="00B6647E" w:rsidRDefault="004F4CA0" w:rsidP="004F4CA0">
      <w:pPr>
        <w:rPr>
          <w:rFonts w:ascii="Arial" w:hAnsi="Arial" w:cs="Arial"/>
          <w:sz w:val="20"/>
          <w:szCs w:val="20"/>
        </w:rPr>
      </w:pPr>
      <w:r w:rsidRPr="00B6647E">
        <w:rPr>
          <w:rFonts w:ascii="Arial" w:hAnsi="Arial" w:cs="Arial"/>
          <w:sz w:val="20"/>
          <w:szCs w:val="20"/>
        </w:rPr>
        <w:t xml:space="preserve">Pour obtenir </w:t>
      </w:r>
      <w:r w:rsidR="00757868" w:rsidRPr="00B6647E">
        <w:rPr>
          <w:rFonts w:ascii="Arial" w:hAnsi="Arial" w:cs="Arial"/>
          <w:sz w:val="20"/>
          <w:szCs w:val="20"/>
        </w:rPr>
        <w:t>l’équivalente</w:t>
      </w:r>
      <w:r w:rsidRPr="00B6647E">
        <w:rPr>
          <w:rFonts w:ascii="Arial" w:hAnsi="Arial" w:cs="Arial"/>
          <w:sz w:val="20"/>
          <w:szCs w:val="20"/>
        </w:rPr>
        <w:t xml:space="preserve"> céréale d’une culture donnée, il suffit de multiplier la quantité par le facteur</w:t>
      </w:r>
      <w:r w:rsidRPr="00B6647E">
        <w:rPr>
          <w:rStyle w:val="Appelnotedebasdep"/>
          <w:rFonts w:ascii="Arial" w:hAnsi="Arial" w:cs="Arial"/>
          <w:sz w:val="20"/>
          <w:szCs w:val="20"/>
        </w:rPr>
        <w:footnoteReference w:id="50"/>
      </w:r>
      <w:r w:rsidRPr="00B6647E">
        <w:rPr>
          <w:rFonts w:ascii="Arial" w:hAnsi="Arial" w:cs="Arial"/>
          <w:sz w:val="20"/>
          <w:szCs w:val="20"/>
        </w:rPr>
        <w:t xml:space="preserve"> correspondant.</w:t>
      </w:r>
    </w:p>
    <w:p w:rsidR="004F4CA0" w:rsidRPr="00B6647E" w:rsidRDefault="004F4CA0" w:rsidP="004F4CA0">
      <w:pPr>
        <w:rPr>
          <w:rFonts w:ascii="Arial" w:hAnsi="Arial" w:cs="Arial"/>
          <w:sz w:val="20"/>
          <w:szCs w:val="20"/>
        </w:rPr>
      </w:pPr>
      <w:r w:rsidRPr="00B6647E">
        <w:rPr>
          <w:rFonts w:ascii="Arial" w:hAnsi="Arial" w:cs="Arial"/>
          <w:sz w:val="20"/>
          <w:szCs w:val="20"/>
        </w:rPr>
        <w:t>Exemple :</w:t>
      </w:r>
    </w:p>
    <w:p w:rsidR="004F4CA0" w:rsidRPr="00B6647E" w:rsidRDefault="004F4CA0" w:rsidP="00757868">
      <w:pPr>
        <w:spacing w:after="120"/>
        <w:rPr>
          <w:rFonts w:ascii="Arial" w:hAnsi="Arial" w:cs="Arial"/>
          <w:sz w:val="20"/>
          <w:szCs w:val="20"/>
        </w:rPr>
      </w:pPr>
      <w:r w:rsidRPr="00B6647E">
        <w:rPr>
          <w:rFonts w:ascii="Arial" w:hAnsi="Arial" w:cs="Arial"/>
          <w:sz w:val="20"/>
          <w:szCs w:val="20"/>
        </w:rPr>
        <w:t xml:space="preserve">1 kg de céréale = 1 kg équivalent céréale </w:t>
      </w:r>
    </w:p>
    <w:p w:rsidR="004F4CA0" w:rsidRPr="00B6647E" w:rsidRDefault="004F4CA0" w:rsidP="00757868">
      <w:pPr>
        <w:spacing w:after="120"/>
        <w:rPr>
          <w:rFonts w:ascii="Arial" w:hAnsi="Arial" w:cs="Arial"/>
          <w:sz w:val="20"/>
          <w:szCs w:val="20"/>
        </w:rPr>
      </w:pPr>
      <w:r w:rsidRPr="00B6647E">
        <w:rPr>
          <w:rFonts w:ascii="Arial" w:hAnsi="Arial" w:cs="Arial"/>
          <w:sz w:val="20"/>
          <w:szCs w:val="20"/>
        </w:rPr>
        <w:t>1 tonne de céréale = 1 tonne équivalent céréale</w:t>
      </w:r>
    </w:p>
    <w:p w:rsidR="004F4CA0" w:rsidRPr="00B6647E" w:rsidRDefault="004F4CA0" w:rsidP="00757868">
      <w:pPr>
        <w:spacing w:after="120"/>
        <w:rPr>
          <w:rFonts w:ascii="Arial" w:hAnsi="Arial" w:cs="Arial"/>
          <w:sz w:val="20"/>
          <w:szCs w:val="20"/>
        </w:rPr>
      </w:pPr>
      <w:r w:rsidRPr="00B6647E">
        <w:rPr>
          <w:rFonts w:ascii="Arial" w:hAnsi="Arial" w:cs="Arial"/>
          <w:sz w:val="20"/>
          <w:szCs w:val="20"/>
        </w:rPr>
        <w:t xml:space="preserve">1 kg de haricot = 1,03 kg équivalent céréale </w:t>
      </w:r>
    </w:p>
    <w:p w:rsidR="004F4CA0" w:rsidRPr="00B6647E" w:rsidRDefault="004F4CA0" w:rsidP="00757868">
      <w:pPr>
        <w:spacing w:after="120"/>
        <w:rPr>
          <w:rFonts w:ascii="Arial" w:hAnsi="Arial" w:cs="Arial"/>
          <w:sz w:val="20"/>
          <w:szCs w:val="20"/>
        </w:rPr>
      </w:pPr>
      <w:r w:rsidRPr="00B6647E">
        <w:rPr>
          <w:rFonts w:ascii="Arial" w:hAnsi="Arial" w:cs="Arial"/>
          <w:sz w:val="20"/>
          <w:szCs w:val="20"/>
        </w:rPr>
        <w:t>1 tonne de haricot = 1,03 tonne équivalent céréale</w:t>
      </w:r>
    </w:p>
    <w:p w:rsidR="004F4CA0" w:rsidRPr="00B6647E" w:rsidRDefault="004F4CA0" w:rsidP="00757868">
      <w:pPr>
        <w:spacing w:after="120"/>
        <w:rPr>
          <w:rFonts w:ascii="Arial" w:hAnsi="Arial" w:cs="Arial"/>
          <w:sz w:val="20"/>
          <w:szCs w:val="20"/>
        </w:rPr>
      </w:pPr>
      <w:r w:rsidRPr="00B6647E">
        <w:rPr>
          <w:rFonts w:ascii="Arial" w:hAnsi="Arial" w:cs="Arial"/>
          <w:sz w:val="20"/>
          <w:szCs w:val="20"/>
        </w:rPr>
        <w:t xml:space="preserve">1 kg de banane = 0,18 kg équivalent céréale </w:t>
      </w:r>
    </w:p>
    <w:p w:rsidR="004F4CA0" w:rsidRPr="00B6647E" w:rsidRDefault="004F4CA0" w:rsidP="00757868">
      <w:pPr>
        <w:spacing w:after="120"/>
        <w:rPr>
          <w:rFonts w:ascii="Arial" w:hAnsi="Arial" w:cs="Arial"/>
          <w:sz w:val="20"/>
          <w:szCs w:val="20"/>
        </w:rPr>
      </w:pPr>
      <w:r w:rsidRPr="00B6647E">
        <w:rPr>
          <w:rFonts w:ascii="Arial" w:hAnsi="Arial" w:cs="Arial"/>
          <w:sz w:val="20"/>
          <w:szCs w:val="20"/>
        </w:rPr>
        <w:t>1 tonne de banane = 0,18 tonne équivalent céréale</w:t>
      </w:r>
    </w:p>
    <w:p w:rsidR="004F4CA0" w:rsidRPr="00B6647E" w:rsidRDefault="004F4CA0" w:rsidP="00757868">
      <w:pPr>
        <w:spacing w:after="120"/>
        <w:rPr>
          <w:rFonts w:ascii="Arial" w:hAnsi="Arial" w:cs="Arial"/>
          <w:sz w:val="20"/>
          <w:szCs w:val="20"/>
        </w:rPr>
      </w:pPr>
      <w:r w:rsidRPr="00B6647E">
        <w:rPr>
          <w:rFonts w:ascii="Arial" w:hAnsi="Arial" w:cs="Arial"/>
          <w:sz w:val="20"/>
          <w:szCs w:val="20"/>
        </w:rPr>
        <w:t xml:space="preserve">1 kg de manioc = 0,33 kg équivalent céréale </w:t>
      </w:r>
    </w:p>
    <w:p w:rsidR="004F4CA0" w:rsidRPr="00B6647E" w:rsidRDefault="004F4CA0" w:rsidP="00757868">
      <w:pPr>
        <w:spacing w:after="120"/>
        <w:rPr>
          <w:rFonts w:ascii="Arial" w:hAnsi="Arial" w:cs="Arial"/>
          <w:sz w:val="20"/>
          <w:szCs w:val="20"/>
        </w:rPr>
      </w:pPr>
      <w:r w:rsidRPr="00B6647E">
        <w:rPr>
          <w:rFonts w:ascii="Arial" w:hAnsi="Arial" w:cs="Arial"/>
          <w:sz w:val="20"/>
          <w:szCs w:val="20"/>
        </w:rPr>
        <w:t>1 tonne de manioc = 0,33 tonne équivalent céréale</w:t>
      </w:r>
    </w:p>
    <w:p w:rsidR="004F4CA0" w:rsidRPr="00B6647E" w:rsidRDefault="004F4CA0" w:rsidP="00757868">
      <w:pPr>
        <w:spacing w:after="120"/>
        <w:rPr>
          <w:rFonts w:ascii="Arial" w:hAnsi="Arial" w:cs="Arial"/>
          <w:sz w:val="20"/>
          <w:szCs w:val="20"/>
        </w:rPr>
      </w:pPr>
      <w:r w:rsidRPr="00B6647E">
        <w:rPr>
          <w:rFonts w:ascii="Arial" w:hAnsi="Arial" w:cs="Arial"/>
          <w:sz w:val="20"/>
          <w:szCs w:val="20"/>
        </w:rPr>
        <w:t xml:space="preserve">1 kg d’arachide = 1,72 kg équivalent céréale </w:t>
      </w:r>
    </w:p>
    <w:p w:rsidR="004F4CA0" w:rsidRPr="00B6647E" w:rsidRDefault="004F4CA0" w:rsidP="00757868">
      <w:pPr>
        <w:spacing w:after="120"/>
        <w:rPr>
          <w:rFonts w:ascii="Arial" w:hAnsi="Arial" w:cs="Arial"/>
          <w:sz w:val="20"/>
          <w:szCs w:val="20"/>
        </w:rPr>
      </w:pPr>
      <w:r w:rsidRPr="00B6647E">
        <w:rPr>
          <w:rFonts w:ascii="Arial" w:hAnsi="Arial" w:cs="Arial"/>
          <w:sz w:val="20"/>
          <w:szCs w:val="20"/>
        </w:rPr>
        <w:t>1 tonne d’arachide = 1,72 tonne équivalent céréale</w:t>
      </w:r>
    </w:p>
    <w:p w:rsidR="004F4CA0" w:rsidRPr="00B6647E" w:rsidRDefault="004F4CA0" w:rsidP="00757868">
      <w:pPr>
        <w:spacing w:after="120"/>
        <w:rPr>
          <w:rFonts w:ascii="Arial" w:hAnsi="Arial" w:cs="Arial"/>
          <w:sz w:val="20"/>
          <w:szCs w:val="20"/>
        </w:rPr>
      </w:pPr>
    </w:p>
    <w:p w:rsidR="004F4CA0" w:rsidRPr="00B6647E" w:rsidRDefault="004F4CA0" w:rsidP="004F4CA0">
      <w:pPr>
        <w:rPr>
          <w:rFonts w:cs="Arial"/>
          <w:color w:val="365F91"/>
          <w:sz w:val="24"/>
        </w:rPr>
      </w:pPr>
      <w:r w:rsidRPr="00B6647E">
        <w:rPr>
          <w:noProof/>
          <w:lang w:val="fr-FR" w:eastAsia="fr-FR"/>
        </w:rPr>
        <w:drawing>
          <wp:inline distT="0" distB="0" distL="0" distR="0">
            <wp:extent cx="2352675" cy="4105275"/>
            <wp:effectExtent l="19050" t="0" r="9525" b="0"/>
            <wp:docPr id="34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7" cstate="print"/>
                    <a:srcRect/>
                    <a:stretch>
                      <a:fillRect/>
                    </a:stretch>
                  </pic:blipFill>
                  <pic:spPr bwMode="auto">
                    <a:xfrm>
                      <a:off x="0" y="0"/>
                      <a:ext cx="2352675" cy="4105275"/>
                    </a:xfrm>
                    <a:prstGeom prst="rect">
                      <a:avLst/>
                    </a:prstGeom>
                    <a:noFill/>
                    <a:ln w="9525">
                      <a:noFill/>
                      <a:miter lim="800000"/>
                      <a:headEnd/>
                      <a:tailEnd/>
                    </a:ln>
                  </pic:spPr>
                </pic:pic>
              </a:graphicData>
            </a:graphic>
          </wp:inline>
        </w:drawing>
      </w:r>
      <w:r w:rsidRPr="00B6647E">
        <w:rPr>
          <w:rFonts w:cs="Arial"/>
          <w:color w:val="365F91"/>
        </w:rPr>
        <w:br w:type="page"/>
      </w:r>
    </w:p>
    <w:p w:rsidR="004F4CA0" w:rsidRPr="00B6647E" w:rsidRDefault="004F4CA0" w:rsidP="002A0073">
      <w:pPr>
        <w:pStyle w:val="Titre1"/>
        <w:keepNext w:val="0"/>
        <w:numPr>
          <w:ilvl w:val="0"/>
          <w:numId w:val="1"/>
        </w:numPr>
        <w:tabs>
          <w:tab w:val="num" w:pos="432"/>
        </w:tabs>
        <w:ind w:left="432" w:hanging="432"/>
        <w:rPr>
          <w:rFonts w:cs="Arial"/>
          <w:color w:val="365F91"/>
        </w:rPr>
      </w:pPr>
      <w:bookmarkStart w:id="360" w:name="_Toc349912949"/>
      <w:bookmarkStart w:id="361" w:name="_Toc354313939"/>
      <w:r w:rsidRPr="00B6647E">
        <w:rPr>
          <w:rFonts w:cs="Arial"/>
          <w:color w:val="365F91"/>
        </w:rPr>
        <w:lastRenderedPageBreak/>
        <w:t xml:space="preserve">Annexe </w:t>
      </w:r>
      <w:r w:rsidR="00557166" w:rsidRPr="00B6647E">
        <w:rPr>
          <w:rFonts w:cs="Arial"/>
          <w:color w:val="365F91"/>
        </w:rPr>
        <w:t>4</w:t>
      </w:r>
      <w:r w:rsidRPr="00B6647E">
        <w:rPr>
          <w:rFonts w:cs="Arial"/>
          <w:color w:val="365F91"/>
        </w:rPr>
        <w:t> : Erreurs de sondage</w:t>
      </w:r>
      <w:bookmarkEnd w:id="360"/>
      <w:bookmarkEnd w:id="361"/>
    </w:p>
    <w:p w:rsidR="004F4CA0" w:rsidRPr="00B6647E" w:rsidRDefault="00DF50D8" w:rsidP="004F4CA0">
      <w:pPr>
        <w:rPr>
          <w:rFonts w:cs="Arial"/>
          <w:sz w:val="20"/>
          <w:szCs w:val="20"/>
        </w:rPr>
      </w:pPr>
      <w:r w:rsidRPr="00DF50D8">
        <w:rPr>
          <w:rFonts w:cs="Arial"/>
          <w:noProof/>
          <w:sz w:val="20"/>
          <w:szCs w:val="20"/>
        </w:rPr>
        <w:pict>
          <v:shape id="_x0000_s1057" type="#_x0000_t32" style="position:absolute;margin-left:1.15pt;margin-top:4.8pt;width:453.55pt;height:0;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CiqwIAAJcFAAAOAAAAZHJzL2Uyb0RvYy54bWysVE2PmzAQvVfqf7B8Z4FACEFLVlkCvWzb&#10;lXarnh1sglWwke18rKr+945NQjfbS1UtB+SPmTdvZt749u7Ud+jAlOZS5Di8CTBiopaUi12Ovz1X&#10;XoqRNkRQ0knBcvzCNL5bffxwexwyNpOt7ChTCECEzo5Djltjhsz3dd2ynugbOTABl41UPTGwVTuf&#10;KnIE9L7zZ0GQ+Eep6KBkzbSG0814iVcOv2lYbb42jWYGdTkGbsb9lftv7d9f3ZJsp8jQ8vpMg/wH&#10;i55wAUEnqA0xBO0V/wuq57WSWjbmppa9L5uG18zlANmEwZtsnloyMJcLFEcPU5n0+8HWXw6PCnGa&#10;4zjCSJAeerTeG+lCo5mtz3HQGZgV4lHZDOuTeBoeZP1DIyGLlogdc8bPLwP4htbDv3KxGz1AlO3x&#10;s6RgQwDfFevUqN5CQhnQyfXkZeoJOxlUw+F8kQRBOseovtz5JLs4DkqbT0z2yC5yrI0ifNeaQgoB&#10;nZcqdGHI4UEbS4tkFwcbVciKd50TQCfQMcdRGgaB89Cy49TeWjutdtuiU+hAQENRMq+WY5Jw89pM&#10;yb2gDq1lhJbntSG8G9cQvRMWjzlZjpRgdzKwdOeQsZPMz2WwLNMyjb14lpReHGw23roqYi+pwsV8&#10;E22KYhP+skTDOGs5pUxYrhf5hvG/yeM8SKPwJgFPVfGv0V35gOw103U1DxZxlHqLxTzy4qgMvPu0&#10;Krx1ESbJorwv7ss3TEuXvX4fslMpLSu5N0w9tfSIKLdqmKXREl4fymHcozRIguUCI9Lt4J2qjcJI&#10;SfOdm9aJ18rOYlz1ehZHVTKek25oyaiAeQCfU/lk7mozhR8rdWmy3U1tOif/p5YgiosA3NDYORkn&#10;bivpy6O6DBNMv3M6v1T2eXm9h/Xr93T1GwAA//8DAFBLAwQUAAYACAAAACEAEupkKNwAAAAFAQAA&#10;DwAAAGRycy9kb3ducmV2LnhtbEyOUUvDMBSF34X9h3AHvohLN0tZa9MxFHEMEaz+gLS5NsXmpjRZ&#10;2/nrjXvRx8M5fOfLd7Pp2IiDay0JWK8iYEi1VS01Aj7en263wJyXpGRnCQWc0cGuWFzlMlN2ojcc&#10;S9+wACGXSQHa+z7j3NUajXQr2yOF7tMORvoQh4arQU4Bbjq+iaKEG9lSeNCyxweN9Vd5MgKmMTm+&#10;3Gz5/H18Lc9NFR8e9XMsxPVy3t8D8zj7vzH86gd1KIJTZU+kHOsEbO7CUECaAAttGqUxsOqSeZHz&#10;//bFDwAAAP//AwBQSwECLQAUAAYACAAAACEAtoM4kv4AAADhAQAAEwAAAAAAAAAAAAAAAAAAAAAA&#10;W0NvbnRlbnRfVHlwZXNdLnhtbFBLAQItABQABgAIAAAAIQA4/SH/1gAAAJQBAAALAAAAAAAAAAAA&#10;AAAAAC8BAABfcmVscy8ucmVsc1BLAQItABQABgAIAAAAIQCQNaCiqwIAAJcFAAAOAAAAAAAAAAAA&#10;AAAAAC4CAABkcnMvZTJvRG9jLnhtbFBLAQItABQABgAIAAAAIQAS6mQo3AAAAAUBAAAPAAAAAAAA&#10;AAAAAAAAAAUFAABkcnMvZG93bnJldi54bWxQSwUGAAAAAAQABADzAAAADgYAAAAA&#10;" strokecolor="#365f91" strokeweight="3pt">
            <v:shadow color="#243f60" opacity=".5" offset="1pt"/>
          </v:shape>
        </w:pict>
      </w:r>
    </w:p>
    <w:p w:rsidR="00757868" w:rsidRPr="00B6647E" w:rsidRDefault="00757868" w:rsidP="0052337E">
      <w:pPr>
        <w:pStyle w:val="Titre2"/>
        <w:spacing w:before="240" w:after="200"/>
        <w:rPr>
          <w:rFonts w:cs="Arial"/>
          <w:u w:val="dotDash"/>
        </w:rPr>
      </w:pPr>
      <w:bookmarkStart w:id="362" w:name="_Toc354313940"/>
      <w:r w:rsidRPr="00B6647E">
        <w:rPr>
          <w:rFonts w:cs="Arial"/>
          <w:u w:val="dotDash"/>
        </w:rPr>
        <w:t>Saison A</w:t>
      </w:r>
      <w:bookmarkEnd w:id="362"/>
    </w:p>
    <w:p w:rsidR="00757868" w:rsidRPr="00B6647E" w:rsidRDefault="00757868" w:rsidP="0052337E">
      <w:pPr>
        <w:pStyle w:val="yiv1196623996msolistparagraph"/>
        <w:keepNext/>
        <w:spacing w:before="0" w:beforeAutospacing="0" w:after="0" w:afterAutospacing="0"/>
        <w:rPr>
          <w:rFonts w:ascii="Arial" w:hAnsi="Arial" w:cs="Arial"/>
          <w:b/>
          <w:sz w:val="20"/>
          <w:szCs w:val="20"/>
          <w:lang w:val="fr-FR"/>
        </w:rPr>
      </w:pPr>
      <w:r w:rsidRPr="00B6647E">
        <w:rPr>
          <w:rFonts w:ascii="Arial" w:hAnsi="Arial" w:cs="Arial"/>
          <w:b/>
          <w:sz w:val="20"/>
          <w:szCs w:val="20"/>
          <w:lang w:val="fr-FR"/>
        </w:rPr>
        <w:t xml:space="preserve">Tableau </w:t>
      </w:r>
      <w:r w:rsidR="0052337E" w:rsidRPr="00B6647E">
        <w:rPr>
          <w:rFonts w:ascii="Arial" w:hAnsi="Arial" w:cs="Arial"/>
          <w:b/>
          <w:sz w:val="20"/>
          <w:szCs w:val="20"/>
          <w:lang w:val="fr-FR"/>
        </w:rPr>
        <w:t>01</w:t>
      </w:r>
      <w:r w:rsidRPr="00B6647E">
        <w:rPr>
          <w:rFonts w:ascii="Arial" w:hAnsi="Arial" w:cs="Arial"/>
          <w:b/>
          <w:sz w:val="20"/>
          <w:szCs w:val="20"/>
          <w:lang w:val="fr-FR"/>
        </w:rPr>
        <w:t> : Erreurs de sondage : Echantillon par province - ENAB 2011-2012 (Superficie cultivée en ha) en saison A</w:t>
      </w:r>
    </w:p>
    <w:p w:rsidR="00757868" w:rsidRPr="00B6647E" w:rsidRDefault="00757868" w:rsidP="0052337E">
      <w:pPr>
        <w:pStyle w:val="yiv1196623996msolistparagraph"/>
        <w:keepNext/>
        <w:spacing w:before="0" w:beforeAutospacing="0" w:after="0" w:afterAutospacing="0"/>
        <w:rPr>
          <w:rFonts w:ascii="Arial" w:hAnsi="Arial" w:cs="Arial"/>
          <w:b/>
          <w:sz w:val="20"/>
          <w:szCs w:val="20"/>
          <w:lang w:val="fr-FR"/>
        </w:rPr>
      </w:pPr>
    </w:p>
    <w:p w:rsidR="00757868" w:rsidRPr="00B6647E" w:rsidRDefault="00757868" w:rsidP="00757868">
      <w:pPr>
        <w:pStyle w:val="yiv1196623996msolistparagraph"/>
        <w:spacing w:before="0" w:beforeAutospacing="0" w:after="0" w:afterAutospacing="0"/>
        <w:rPr>
          <w:rFonts w:ascii="Arial" w:hAnsi="Arial" w:cs="Arial"/>
          <w:sz w:val="20"/>
          <w:szCs w:val="20"/>
          <w:lang w:val="fr-FR"/>
        </w:rPr>
      </w:pPr>
      <w:r w:rsidRPr="00B6647E">
        <w:rPr>
          <w:noProof/>
          <w:szCs w:val="20"/>
          <w:lang w:val="fr-FR" w:eastAsia="fr-FR"/>
        </w:rPr>
        <w:drawing>
          <wp:inline distT="0" distB="0" distL="0" distR="0">
            <wp:extent cx="6400468" cy="4818490"/>
            <wp:effectExtent l="19050" t="0" r="332" b="0"/>
            <wp:docPr id="35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8" cstate="print"/>
                    <a:srcRect/>
                    <a:stretch>
                      <a:fillRect/>
                    </a:stretch>
                  </pic:blipFill>
                  <pic:spPr bwMode="auto">
                    <a:xfrm>
                      <a:off x="0" y="0"/>
                      <a:ext cx="6400468" cy="4818490"/>
                    </a:xfrm>
                    <a:prstGeom prst="rect">
                      <a:avLst/>
                    </a:prstGeom>
                    <a:noFill/>
                    <a:ln w="9525">
                      <a:noFill/>
                      <a:miter lim="800000"/>
                      <a:headEnd/>
                      <a:tailEnd/>
                    </a:ln>
                  </pic:spPr>
                </pic:pic>
              </a:graphicData>
            </a:graphic>
          </wp:inline>
        </w:drawing>
      </w:r>
    </w:p>
    <w:p w:rsidR="00757868" w:rsidRPr="00B6647E" w:rsidRDefault="00757868">
      <w:pPr>
        <w:rPr>
          <w:rFonts w:ascii="Arial" w:eastAsia="Times New Roman" w:hAnsi="Arial" w:cs="Arial"/>
          <w:sz w:val="18"/>
          <w:szCs w:val="18"/>
          <w:lang w:val="fr-FR" w:eastAsia="en-US"/>
        </w:rPr>
      </w:pPr>
      <w:r w:rsidRPr="00B6647E">
        <w:rPr>
          <w:rFonts w:ascii="Arial" w:hAnsi="Arial" w:cs="Arial"/>
          <w:sz w:val="18"/>
          <w:szCs w:val="18"/>
          <w:lang w:val="fr-FR"/>
        </w:rPr>
        <w:br w:type="page"/>
      </w:r>
    </w:p>
    <w:p w:rsidR="00757868" w:rsidRPr="00B6647E" w:rsidRDefault="00757868" w:rsidP="0052337E">
      <w:pPr>
        <w:pStyle w:val="yiv1196623996msolistparagraph"/>
        <w:keepNext/>
        <w:spacing w:before="0" w:beforeAutospacing="0" w:after="0" w:afterAutospacing="0"/>
        <w:rPr>
          <w:rFonts w:ascii="Arial" w:hAnsi="Arial" w:cs="Arial"/>
          <w:b/>
          <w:sz w:val="20"/>
          <w:szCs w:val="20"/>
          <w:lang w:val="fr-FR"/>
        </w:rPr>
      </w:pPr>
      <w:r w:rsidRPr="00B6647E">
        <w:rPr>
          <w:rFonts w:ascii="Arial" w:hAnsi="Arial" w:cs="Arial"/>
          <w:b/>
          <w:sz w:val="20"/>
          <w:szCs w:val="20"/>
          <w:lang w:val="fr-FR"/>
        </w:rPr>
        <w:lastRenderedPageBreak/>
        <w:t xml:space="preserve">Tableau </w:t>
      </w:r>
      <w:r w:rsidR="0052337E" w:rsidRPr="00B6647E">
        <w:rPr>
          <w:rFonts w:ascii="Arial" w:hAnsi="Arial" w:cs="Arial"/>
          <w:b/>
          <w:sz w:val="20"/>
          <w:szCs w:val="20"/>
          <w:lang w:val="fr-FR"/>
        </w:rPr>
        <w:t>02</w:t>
      </w:r>
      <w:r w:rsidRPr="00B6647E">
        <w:rPr>
          <w:rFonts w:ascii="Arial" w:hAnsi="Arial" w:cs="Arial"/>
          <w:b/>
          <w:sz w:val="20"/>
          <w:szCs w:val="20"/>
          <w:lang w:val="fr-FR"/>
        </w:rPr>
        <w:t> : Erreurs de sondage : Echantillon national - ENAB 2011-2012 -Rendements moyens des cultures en pur (en kg/ha) en saison A</w:t>
      </w:r>
    </w:p>
    <w:p w:rsidR="00757868" w:rsidRPr="00B6647E" w:rsidRDefault="00757868" w:rsidP="00757868">
      <w:pPr>
        <w:pStyle w:val="yiv1196623996msolistparagraph"/>
        <w:spacing w:before="0" w:beforeAutospacing="0" w:after="0" w:afterAutospacing="0"/>
        <w:rPr>
          <w:rFonts w:ascii="Arial" w:hAnsi="Arial" w:cs="Arial"/>
          <w:b/>
          <w:sz w:val="16"/>
          <w:szCs w:val="16"/>
          <w:lang w:val="fr-FR"/>
        </w:rPr>
      </w:pPr>
    </w:p>
    <w:p w:rsidR="00757868" w:rsidRPr="00B6647E" w:rsidRDefault="00757868" w:rsidP="00757868">
      <w:pPr>
        <w:pStyle w:val="yiv1196623996msolistparagraph"/>
        <w:spacing w:before="0" w:beforeAutospacing="0" w:after="0" w:afterAutospacing="0"/>
        <w:rPr>
          <w:rFonts w:ascii="Arial" w:hAnsi="Arial" w:cs="Arial"/>
          <w:sz w:val="20"/>
          <w:szCs w:val="20"/>
          <w:lang w:val="fr-FR"/>
        </w:rPr>
      </w:pPr>
      <w:r w:rsidRPr="00B6647E">
        <w:rPr>
          <w:noProof/>
          <w:szCs w:val="20"/>
          <w:lang w:val="fr-FR" w:eastAsia="fr-FR"/>
        </w:rPr>
        <w:drawing>
          <wp:inline distT="0" distB="0" distL="0" distR="0">
            <wp:extent cx="5731510" cy="3691890"/>
            <wp:effectExtent l="19050" t="0" r="2540" b="0"/>
            <wp:docPr id="35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9" cstate="print"/>
                    <a:srcRect/>
                    <a:stretch>
                      <a:fillRect/>
                    </a:stretch>
                  </pic:blipFill>
                  <pic:spPr bwMode="auto">
                    <a:xfrm>
                      <a:off x="0" y="0"/>
                      <a:ext cx="5731510" cy="3691890"/>
                    </a:xfrm>
                    <a:prstGeom prst="rect">
                      <a:avLst/>
                    </a:prstGeom>
                    <a:noFill/>
                    <a:ln w="9525">
                      <a:noFill/>
                      <a:miter lim="800000"/>
                      <a:headEnd/>
                      <a:tailEnd/>
                    </a:ln>
                  </pic:spPr>
                </pic:pic>
              </a:graphicData>
            </a:graphic>
          </wp:inline>
        </w:drawing>
      </w:r>
    </w:p>
    <w:p w:rsidR="00757868" w:rsidRPr="00B6647E" w:rsidRDefault="00757868" w:rsidP="00757868">
      <w:pPr>
        <w:pStyle w:val="yiv1196623996msolistparagraph"/>
        <w:spacing w:before="0" w:beforeAutospacing="0" w:after="0" w:afterAutospacing="0"/>
        <w:rPr>
          <w:rFonts w:ascii="Arial" w:hAnsi="Arial" w:cs="Arial"/>
          <w:sz w:val="20"/>
          <w:szCs w:val="20"/>
          <w:lang w:val="fr-FR"/>
        </w:rPr>
      </w:pPr>
    </w:p>
    <w:p w:rsidR="00757868" w:rsidRPr="00B6647E" w:rsidRDefault="00757868" w:rsidP="004F4CA0">
      <w:pPr>
        <w:pStyle w:val="yiv1196623996msolistparagraph"/>
        <w:spacing w:before="0" w:beforeAutospacing="0" w:after="0" w:afterAutospacing="0"/>
        <w:rPr>
          <w:rFonts w:ascii="Arial" w:hAnsi="Arial" w:cs="Arial"/>
          <w:sz w:val="20"/>
          <w:szCs w:val="20"/>
          <w:lang w:val="fr-FR"/>
        </w:rPr>
      </w:pPr>
    </w:p>
    <w:p w:rsidR="00757868" w:rsidRPr="00B6647E" w:rsidRDefault="00757868" w:rsidP="004F4CA0">
      <w:pPr>
        <w:pStyle w:val="yiv1196623996msolistparagraph"/>
        <w:spacing w:before="0" w:beforeAutospacing="0" w:after="0" w:afterAutospacing="0"/>
        <w:rPr>
          <w:rFonts w:ascii="Arial" w:hAnsi="Arial" w:cs="Arial"/>
          <w:sz w:val="20"/>
          <w:szCs w:val="20"/>
          <w:lang w:val="fr-FR"/>
        </w:rPr>
      </w:pPr>
    </w:p>
    <w:p w:rsidR="00757868" w:rsidRPr="00B6647E" w:rsidRDefault="00757868" w:rsidP="004F4CA0">
      <w:pPr>
        <w:pStyle w:val="yiv1196623996msolistparagraph"/>
        <w:spacing w:before="0" w:beforeAutospacing="0" w:after="0" w:afterAutospacing="0"/>
        <w:rPr>
          <w:rFonts w:ascii="Arial" w:hAnsi="Arial" w:cs="Arial"/>
          <w:sz w:val="20"/>
          <w:szCs w:val="20"/>
          <w:lang w:val="fr-FR"/>
        </w:rPr>
      </w:pPr>
    </w:p>
    <w:p w:rsidR="00757868" w:rsidRPr="00B6647E" w:rsidRDefault="00757868">
      <w:pPr>
        <w:rPr>
          <w:rFonts w:ascii="Arial" w:eastAsia="Times New Roman" w:hAnsi="Arial" w:cs="Arial"/>
          <w:smallCaps/>
          <w:u w:val="dotDash"/>
          <w:lang w:val="fr-FR" w:eastAsia="fr-FR"/>
        </w:rPr>
      </w:pPr>
      <w:r w:rsidRPr="00B6647E">
        <w:rPr>
          <w:rFonts w:cs="Arial"/>
          <w:u w:val="dotDash"/>
        </w:rPr>
        <w:br w:type="page"/>
      </w:r>
    </w:p>
    <w:p w:rsidR="00757868" w:rsidRPr="00B6647E" w:rsidRDefault="00757868" w:rsidP="0052337E">
      <w:pPr>
        <w:pStyle w:val="Titre2"/>
        <w:spacing w:before="240" w:after="200"/>
        <w:rPr>
          <w:rFonts w:cs="Arial"/>
          <w:u w:val="dotDash"/>
        </w:rPr>
      </w:pPr>
      <w:bookmarkStart w:id="363" w:name="_Toc354313941"/>
      <w:r w:rsidRPr="00B6647E">
        <w:rPr>
          <w:rFonts w:cs="Arial"/>
          <w:u w:val="dotDash"/>
        </w:rPr>
        <w:lastRenderedPageBreak/>
        <w:t>Saison B</w:t>
      </w:r>
      <w:bookmarkEnd w:id="363"/>
    </w:p>
    <w:p w:rsidR="00757868" w:rsidRPr="00B6647E" w:rsidRDefault="00757868" w:rsidP="0052337E">
      <w:pPr>
        <w:pStyle w:val="yiv1196623996msolistparagraph"/>
        <w:keepNext/>
        <w:spacing w:before="0" w:beforeAutospacing="0" w:after="0" w:afterAutospacing="0"/>
        <w:rPr>
          <w:rFonts w:ascii="Arial" w:hAnsi="Arial" w:cs="Arial"/>
          <w:b/>
          <w:sz w:val="20"/>
          <w:szCs w:val="20"/>
          <w:lang w:val="fr-FR"/>
        </w:rPr>
      </w:pPr>
      <w:r w:rsidRPr="00B6647E">
        <w:rPr>
          <w:rFonts w:ascii="Arial" w:hAnsi="Arial" w:cs="Arial"/>
          <w:b/>
          <w:sz w:val="20"/>
          <w:szCs w:val="20"/>
          <w:lang w:val="fr-FR"/>
        </w:rPr>
        <w:t xml:space="preserve">Tableau </w:t>
      </w:r>
      <w:r w:rsidR="0052337E" w:rsidRPr="00B6647E">
        <w:rPr>
          <w:rFonts w:ascii="Arial" w:hAnsi="Arial" w:cs="Arial"/>
          <w:b/>
          <w:sz w:val="20"/>
          <w:szCs w:val="20"/>
          <w:lang w:val="fr-FR"/>
        </w:rPr>
        <w:t>03</w:t>
      </w:r>
      <w:r w:rsidRPr="00B6647E">
        <w:rPr>
          <w:rFonts w:ascii="Arial" w:hAnsi="Arial" w:cs="Arial"/>
          <w:b/>
          <w:sz w:val="20"/>
          <w:szCs w:val="20"/>
          <w:lang w:val="fr-FR"/>
        </w:rPr>
        <w:t> : Erreurs de sondage : Echantillon par province - ENAB 2011-2012 (Superficie cultivée en ha) en saison B</w:t>
      </w:r>
    </w:p>
    <w:p w:rsidR="00757868" w:rsidRPr="00B6647E" w:rsidRDefault="00757868" w:rsidP="00757868">
      <w:pPr>
        <w:pStyle w:val="yiv1196623996msolistparagraph"/>
        <w:spacing w:before="0" w:beforeAutospacing="0" w:after="0" w:afterAutospacing="0"/>
        <w:rPr>
          <w:rFonts w:ascii="Arial" w:hAnsi="Arial" w:cs="Arial"/>
          <w:sz w:val="20"/>
          <w:szCs w:val="20"/>
          <w:lang w:val="fr-FR"/>
        </w:rPr>
      </w:pPr>
      <w:r w:rsidRPr="00B6647E">
        <w:rPr>
          <w:noProof/>
          <w:szCs w:val="20"/>
          <w:lang w:val="fr-FR" w:eastAsia="fr-FR"/>
        </w:rPr>
        <w:drawing>
          <wp:inline distT="0" distB="0" distL="0" distR="0">
            <wp:extent cx="6316685" cy="5067300"/>
            <wp:effectExtent l="19050" t="0" r="7915" b="0"/>
            <wp:docPr id="35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0" cstate="print"/>
                    <a:srcRect/>
                    <a:stretch>
                      <a:fillRect/>
                    </a:stretch>
                  </pic:blipFill>
                  <pic:spPr bwMode="auto">
                    <a:xfrm>
                      <a:off x="0" y="0"/>
                      <a:ext cx="6321967" cy="5071538"/>
                    </a:xfrm>
                    <a:prstGeom prst="rect">
                      <a:avLst/>
                    </a:prstGeom>
                    <a:noFill/>
                    <a:ln w="9525">
                      <a:noFill/>
                      <a:miter lim="800000"/>
                      <a:headEnd/>
                      <a:tailEnd/>
                    </a:ln>
                  </pic:spPr>
                </pic:pic>
              </a:graphicData>
            </a:graphic>
          </wp:inline>
        </w:drawing>
      </w:r>
    </w:p>
    <w:p w:rsidR="00757868" w:rsidRPr="00B6647E" w:rsidRDefault="00757868" w:rsidP="004F4CA0">
      <w:pPr>
        <w:pStyle w:val="yiv1196623996msolistparagraph"/>
        <w:spacing w:before="0" w:beforeAutospacing="0" w:after="0" w:afterAutospacing="0"/>
        <w:rPr>
          <w:rFonts w:ascii="Arial" w:hAnsi="Arial" w:cs="Arial"/>
          <w:sz w:val="20"/>
          <w:szCs w:val="20"/>
          <w:lang w:val="fr-FR"/>
        </w:rPr>
      </w:pPr>
    </w:p>
    <w:p w:rsidR="00757868" w:rsidRPr="00B6647E" w:rsidRDefault="00757868">
      <w:pPr>
        <w:rPr>
          <w:rFonts w:ascii="Arial" w:eastAsia="Times New Roman" w:hAnsi="Arial" w:cs="Arial"/>
          <w:sz w:val="18"/>
          <w:szCs w:val="18"/>
          <w:lang w:val="fr-FR" w:eastAsia="en-US"/>
        </w:rPr>
      </w:pPr>
      <w:r w:rsidRPr="00B6647E">
        <w:rPr>
          <w:rFonts w:ascii="Arial" w:hAnsi="Arial" w:cs="Arial"/>
          <w:sz w:val="18"/>
          <w:szCs w:val="18"/>
          <w:lang w:val="fr-FR"/>
        </w:rPr>
        <w:br w:type="page"/>
      </w:r>
    </w:p>
    <w:p w:rsidR="00757868" w:rsidRPr="00B6647E" w:rsidRDefault="00757868" w:rsidP="0052337E">
      <w:pPr>
        <w:pStyle w:val="yiv1196623996msolistparagraph"/>
        <w:keepNext/>
        <w:spacing w:before="0" w:beforeAutospacing="0" w:after="0" w:afterAutospacing="0"/>
        <w:rPr>
          <w:rFonts w:ascii="Arial" w:hAnsi="Arial" w:cs="Arial"/>
          <w:b/>
          <w:sz w:val="20"/>
          <w:szCs w:val="20"/>
          <w:lang w:val="fr-FR"/>
        </w:rPr>
      </w:pPr>
      <w:r w:rsidRPr="00B6647E">
        <w:rPr>
          <w:rFonts w:ascii="Arial" w:hAnsi="Arial" w:cs="Arial"/>
          <w:b/>
          <w:sz w:val="20"/>
          <w:szCs w:val="20"/>
          <w:lang w:val="fr-FR"/>
        </w:rPr>
        <w:lastRenderedPageBreak/>
        <w:t xml:space="preserve">Tableau </w:t>
      </w:r>
      <w:r w:rsidR="0052337E" w:rsidRPr="00B6647E">
        <w:rPr>
          <w:rFonts w:ascii="Arial" w:hAnsi="Arial" w:cs="Arial"/>
          <w:b/>
          <w:sz w:val="20"/>
          <w:szCs w:val="20"/>
          <w:lang w:val="fr-FR"/>
        </w:rPr>
        <w:t>04</w:t>
      </w:r>
      <w:r w:rsidRPr="00B6647E">
        <w:rPr>
          <w:rFonts w:ascii="Arial" w:hAnsi="Arial" w:cs="Arial"/>
          <w:b/>
          <w:sz w:val="20"/>
          <w:szCs w:val="20"/>
          <w:lang w:val="fr-FR"/>
        </w:rPr>
        <w:t> : Erreurs de sondage : Echantillon national - ENAB 2011-2012 -Rendements moyens des cultures en pur (en kg/ha) en saison B</w:t>
      </w:r>
    </w:p>
    <w:p w:rsidR="00757868" w:rsidRPr="00B6647E" w:rsidRDefault="00757868" w:rsidP="00757868">
      <w:pPr>
        <w:pStyle w:val="yiv1196623996msolistparagraph"/>
        <w:spacing w:before="0" w:beforeAutospacing="0" w:after="0" w:afterAutospacing="0"/>
        <w:rPr>
          <w:rFonts w:ascii="Arial" w:hAnsi="Arial" w:cs="Arial"/>
          <w:sz w:val="16"/>
          <w:szCs w:val="16"/>
          <w:lang w:val="fr-FR"/>
        </w:rPr>
      </w:pPr>
    </w:p>
    <w:p w:rsidR="00757868" w:rsidRPr="00B6647E" w:rsidRDefault="00757868" w:rsidP="00757868">
      <w:pPr>
        <w:pStyle w:val="yiv1196623996msolistparagraph"/>
        <w:spacing w:before="0" w:beforeAutospacing="0" w:after="0" w:afterAutospacing="0"/>
        <w:rPr>
          <w:rFonts w:ascii="Arial" w:hAnsi="Arial" w:cs="Arial"/>
          <w:sz w:val="20"/>
          <w:szCs w:val="20"/>
          <w:lang w:val="fr-FR"/>
        </w:rPr>
      </w:pPr>
      <w:r w:rsidRPr="00B6647E">
        <w:rPr>
          <w:noProof/>
          <w:szCs w:val="20"/>
          <w:lang w:val="fr-FR" w:eastAsia="fr-FR"/>
        </w:rPr>
        <w:drawing>
          <wp:inline distT="0" distB="0" distL="0" distR="0">
            <wp:extent cx="6296025" cy="4392575"/>
            <wp:effectExtent l="19050" t="0" r="9525" b="0"/>
            <wp:docPr id="35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1" cstate="print"/>
                    <a:srcRect/>
                    <a:stretch>
                      <a:fillRect/>
                    </a:stretch>
                  </pic:blipFill>
                  <pic:spPr bwMode="auto">
                    <a:xfrm>
                      <a:off x="0" y="0"/>
                      <a:ext cx="6296025" cy="4392575"/>
                    </a:xfrm>
                    <a:prstGeom prst="rect">
                      <a:avLst/>
                    </a:prstGeom>
                    <a:noFill/>
                    <a:ln w="9525">
                      <a:noFill/>
                      <a:miter lim="800000"/>
                      <a:headEnd/>
                      <a:tailEnd/>
                    </a:ln>
                  </pic:spPr>
                </pic:pic>
              </a:graphicData>
            </a:graphic>
          </wp:inline>
        </w:drawing>
      </w:r>
    </w:p>
    <w:p w:rsidR="00757868" w:rsidRPr="00B6647E" w:rsidRDefault="00757868" w:rsidP="004F4CA0">
      <w:pPr>
        <w:pStyle w:val="yiv1196623996msolistparagraph"/>
        <w:spacing w:before="0" w:beforeAutospacing="0" w:after="0" w:afterAutospacing="0"/>
        <w:rPr>
          <w:rFonts w:ascii="Arial" w:hAnsi="Arial" w:cs="Arial"/>
          <w:sz w:val="20"/>
          <w:szCs w:val="20"/>
          <w:lang w:val="fr-FR"/>
        </w:rPr>
      </w:pPr>
    </w:p>
    <w:p w:rsidR="00757868" w:rsidRPr="00B6647E" w:rsidRDefault="00757868" w:rsidP="004F4CA0">
      <w:pPr>
        <w:pStyle w:val="yiv1196623996msolistparagraph"/>
        <w:spacing w:before="0" w:beforeAutospacing="0" w:after="0" w:afterAutospacing="0"/>
        <w:rPr>
          <w:rFonts w:ascii="Arial" w:hAnsi="Arial" w:cs="Arial"/>
          <w:sz w:val="20"/>
          <w:szCs w:val="20"/>
          <w:lang w:val="fr-FR"/>
        </w:rPr>
      </w:pPr>
    </w:p>
    <w:p w:rsidR="00757868" w:rsidRPr="00B6647E" w:rsidRDefault="00757868" w:rsidP="004F4CA0">
      <w:pPr>
        <w:pStyle w:val="yiv1196623996msolistparagraph"/>
        <w:spacing w:before="0" w:beforeAutospacing="0" w:after="0" w:afterAutospacing="0"/>
        <w:rPr>
          <w:rFonts w:ascii="Arial" w:hAnsi="Arial" w:cs="Arial"/>
          <w:sz w:val="20"/>
          <w:szCs w:val="20"/>
          <w:lang w:val="fr-FR"/>
        </w:rPr>
      </w:pPr>
    </w:p>
    <w:p w:rsidR="00757868" w:rsidRPr="00B6647E" w:rsidRDefault="00757868" w:rsidP="004F4CA0">
      <w:pPr>
        <w:pStyle w:val="yiv1196623996msolistparagraph"/>
        <w:spacing w:before="0" w:beforeAutospacing="0" w:after="0" w:afterAutospacing="0"/>
        <w:rPr>
          <w:rFonts w:ascii="Arial" w:hAnsi="Arial" w:cs="Arial"/>
          <w:sz w:val="20"/>
          <w:szCs w:val="20"/>
          <w:lang w:val="fr-FR"/>
        </w:rPr>
      </w:pPr>
    </w:p>
    <w:p w:rsidR="00757868" w:rsidRPr="00B6647E" w:rsidRDefault="00757868">
      <w:pPr>
        <w:rPr>
          <w:rFonts w:ascii="Arial" w:eastAsia="Times New Roman" w:hAnsi="Arial" w:cs="Arial"/>
          <w:smallCaps/>
          <w:u w:val="dotDash"/>
          <w:lang w:val="fr-FR" w:eastAsia="fr-FR"/>
        </w:rPr>
      </w:pPr>
      <w:r w:rsidRPr="00B6647E">
        <w:rPr>
          <w:rFonts w:cs="Arial"/>
          <w:u w:val="dotDash"/>
        </w:rPr>
        <w:br w:type="page"/>
      </w:r>
    </w:p>
    <w:p w:rsidR="00757868" w:rsidRPr="00B6647E" w:rsidRDefault="00757868" w:rsidP="0052337E">
      <w:pPr>
        <w:pStyle w:val="Titre2"/>
        <w:spacing w:before="240" w:after="200"/>
        <w:rPr>
          <w:rFonts w:cs="Arial"/>
          <w:u w:val="dotDash"/>
        </w:rPr>
      </w:pPr>
      <w:bookmarkStart w:id="364" w:name="_Toc354313942"/>
      <w:r w:rsidRPr="00B6647E">
        <w:rPr>
          <w:rFonts w:cs="Arial"/>
          <w:u w:val="dotDash"/>
        </w:rPr>
        <w:lastRenderedPageBreak/>
        <w:t>Saison C</w:t>
      </w:r>
      <w:bookmarkEnd w:id="364"/>
    </w:p>
    <w:p w:rsidR="004F4CA0" w:rsidRPr="00B6647E" w:rsidRDefault="004F4CA0" w:rsidP="004F4CA0">
      <w:pPr>
        <w:pStyle w:val="yiv1196623996msolistparagraph"/>
        <w:keepNext/>
        <w:spacing w:before="0" w:beforeAutospacing="0" w:after="0" w:afterAutospacing="0"/>
        <w:rPr>
          <w:rFonts w:ascii="Arial" w:hAnsi="Arial" w:cs="Arial"/>
          <w:b/>
          <w:sz w:val="20"/>
          <w:szCs w:val="20"/>
          <w:lang w:val="fr-FR"/>
        </w:rPr>
      </w:pPr>
      <w:r w:rsidRPr="00B6647E">
        <w:rPr>
          <w:rFonts w:ascii="Arial" w:hAnsi="Arial" w:cs="Arial"/>
          <w:b/>
          <w:sz w:val="20"/>
          <w:szCs w:val="20"/>
          <w:lang w:val="fr-FR"/>
        </w:rPr>
        <w:t xml:space="preserve">Tableau </w:t>
      </w:r>
      <w:r w:rsidR="0052337E" w:rsidRPr="00B6647E">
        <w:rPr>
          <w:rFonts w:ascii="Arial" w:hAnsi="Arial" w:cs="Arial"/>
          <w:b/>
          <w:sz w:val="20"/>
          <w:szCs w:val="20"/>
          <w:lang w:val="fr-FR"/>
        </w:rPr>
        <w:t>05</w:t>
      </w:r>
      <w:r w:rsidRPr="00B6647E">
        <w:rPr>
          <w:rFonts w:ascii="Arial" w:hAnsi="Arial" w:cs="Arial"/>
          <w:b/>
          <w:sz w:val="20"/>
          <w:szCs w:val="20"/>
          <w:lang w:val="fr-FR"/>
        </w:rPr>
        <w:t> : Erreurs de sondage : Echantillon par province - ENAB 2011-2012 (Superficie cultivée en ha) pendant la saison C</w:t>
      </w:r>
    </w:p>
    <w:p w:rsidR="004F4CA0" w:rsidRPr="00B6647E" w:rsidRDefault="004F4CA0" w:rsidP="004F4CA0">
      <w:pPr>
        <w:pStyle w:val="yiv1196623996msolistparagraph"/>
        <w:keepNext/>
        <w:spacing w:before="0" w:beforeAutospacing="0" w:after="0" w:afterAutospacing="0"/>
        <w:rPr>
          <w:rFonts w:ascii="Arial" w:hAnsi="Arial" w:cs="Arial"/>
          <w:sz w:val="20"/>
          <w:szCs w:val="20"/>
          <w:lang w:val="fr-FR"/>
        </w:rPr>
      </w:pPr>
    </w:p>
    <w:p w:rsidR="004F4CA0" w:rsidRPr="00B6647E" w:rsidRDefault="004F4CA0" w:rsidP="004F4CA0">
      <w:pPr>
        <w:pStyle w:val="yiv1196623996msolistparagraph"/>
        <w:keepNext/>
        <w:spacing w:before="0" w:beforeAutospacing="0" w:after="0" w:afterAutospacing="0"/>
        <w:rPr>
          <w:rFonts w:ascii="Arial" w:hAnsi="Arial" w:cs="Arial"/>
          <w:sz w:val="20"/>
          <w:szCs w:val="20"/>
          <w:lang w:val="fr-FR"/>
        </w:rPr>
      </w:pPr>
      <w:r w:rsidRPr="00B6647E">
        <w:rPr>
          <w:noProof/>
          <w:szCs w:val="20"/>
          <w:lang w:val="fr-FR" w:eastAsia="fr-FR"/>
        </w:rPr>
        <w:drawing>
          <wp:inline distT="0" distB="0" distL="0" distR="0">
            <wp:extent cx="6229350" cy="4620216"/>
            <wp:effectExtent l="19050" t="0" r="0" b="0"/>
            <wp:docPr id="3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2" cstate="print"/>
                    <a:srcRect/>
                    <a:stretch>
                      <a:fillRect/>
                    </a:stretch>
                  </pic:blipFill>
                  <pic:spPr bwMode="auto">
                    <a:xfrm>
                      <a:off x="0" y="0"/>
                      <a:ext cx="6233494" cy="4623290"/>
                    </a:xfrm>
                    <a:prstGeom prst="rect">
                      <a:avLst/>
                    </a:prstGeom>
                    <a:noFill/>
                    <a:ln w="9525">
                      <a:noFill/>
                      <a:miter lim="800000"/>
                      <a:headEnd/>
                      <a:tailEnd/>
                    </a:ln>
                  </pic:spPr>
                </pic:pic>
              </a:graphicData>
            </a:graphic>
          </wp:inline>
        </w:drawing>
      </w:r>
    </w:p>
    <w:p w:rsidR="004F4CA0" w:rsidRPr="00B6647E" w:rsidRDefault="004F4CA0" w:rsidP="004F4CA0">
      <w:pPr>
        <w:rPr>
          <w:rFonts w:cs="Arial"/>
          <w:sz w:val="20"/>
          <w:szCs w:val="20"/>
          <w:lang w:eastAsia="en-US"/>
        </w:rPr>
      </w:pPr>
      <w:r w:rsidRPr="00B6647E">
        <w:rPr>
          <w:rFonts w:cs="Arial"/>
          <w:sz w:val="20"/>
          <w:szCs w:val="20"/>
        </w:rPr>
        <w:br w:type="page"/>
      </w:r>
    </w:p>
    <w:p w:rsidR="004F4CA0" w:rsidRPr="00B6647E" w:rsidRDefault="0052337E" w:rsidP="004F4CA0">
      <w:pPr>
        <w:pStyle w:val="yiv1196623996msolistparagraph"/>
        <w:keepNext/>
        <w:spacing w:before="0" w:beforeAutospacing="0" w:after="0" w:afterAutospacing="0"/>
        <w:rPr>
          <w:rFonts w:ascii="Arial" w:hAnsi="Arial" w:cs="Arial"/>
          <w:b/>
          <w:sz w:val="20"/>
          <w:szCs w:val="20"/>
          <w:lang w:val="fr-FR"/>
        </w:rPr>
      </w:pPr>
      <w:r w:rsidRPr="00B6647E">
        <w:rPr>
          <w:rFonts w:ascii="Arial" w:hAnsi="Arial" w:cs="Arial"/>
          <w:b/>
          <w:sz w:val="20"/>
          <w:szCs w:val="20"/>
          <w:lang w:val="fr-FR"/>
        </w:rPr>
        <w:lastRenderedPageBreak/>
        <w:t>Tableau 06</w:t>
      </w:r>
      <w:r w:rsidR="004F4CA0" w:rsidRPr="00B6647E">
        <w:rPr>
          <w:rFonts w:ascii="Arial" w:hAnsi="Arial" w:cs="Arial"/>
          <w:b/>
          <w:sz w:val="20"/>
          <w:szCs w:val="20"/>
          <w:lang w:val="fr-FR"/>
        </w:rPr>
        <w:t> : Erreurs de sondage : Echantillon national - ENAB 2011-2012 -Rendements moyens des cultures en pur (en kg/ha) pendant la saison C</w:t>
      </w:r>
    </w:p>
    <w:p w:rsidR="004F4CA0" w:rsidRPr="00B6647E" w:rsidRDefault="004F4CA0" w:rsidP="004F4CA0">
      <w:pPr>
        <w:pStyle w:val="yiv1196623996msolistparagraph"/>
        <w:keepNext/>
        <w:spacing w:before="0" w:beforeAutospacing="0" w:after="0" w:afterAutospacing="0"/>
        <w:rPr>
          <w:rFonts w:ascii="Arial" w:hAnsi="Arial" w:cs="Arial"/>
          <w:sz w:val="20"/>
          <w:szCs w:val="20"/>
          <w:lang w:val="fr-FR"/>
        </w:rPr>
      </w:pPr>
    </w:p>
    <w:p w:rsidR="004F4CA0" w:rsidRPr="00B6647E" w:rsidRDefault="004F4CA0" w:rsidP="004F4CA0">
      <w:pPr>
        <w:pStyle w:val="yiv1196623996msolistparagraph"/>
        <w:keepNext/>
        <w:spacing w:before="0" w:beforeAutospacing="0" w:after="0" w:afterAutospacing="0"/>
        <w:rPr>
          <w:rFonts w:ascii="Arial" w:hAnsi="Arial" w:cs="Arial"/>
          <w:sz w:val="20"/>
          <w:szCs w:val="20"/>
          <w:lang w:val="fr-FR"/>
        </w:rPr>
      </w:pPr>
      <w:r w:rsidRPr="00B6647E">
        <w:rPr>
          <w:noProof/>
          <w:szCs w:val="20"/>
          <w:lang w:val="fr-FR" w:eastAsia="fr-FR"/>
        </w:rPr>
        <w:drawing>
          <wp:inline distT="0" distB="0" distL="0" distR="0">
            <wp:extent cx="5731510" cy="3102230"/>
            <wp:effectExtent l="19050" t="0" r="2540" b="0"/>
            <wp:docPr id="35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3" cstate="print"/>
                    <a:srcRect/>
                    <a:stretch>
                      <a:fillRect/>
                    </a:stretch>
                  </pic:blipFill>
                  <pic:spPr bwMode="auto">
                    <a:xfrm>
                      <a:off x="0" y="0"/>
                      <a:ext cx="5731510" cy="3102230"/>
                    </a:xfrm>
                    <a:prstGeom prst="rect">
                      <a:avLst/>
                    </a:prstGeom>
                    <a:noFill/>
                    <a:ln w="9525">
                      <a:noFill/>
                      <a:miter lim="800000"/>
                      <a:headEnd/>
                      <a:tailEnd/>
                    </a:ln>
                  </pic:spPr>
                </pic:pic>
              </a:graphicData>
            </a:graphic>
          </wp:inline>
        </w:drawing>
      </w:r>
    </w:p>
    <w:p w:rsidR="004F4CA0" w:rsidRPr="00B6647E" w:rsidRDefault="004F4CA0">
      <w:pPr>
        <w:rPr>
          <w:rFonts w:ascii="Arial" w:hAnsi="Arial" w:cs="Arial"/>
          <w:sz w:val="20"/>
          <w:szCs w:val="20"/>
        </w:rPr>
      </w:pPr>
      <w:r w:rsidRPr="00B6647E">
        <w:rPr>
          <w:rFonts w:ascii="Arial" w:hAnsi="Arial" w:cs="Arial"/>
          <w:sz w:val="20"/>
          <w:szCs w:val="20"/>
        </w:rPr>
        <w:br w:type="page"/>
      </w:r>
    </w:p>
    <w:p w:rsidR="00757868" w:rsidRPr="00B6647E" w:rsidRDefault="00757868" w:rsidP="002A0073">
      <w:pPr>
        <w:pStyle w:val="Titre1"/>
        <w:keepNext w:val="0"/>
        <w:numPr>
          <w:ilvl w:val="0"/>
          <w:numId w:val="1"/>
        </w:numPr>
        <w:tabs>
          <w:tab w:val="num" w:pos="432"/>
        </w:tabs>
        <w:ind w:left="432" w:hanging="432"/>
        <w:rPr>
          <w:rFonts w:cs="Arial"/>
          <w:color w:val="365F91"/>
        </w:rPr>
      </w:pPr>
      <w:bookmarkStart w:id="365" w:name="_Toc354313943"/>
      <w:r w:rsidRPr="00B6647E">
        <w:rPr>
          <w:rFonts w:cs="Arial"/>
          <w:color w:val="365F91"/>
        </w:rPr>
        <w:lastRenderedPageBreak/>
        <w:t xml:space="preserve">Annexe </w:t>
      </w:r>
      <w:r w:rsidR="00557166" w:rsidRPr="00B6647E">
        <w:rPr>
          <w:rFonts w:cs="Arial"/>
          <w:color w:val="365F91"/>
        </w:rPr>
        <w:t>5</w:t>
      </w:r>
      <w:r w:rsidRPr="00B6647E">
        <w:rPr>
          <w:rFonts w:cs="Arial"/>
          <w:color w:val="365F91"/>
        </w:rPr>
        <w:t> : des analyses multivariées (multicritères)</w:t>
      </w:r>
      <w:bookmarkEnd w:id="365"/>
    </w:p>
    <w:p w:rsidR="00757868" w:rsidRPr="00B6647E" w:rsidRDefault="00DF50D8" w:rsidP="00757868">
      <w:pPr>
        <w:rPr>
          <w:rFonts w:cs="Arial"/>
          <w:sz w:val="20"/>
          <w:szCs w:val="20"/>
        </w:rPr>
      </w:pPr>
      <w:r w:rsidRPr="00DF50D8">
        <w:rPr>
          <w:rFonts w:cs="Arial"/>
          <w:noProof/>
          <w:sz w:val="20"/>
          <w:szCs w:val="20"/>
        </w:rPr>
        <w:pict>
          <v:shape id="_x0000_s1058" type="#_x0000_t32" style="position:absolute;margin-left:1.15pt;margin-top:4.8pt;width:453.55pt;height:0;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CiqwIAAJcFAAAOAAAAZHJzL2Uyb0RvYy54bWysVE2PmzAQvVfqf7B8Z4FACEFLVlkCvWzb&#10;lXarnh1sglWwke18rKr+945NQjfbS1UtB+SPmTdvZt749u7Ud+jAlOZS5Di8CTBiopaUi12Ovz1X&#10;XoqRNkRQ0knBcvzCNL5bffxwexwyNpOt7ChTCECEzo5Djltjhsz3dd2ynugbOTABl41UPTGwVTuf&#10;KnIE9L7zZ0GQ+Eep6KBkzbSG0814iVcOv2lYbb42jWYGdTkGbsb9lftv7d9f3ZJsp8jQ8vpMg/wH&#10;i55wAUEnqA0xBO0V/wuq57WSWjbmppa9L5uG18zlANmEwZtsnloyMJcLFEcPU5n0+8HWXw6PCnGa&#10;4zjCSJAeerTeG+lCo5mtz3HQGZgV4lHZDOuTeBoeZP1DIyGLlogdc8bPLwP4htbDv3KxGz1AlO3x&#10;s6RgQwDfFevUqN5CQhnQyfXkZeoJOxlUw+F8kQRBOseovtz5JLs4DkqbT0z2yC5yrI0ifNeaQgoB&#10;nZcqdGHI4UEbS4tkFwcbVciKd50TQCfQMcdRGgaB89Cy49TeWjutdtuiU+hAQENRMq+WY5Jw89pM&#10;yb2gDq1lhJbntSG8G9cQvRMWjzlZjpRgdzKwdOeQsZPMz2WwLNMyjb14lpReHGw23roqYi+pwsV8&#10;E22KYhP+skTDOGs5pUxYrhf5hvG/yeM8SKPwJgFPVfGv0V35gOw103U1DxZxlHqLxTzy4qgMvPu0&#10;Krx1ESbJorwv7ss3TEuXvX4fslMpLSu5N0w9tfSIKLdqmKXREl4fymHcozRIguUCI9Lt4J2qjcJI&#10;SfOdm9aJ18rOYlz1ehZHVTKek25oyaiAeQCfU/lk7mozhR8rdWmy3U1tOif/p5YgiosA3NDYORkn&#10;bivpy6O6DBNMv3M6v1T2eXm9h/Xr93T1GwAA//8DAFBLAwQUAAYACAAAACEAEupkKNwAAAAFAQAA&#10;DwAAAGRycy9kb3ducmV2LnhtbEyOUUvDMBSF34X9h3AHvohLN0tZa9MxFHEMEaz+gLS5NsXmpjRZ&#10;2/nrjXvRx8M5fOfLd7Pp2IiDay0JWK8iYEi1VS01Aj7en263wJyXpGRnCQWc0cGuWFzlMlN2ojcc&#10;S9+wACGXSQHa+z7j3NUajXQr2yOF7tMORvoQh4arQU4Bbjq+iaKEG9lSeNCyxweN9Vd5MgKmMTm+&#10;3Gz5/H18Lc9NFR8e9XMsxPVy3t8D8zj7vzH86gd1KIJTZU+kHOsEbO7CUECaAAttGqUxsOqSeZHz&#10;//bFDwAAAP//AwBQSwECLQAUAAYACAAAACEAtoM4kv4AAADhAQAAEwAAAAAAAAAAAAAAAAAAAAAA&#10;W0NvbnRlbnRfVHlwZXNdLnhtbFBLAQItABQABgAIAAAAIQA4/SH/1gAAAJQBAAALAAAAAAAAAAAA&#10;AAAAAC8BAABfcmVscy8ucmVsc1BLAQItABQABgAIAAAAIQCQNaCiqwIAAJcFAAAOAAAAAAAAAAAA&#10;AAAAAC4CAABkcnMvZTJvRG9jLnhtbFBLAQItABQABgAIAAAAIQAS6mQo3AAAAAUBAAAPAAAAAAAA&#10;AAAAAAAAAAUFAABkcnMvZG93bnJldi54bWxQSwUGAAAAAAQABADzAAAADgYAAAAA&#10;" strokecolor="#365f91" strokeweight="3pt">
            <v:shadow color="#243f60" opacity=".5" offset="1pt"/>
          </v:shape>
        </w:pict>
      </w:r>
    </w:p>
    <w:p w:rsidR="00A37E7A" w:rsidRPr="00B6647E" w:rsidRDefault="008846DB" w:rsidP="0052337E">
      <w:pPr>
        <w:pStyle w:val="Titre2"/>
        <w:spacing w:before="240" w:after="200"/>
        <w:rPr>
          <w:rFonts w:cs="Arial"/>
          <w:u w:val="dotDash"/>
        </w:rPr>
      </w:pPr>
      <w:bookmarkStart w:id="366" w:name="_Toc354313944"/>
      <w:r w:rsidRPr="00B6647E">
        <w:rPr>
          <w:rFonts w:cs="Arial"/>
          <w:u w:val="dotDash"/>
        </w:rPr>
        <w:t>Résultats de l’analyse en composante principales</w:t>
      </w:r>
      <w:bookmarkEnd w:id="366"/>
    </w:p>
    <w:p w:rsidR="008846DB" w:rsidRPr="00B6647E" w:rsidRDefault="008846DB" w:rsidP="00E51ED6">
      <w:pPr>
        <w:pStyle w:val="Paragraphedeliste"/>
        <w:spacing w:after="0" w:line="240" w:lineRule="auto"/>
        <w:ind w:left="0"/>
        <w:rPr>
          <w:rFonts w:ascii="Arial" w:hAnsi="Arial" w:cs="Arial"/>
          <w:sz w:val="20"/>
          <w:szCs w:val="20"/>
        </w:rPr>
      </w:pPr>
      <w:r w:rsidRPr="00B6647E">
        <w:rPr>
          <w:noProof/>
          <w:szCs w:val="20"/>
          <w:lang w:val="fr-FR" w:eastAsia="fr-FR"/>
        </w:rPr>
        <w:drawing>
          <wp:inline distT="0" distB="0" distL="0" distR="0">
            <wp:extent cx="5731510" cy="2154905"/>
            <wp:effectExtent l="19050" t="0" r="2540" b="0"/>
            <wp:docPr id="2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4" cstate="print"/>
                    <a:srcRect/>
                    <a:stretch>
                      <a:fillRect/>
                    </a:stretch>
                  </pic:blipFill>
                  <pic:spPr bwMode="auto">
                    <a:xfrm>
                      <a:off x="0" y="0"/>
                      <a:ext cx="5731510" cy="2154905"/>
                    </a:xfrm>
                    <a:prstGeom prst="rect">
                      <a:avLst/>
                    </a:prstGeom>
                    <a:noFill/>
                    <a:ln w="9525">
                      <a:noFill/>
                      <a:miter lim="800000"/>
                      <a:headEnd/>
                      <a:tailEnd/>
                    </a:ln>
                  </pic:spPr>
                </pic:pic>
              </a:graphicData>
            </a:graphic>
          </wp:inline>
        </w:drawing>
      </w:r>
    </w:p>
    <w:p w:rsidR="008846DB" w:rsidRPr="00B6647E" w:rsidRDefault="008846DB" w:rsidP="00E51ED6">
      <w:pPr>
        <w:pStyle w:val="Paragraphedeliste"/>
        <w:spacing w:after="0" w:line="240" w:lineRule="auto"/>
        <w:ind w:left="0"/>
        <w:rPr>
          <w:rFonts w:ascii="Arial" w:hAnsi="Arial" w:cs="Arial"/>
          <w:sz w:val="20"/>
          <w:szCs w:val="20"/>
        </w:rPr>
      </w:pPr>
    </w:p>
    <w:p w:rsidR="008846DB" w:rsidRPr="00B6647E" w:rsidRDefault="008846DB" w:rsidP="00E51ED6">
      <w:pPr>
        <w:pStyle w:val="Paragraphedeliste"/>
        <w:spacing w:after="0" w:line="240" w:lineRule="auto"/>
        <w:ind w:left="0"/>
        <w:rPr>
          <w:rFonts w:ascii="Arial" w:hAnsi="Arial" w:cs="Arial"/>
          <w:sz w:val="20"/>
          <w:szCs w:val="20"/>
        </w:rPr>
      </w:pPr>
      <w:r w:rsidRPr="00B6647E">
        <w:rPr>
          <w:noProof/>
          <w:szCs w:val="20"/>
          <w:lang w:val="fr-FR" w:eastAsia="fr-FR"/>
        </w:rPr>
        <w:drawing>
          <wp:inline distT="0" distB="0" distL="0" distR="0">
            <wp:extent cx="5731510" cy="1645524"/>
            <wp:effectExtent l="19050" t="0" r="2540" b="0"/>
            <wp:docPr id="2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5" cstate="print"/>
                    <a:srcRect/>
                    <a:stretch>
                      <a:fillRect/>
                    </a:stretch>
                  </pic:blipFill>
                  <pic:spPr bwMode="auto">
                    <a:xfrm>
                      <a:off x="0" y="0"/>
                      <a:ext cx="5731510" cy="1645524"/>
                    </a:xfrm>
                    <a:prstGeom prst="rect">
                      <a:avLst/>
                    </a:prstGeom>
                    <a:noFill/>
                    <a:ln w="9525">
                      <a:noFill/>
                      <a:miter lim="800000"/>
                      <a:headEnd/>
                      <a:tailEnd/>
                    </a:ln>
                  </pic:spPr>
                </pic:pic>
              </a:graphicData>
            </a:graphic>
          </wp:inline>
        </w:drawing>
      </w:r>
    </w:p>
    <w:p w:rsidR="008846DB" w:rsidRPr="00B6647E" w:rsidRDefault="008846DB" w:rsidP="00E51ED6">
      <w:pPr>
        <w:pStyle w:val="Paragraphedeliste"/>
        <w:spacing w:after="0" w:line="240" w:lineRule="auto"/>
        <w:ind w:left="0"/>
        <w:rPr>
          <w:rFonts w:ascii="Arial" w:hAnsi="Arial" w:cs="Arial"/>
          <w:sz w:val="20"/>
          <w:szCs w:val="20"/>
        </w:rPr>
      </w:pPr>
    </w:p>
    <w:p w:rsidR="008846DB" w:rsidRPr="00B6647E" w:rsidRDefault="008846DB" w:rsidP="00E51ED6">
      <w:pPr>
        <w:pStyle w:val="Paragraphedeliste"/>
        <w:spacing w:after="0" w:line="240" w:lineRule="auto"/>
        <w:ind w:left="0"/>
        <w:rPr>
          <w:rFonts w:ascii="Arial" w:hAnsi="Arial" w:cs="Arial"/>
          <w:sz w:val="20"/>
          <w:szCs w:val="20"/>
        </w:rPr>
      </w:pPr>
      <w:r w:rsidRPr="00B6647E">
        <w:rPr>
          <w:noProof/>
          <w:szCs w:val="20"/>
          <w:lang w:val="fr-FR" w:eastAsia="fr-FR"/>
        </w:rPr>
        <w:drawing>
          <wp:inline distT="0" distB="0" distL="0" distR="0">
            <wp:extent cx="1533525" cy="1323975"/>
            <wp:effectExtent l="19050" t="0" r="9525" b="0"/>
            <wp:docPr id="22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6" cstate="print"/>
                    <a:srcRect/>
                    <a:stretch>
                      <a:fillRect/>
                    </a:stretch>
                  </pic:blipFill>
                  <pic:spPr bwMode="auto">
                    <a:xfrm>
                      <a:off x="0" y="0"/>
                      <a:ext cx="1533525" cy="1323975"/>
                    </a:xfrm>
                    <a:prstGeom prst="rect">
                      <a:avLst/>
                    </a:prstGeom>
                    <a:noFill/>
                    <a:ln w="9525">
                      <a:noFill/>
                      <a:miter lim="800000"/>
                      <a:headEnd/>
                      <a:tailEnd/>
                    </a:ln>
                  </pic:spPr>
                </pic:pic>
              </a:graphicData>
            </a:graphic>
          </wp:inline>
        </w:drawing>
      </w:r>
    </w:p>
    <w:p w:rsidR="008846DB" w:rsidRPr="00B6647E" w:rsidRDefault="008846DB" w:rsidP="00E51ED6">
      <w:pPr>
        <w:pStyle w:val="Paragraphedeliste"/>
        <w:spacing w:after="0" w:line="240" w:lineRule="auto"/>
        <w:ind w:left="0"/>
        <w:rPr>
          <w:rFonts w:ascii="Arial" w:hAnsi="Arial" w:cs="Arial"/>
          <w:sz w:val="20"/>
          <w:szCs w:val="20"/>
        </w:rPr>
      </w:pPr>
      <w:r w:rsidRPr="00B6647E">
        <w:rPr>
          <w:noProof/>
          <w:szCs w:val="20"/>
          <w:lang w:val="fr-FR" w:eastAsia="fr-FR"/>
        </w:rPr>
        <w:drawing>
          <wp:inline distT="0" distB="0" distL="0" distR="0">
            <wp:extent cx="3819525" cy="1971675"/>
            <wp:effectExtent l="19050" t="0" r="0" b="0"/>
            <wp:docPr id="24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7" cstate="print"/>
                    <a:srcRect/>
                    <a:stretch>
                      <a:fillRect/>
                    </a:stretch>
                  </pic:blipFill>
                  <pic:spPr bwMode="auto">
                    <a:xfrm>
                      <a:off x="0" y="0"/>
                      <a:ext cx="3819525" cy="1971675"/>
                    </a:xfrm>
                    <a:prstGeom prst="rect">
                      <a:avLst/>
                    </a:prstGeom>
                    <a:noFill/>
                    <a:ln w="9525">
                      <a:noFill/>
                      <a:miter lim="800000"/>
                      <a:headEnd/>
                      <a:tailEnd/>
                    </a:ln>
                  </pic:spPr>
                </pic:pic>
              </a:graphicData>
            </a:graphic>
          </wp:inline>
        </w:drawing>
      </w:r>
    </w:p>
    <w:p w:rsidR="008846DB" w:rsidRPr="00B6647E" w:rsidRDefault="008846DB" w:rsidP="00E51ED6">
      <w:pPr>
        <w:pStyle w:val="Paragraphedeliste"/>
        <w:spacing w:after="0" w:line="240" w:lineRule="auto"/>
        <w:ind w:left="0"/>
        <w:rPr>
          <w:rFonts w:ascii="Arial" w:hAnsi="Arial" w:cs="Arial"/>
          <w:sz w:val="20"/>
          <w:szCs w:val="20"/>
        </w:rPr>
      </w:pPr>
      <w:r w:rsidRPr="00B6647E">
        <w:rPr>
          <w:noProof/>
          <w:szCs w:val="20"/>
          <w:lang w:val="fr-FR" w:eastAsia="fr-FR"/>
        </w:rPr>
        <w:lastRenderedPageBreak/>
        <w:drawing>
          <wp:inline distT="0" distB="0" distL="0" distR="0">
            <wp:extent cx="4638675" cy="1162050"/>
            <wp:effectExtent l="19050" t="0" r="9525" b="0"/>
            <wp:docPr id="25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8" cstate="print"/>
                    <a:srcRect/>
                    <a:stretch>
                      <a:fillRect/>
                    </a:stretch>
                  </pic:blipFill>
                  <pic:spPr bwMode="auto">
                    <a:xfrm>
                      <a:off x="0" y="0"/>
                      <a:ext cx="4638675" cy="1162050"/>
                    </a:xfrm>
                    <a:prstGeom prst="rect">
                      <a:avLst/>
                    </a:prstGeom>
                    <a:noFill/>
                    <a:ln w="9525">
                      <a:noFill/>
                      <a:miter lim="800000"/>
                      <a:headEnd/>
                      <a:tailEnd/>
                    </a:ln>
                  </pic:spPr>
                </pic:pic>
              </a:graphicData>
            </a:graphic>
          </wp:inline>
        </w:drawing>
      </w:r>
    </w:p>
    <w:p w:rsidR="008846DB" w:rsidRPr="00B6647E" w:rsidRDefault="008846DB" w:rsidP="00E51ED6">
      <w:pPr>
        <w:pStyle w:val="Paragraphedeliste"/>
        <w:spacing w:after="0" w:line="240" w:lineRule="auto"/>
        <w:ind w:left="0"/>
        <w:rPr>
          <w:rFonts w:ascii="Arial" w:hAnsi="Arial" w:cs="Arial"/>
          <w:sz w:val="20"/>
          <w:szCs w:val="20"/>
        </w:rPr>
      </w:pPr>
    </w:p>
    <w:p w:rsidR="008846DB" w:rsidRPr="00B6647E" w:rsidRDefault="008846DB" w:rsidP="00E51ED6">
      <w:pPr>
        <w:pStyle w:val="Paragraphedeliste"/>
        <w:spacing w:after="0" w:line="240" w:lineRule="auto"/>
        <w:ind w:left="0"/>
        <w:rPr>
          <w:rFonts w:ascii="Arial" w:hAnsi="Arial" w:cs="Arial"/>
          <w:sz w:val="20"/>
          <w:szCs w:val="20"/>
        </w:rPr>
      </w:pPr>
      <w:r w:rsidRPr="00B6647E">
        <w:rPr>
          <w:noProof/>
          <w:szCs w:val="20"/>
          <w:lang w:val="fr-FR" w:eastAsia="fr-FR"/>
        </w:rPr>
        <w:drawing>
          <wp:inline distT="0" distB="0" distL="0" distR="0">
            <wp:extent cx="3886200" cy="2447925"/>
            <wp:effectExtent l="19050" t="0" r="0" b="0"/>
            <wp:docPr id="25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9" cstate="print"/>
                    <a:srcRect/>
                    <a:stretch>
                      <a:fillRect/>
                    </a:stretch>
                  </pic:blipFill>
                  <pic:spPr bwMode="auto">
                    <a:xfrm>
                      <a:off x="0" y="0"/>
                      <a:ext cx="3886200" cy="2447925"/>
                    </a:xfrm>
                    <a:prstGeom prst="rect">
                      <a:avLst/>
                    </a:prstGeom>
                    <a:noFill/>
                    <a:ln w="9525">
                      <a:noFill/>
                      <a:miter lim="800000"/>
                      <a:headEnd/>
                      <a:tailEnd/>
                    </a:ln>
                  </pic:spPr>
                </pic:pic>
              </a:graphicData>
            </a:graphic>
          </wp:inline>
        </w:drawing>
      </w:r>
    </w:p>
    <w:p w:rsidR="008846DB" w:rsidRPr="00B6647E" w:rsidRDefault="008846DB" w:rsidP="00E51ED6">
      <w:pPr>
        <w:pStyle w:val="Paragraphedeliste"/>
        <w:spacing w:after="0" w:line="240" w:lineRule="auto"/>
        <w:ind w:left="0"/>
        <w:rPr>
          <w:rFonts w:ascii="Arial" w:hAnsi="Arial" w:cs="Arial"/>
          <w:sz w:val="20"/>
          <w:szCs w:val="20"/>
        </w:rPr>
      </w:pPr>
    </w:p>
    <w:p w:rsidR="008846DB" w:rsidRPr="00B6647E" w:rsidRDefault="008846DB" w:rsidP="00E51ED6">
      <w:pPr>
        <w:pStyle w:val="Paragraphedeliste"/>
        <w:spacing w:after="0" w:line="240" w:lineRule="auto"/>
        <w:ind w:left="0"/>
        <w:rPr>
          <w:rFonts w:ascii="Arial" w:hAnsi="Arial" w:cs="Arial"/>
          <w:sz w:val="20"/>
          <w:szCs w:val="20"/>
        </w:rPr>
      </w:pPr>
      <w:r w:rsidRPr="00B6647E">
        <w:rPr>
          <w:noProof/>
          <w:szCs w:val="20"/>
          <w:lang w:val="fr-FR" w:eastAsia="fr-FR"/>
        </w:rPr>
        <w:drawing>
          <wp:inline distT="0" distB="0" distL="0" distR="0">
            <wp:extent cx="4638675" cy="1971675"/>
            <wp:effectExtent l="19050" t="0" r="9525" b="0"/>
            <wp:docPr id="25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0" cstate="print"/>
                    <a:srcRect/>
                    <a:stretch>
                      <a:fillRect/>
                    </a:stretch>
                  </pic:blipFill>
                  <pic:spPr bwMode="auto">
                    <a:xfrm>
                      <a:off x="0" y="0"/>
                      <a:ext cx="4638675" cy="1971675"/>
                    </a:xfrm>
                    <a:prstGeom prst="rect">
                      <a:avLst/>
                    </a:prstGeom>
                    <a:noFill/>
                    <a:ln w="9525">
                      <a:noFill/>
                      <a:miter lim="800000"/>
                      <a:headEnd/>
                      <a:tailEnd/>
                    </a:ln>
                  </pic:spPr>
                </pic:pic>
              </a:graphicData>
            </a:graphic>
          </wp:inline>
        </w:drawing>
      </w:r>
    </w:p>
    <w:p w:rsidR="008846DB" w:rsidRPr="00B6647E" w:rsidRDefault="008846DB" w:rsidP="00E51ED6">
      <w:pPr>
        <w:pStyle w:val="Paragraphedeliste"/>
        <w:spacing w:after="0" w:line="240" w:lineRule="auto"/>
        <w:ind w:left="0"/>
        <w:rPr>
          <w:rFonts w:ascii="Arial" w:hAnsi="Arial" w:cs="Arial"/>
          <w:sz w:val="20"/>
          <w:szCs w:val="20"/>
        </w:rPr>
      </w:pPr>
      <w:r w:rsidRPr="00B6647E">
        <w:rPr>
          <w:noProof/>
          <w:szCs w:val="20"/>
          <w:lang w:val="fr-FR" w:eastAsia="fr-FR"/>
        </w:rPr>
        <w:drawing>
          <wp:inline distT="0" distB="0" distL="0" distR="0">
            <wp:extent cx="4638675" cy="1971675"/>
            <wp:effectExtent l="19050" t="0" r="9525" b="0"/>
            <wp:docPr id="25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1" cstate="print"/>
                    <a:srcRect/>
                    <a:stretch>
                      <a:fillRect/>
                    </a:stretch>
                  </pic:blipFill>
                  <pic:spPr bwMode="auto">
                    <a:xfrm>
                      <a:off x="0" y="0"/>
                      <a:ext cx="4638675" cy="1971675"/>
                    </a:xfrm>
                    <a:prstGeom prst="rect">
                      <a:avLst/>
                    </a:prstGeom>
                    <a:noFill/>
                    <a:ln w="9525">
                      <a:noFill/>
                      <a:miter lim="800000"/>
                      <a:headEnd/>
                      <a:tailEnd/>
                    </a:ln>
                  </pic:spPr>
                </pic:pic>
              </a:graphicData>
            </a:graphic>
          </wp:inline>
        </w:drawing>
      </w:r>
    </w:p>
    <w:p w:rsidR="008846DB" w:rsidRPr="00B6647E" w:rsidRDefault="008846DB" w:rsidP="00E51ED6">
      <w:pPr>
        <w:pStyle w:val="Paragraphedeliste"/>
        <w:spacing w:after="0" w:line="240" w:lineRule="auto"/>
        <w:ind w:left="0"/>
        <w:rPr>
          <w:rFonts w:ascii="Arial" w:hAnsi="Arial" w:cs="Arial"/>
          <w:sz w:val="20"/>
          <w:szCs w:val="20"/>
        </w:rPr>
      </w:pPr>
      <w:r w:rsidRPr="00B6647E">
        <w:rPr>
          <w:noProof/>
          <w:szCs w:val="20"/>
          <w:lang w:val="fr-FR" w:eastAsia="fr-FR"/>
        </w:rPr>
        <w:lastRenderedPageBreak/>
        <w:drawing>
          <wp:inline distT="0" distB="0" distL="0" distR="0">
            <wp:extent cx="4638675" cy="1971675"/>
            <wp:effectExtent l="19050" t="0" r="9525" b="0"/>
            <wp:docPr id="25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2" cstate="print"/>
                    <a:srcRect/>
                    <a:stretch>
                      <a:fillRect/>
                    </a:stretch>
                  </pic:blipFill>
                  <pic:spPr bwMode="auto">
                    <a:xfrm>
                      <a:off x="0" y="0"/>
                      <a:ext cx="4638675" cy="1971675"/>
                    </a:xfrm>
                    <a:prstGeom prst="rect">
                      <a:avLst/>
                    </a:prstGeom>
                    <a:noFill/>
                    <a:ln w="9525">
                      <a:noFill/>
                      <a:miter lim="800000"/>
                      <a:headEnd/>
                      <a:tailEnd/>
                    </a:ln>
                  </pic:spPr>
                </pic:pic>
              </a:graphicData>
            </a:graphic>
          </wp:inline>
        </w:drawing>
      </w:r>
    </w:p>
    <w:p w:rsidR="008846DB" w:rsidRPr="00B6647E" w:rsidRDefault="008846DB" w:rsidP="00E51ED6">
      <w:pPr>
        <w:pStyle w:val="Paragraphedeliste"/>
        <w:spacing w:after="0" w:line="240" w:lineRule="auto"/>
        <w:ind w:left="0"/>
        <w:rPr>
          <w:rFonts w:ascii="Arial" w:hAnsi="Arial" w:cs="Arial"/>
          <w:sz w:val="20"/>
          <w:szCs w:val="20"/>
        </w:rPr>
      </w:pPr>
    </w:p>
    <w:p w:rsidR="008846DB" w:rsidRPr="00B6647E" w:rsidRDefault="008846DB" w:rsidP="00E51ED6">
      <w:pPr>
        <w:pStyle w:val="Paragraphedeliste"/>
        <w:spacing w:after="0" w:line="240" w:lineRule="auto"/>
        <w:ind w:left="0"/>
        <w:rPr>
          <w:rFonts w:ascii="Arial" w:hAnsi="Arial" w:cs="Arial"/>
          <w:sz w:val="20"/>
          <w:szCs w:val="20"/>
        </w:rPr>
      </w:pPr>
      <w:r w:rsidRPr="00B6647E">
        <w:rPr>
          <w:noProof/>
          <w:szCs w:val="20"/>
          <w:lang w:val="fr-FR" w:eastAsia="fr-FR"/>
        </w:rPr>
        <w:drawing>
          <wp:inline distT="0" distB="0" distL="0" distR="0">
            <wp:extent cx="4185263" cy="4324350"/>
            <wp:effectExtent l="19050" t="0" r="5737" b="0"/>
            <wp:docPr id="30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3" cstate="print"/>
                    <a:srcRect/>
                    <a:stretch>
                      <a:fillRect/>
                    </a:stretch>
                  </pic:blipFill>
                  <pic:spPr bwMode="auto">
                    <a:xfrm>
                      <a:off x="0" y="0"/>
                      <a:ext cx="4188965" cy="4328175"/>
                    </a:xfrm>
                    <a:prstGeom prst="rect">
                      <a:avLst/>
                    </a:prstGeom>
                    <a:noFill/>
                    <a:ln w="9525">
                      <a:noFill/>
                      <a:miter lim="800000"/>
                      <a:headEnd/>
                      <a:tailEnd/>
                    </a:ln>
                  </pic:spPr>
                </pic:pic>
              </a:graphicData>
            </a:graphic>
          </wp:inline>
        </w:drawing>
      </w:r>
    </w:p>
    <w:p w:rsidR="008846DB" w:rsidRPr="00B6647E" w:rsidRDefault="008846DB" w:rsidP="00E51ED6">
      <w:pPr>
        <w:pStyle w:val="Paragraphedeliste"/>
        <w:spacing w:after="0" w:line="240" w:lineRule="auto"/>
        <w:ind w:left="0"/>
        <w:rPr>
          <w:rFonts w:ascii="Arial" w:hAnsi="Arial" w:cs="Arial"/>
          <w:sz w:val="20"/>
          <w:szCs w:val="20"/>
        </w:rPr>
      </w:pPr>
    </w:p>
    <w:p w:rsidR="008846DB" w:rsidRPr="00B6647E" w:rsidRDefault="008846DB" w:rsidP="00E51ED6">
      <w:pPr>
        <w:pStyle w:val="Paragraphedeliste"/>
        <w:spacing w:after="0" w:line="240" w:lineRule="auto"/>
        <w:ind w:left="0"/>
        <w:rPr>
          <w:rFonts w:ascii="Arial" w:hAnsi="Arial" w:cs="Arial"/>
          <w:sz w:val="20"/>
          <w:szCs w:val="20"/>
        </w:rPr>
      </w:pPr>
      <w:r w:rsidRPr="00B6647E">
        <w:rPr>
          <w:noProof/>
          <w:szCs w:val="20"/>
          <w:lang w:val="fr-FR" w:eastAsia="fr-FR"/>
        </w:rPr>
        <w:drawing>
          <wp:inline distT="0" distB="0" distL="0" distR="0">
            <wp:extent cx="4638675" cy="1971675"/>
            <wp:effectExtent l="19050" t="0" r="9525" b="0"/>
            <wp:docPr id="33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4" cstate="print"/>
                    <a:srcRect/>
                    <a:stretch>
                      <a:fillRect/>
                    </a:stretch>
                  </pic:blipFill>
                  <pic:spPr bwMode="auto">
                    <a:xfrm>
                      <a:off x="0" y="0"/>
                      <a:ext cx="4638675" cy="1971675"/>
                    </a:xfrm>
                    <a:prstGeom prst="rect">
                      <a:avLst/>
                    </a:prstGeom>
                    <a:noFill/>
                    <a:ln w="9525">
                      <a:noFill/>
                      <a:miter lim="800000"/>
                      <a:headEnd/>
                      <a:tailEnd/>
                    </a:ln>
                  </pic:spPr>
                </pic:pic>
              </a:graphicData>
            </a:graphic>
          </wp:inline>
        </w:drawing>
      </w:r>
    </w:p>
    <w:p w:rsidR="008846DB" w:rsidRPr="00B6647E" w:rsidRDefault="008846DB" w:rsidP="00E51ED6">
      <w:pPr>
        <w:pStyle w:val="Paragraphedeliste"/>
        <w:spacing w:after="0" w:line="240" w:lineRule="auto"/>
        <w:ind w:left="0"/>
        <w:rPr>
          <w:rFonts w:ascii="Arial" w:hAnsi="Arial" w:cs="Arial"/>
          <w:sz w:val="20"/>
          <w:szCs w:val="20"/>
        </w:rPr>
      </w:pPr>
    </w:p>
    <w:p w:rsidR="008846DB" w:rsidRPr="00B6647E" w:rsidRDefault="008846DB" w:rsidP="00E51ED6">
      <w:pPr>
        <w:pStyle w:val="Paragraphedeliste"/>
        <w:spacing w:after="0" w:line="240" w:lineRule="auto"/>
        <w:ind w:left="0"/>
        <w:rPr>
          <w:rFonts w:ascii="Arial" w:hAnsi="Arial" w:cs="Arial"/>
          <w:sz w:val="20"/>
          <w:szCs w:val="20"/>
        </w:rPr>
      </w:pPr>
      <w:r w:rsidRPr="00B6647E">
        <w:rPr>
          <w:noProof/>
          <w:szCs w:val="20"/>
          <w:lang w:val="fr-FR" w:eastAsia="fr-FR"/>
        </w:rPr>
        <w:lastRenderedPageBreak/>
        <w:drawing>
          <wp:inline distT="0" distB="0" distL="0" distR="0">
            <wp:extent cx="5731510" cy="1984325"/>
            <wp:effectExtent l="19050" t="0" r="0" b="0"/>
            <wp:docPr id="33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5" cstate="print"/>
                    <a:srcRect/>
                    <a:stretch>
                      <a:fillRect/>
                    </a:stretch>
                  </pic:blipFill>
                  <pic:spPr bwMode="auto">
                    <a:xfrm>
                      <a:off x="0" y="0"/>
                      <a:ext cx="5731510" cy="1984325"/>
                    </a:xfrm>
                    <a:prstGeom prst="rect">
                      <a:avLst/>
                    </a:prstGeom>
                    <a:noFill/>
                    <a:ln w="9525">
                      <a:noFill/>
                      <a:miter lim="800000"/>
                      <a:headEnd/>
                      <a:tailEnd/>
                    </a:ln>
                  </pic:spPr>
                </pic:pic>
              </a:graphicData>
            </a:graphic>
          </wp:inline>
        </w:drawing>
      </w:r>
    </w:p>
    <w:p w:rsidR="008846DB" w:rsidRPr="00B6647E" w:rsidRDefault="00E56A85" w:rsidP="0052337E">
      <w:pPr>
        <w:pStyle w:val="Titre2"/>
        <w:spacing w:before="240" w:after="200"/>
        <w:rPr>
          <w:rFonts w:cs="Arial"/>
          <w:u w:val="dotDash"/>
        </w:rPr>
      </w:pPr>
      <w:bookmarkStart w:id="367" w:name="_Toc354313945"/>
      <w:r w:rsidRPr="00B6647E">
        <w:rPr>
          <w:rFonts w:cs="Arial"/>
          <w:u w:val="dotDash"/>
        </w:rPr>
        <w:t>Résultats de l’analyse des correspondances multiples</w:t>
      </w:r>
      <w:bookmarkEnd w:id="367"/>
    </w:p>
    <w:p w:rsidR="00E56A85" w:rsidRPr="00B6647E" w:rsidRDefault="00E56A85" w:rsidP="00E51ED6">
      <w:pPr>
        <w:pStyle w:val="Paragraphedeliste"/>
        <w:spacing w:after="0" w:line="240" w:lineRule="auto"/>
        <w:ind w:left="0"/>
        <w:rPr>
          <w:rFonts w:ascii="Arial" w:hAnsi="Arial" w:cs="Arial"/>
          <w:sz w:val="20"/>
          <w:szCs w:val="20"/>
        </w:rPr>
      </w:pPr>
      <w:r w:rsidRPr="00B6647E">
        <w:rPr>
          <w:noProof/>
          <w:szCs w:val="20"/>
          <w:lang w:val="fr-FR" w:eastAsia="fr-FR"/>
        </w:rPr>
        <w:drawing>
          <wp:inline distT="0" distB="0" distL="0" distR="0">
            <wp:extent cx="4924425" cy="1657350"/>
            <wp:effectExtent l="19050" t="0" r="9525" b="0"/>
            <wp:docPr id="336"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6" cstate="print"/>
                    <a:srcRect/>
                    <a:stretch>
                      <a:fillRect/>
                    </a:stretch>
                  </pic:blipFill>
                  <pic:spPr bwMode="auto">
                    <a:xfrm>
                      <a:off x="0" y="0"/>
                      <a:ext cx="4924425" cy="1657350"/>
                    </a:xfrm>
                    <a:prstGeom prst="rect">
                      <a:avLst/>
                    </a:prstGeom>
                    <a:noFill/>
                    <a:ln w="9525">
                      <a:noFill/>
                      <a:miter lim="800000"/>
                      <a:headEnd/>
                      <a:tailEnd/>
                    </a:ln>
                  </pic:spPr>
                </pic:pic>
              </a:graphicData>
            </a:graphic>
          </wp:inline>
        </w:drawing>
      </w:r>
    </w:p>
    <w:p w:rsidR="00E56A85" w:rsidRPr="00B6647E" w:rsidRDefault="00E56A85" w:rsidP="00E51ED6">
      <w:pPr>
        <w:pStyle w:val="Paragraphedeliste"/>
        <w:spacing w:after="0" w:line="240" w:lineRule="auto"/>
        <w:ind w:left="0"/>
        <w:rPr>
          <w:rFonts w:ascii="Arial" w:hAnsi="Arial" w:cs="Arial"/>
          <w:sz w:val="20"/>
          <w:szCs w:val="20"/>
        </w:rPr>
      </w:pPr>
    </w:p>
    <w:p w:rsidR="00E56A85" w:rsidRPr="00B6647E" w:rsidRDefault="00E56A85" w:rsidP="00E51ED6">
      <w:pPr>
        <w:pStyle w:val="Paragraphedeliste"/>
        <w:spacing w:after="0" w:line="240" w:lineRule="auto"/>
        <w:ind w:left="0"/>
        <w:rPr>
          <w:rFonts w:ascii="Arial" w:hAnsi="Arial" w:cs="Arial"/>
          <w:sz w:val="20"/>
          <w:szCs w:val="20"/>
        </w:rPr>
      </w:pPr>
      <w:r w:rsidRPr="00B6647E">
        <w:rPr>
          <w:noProof/>
          <w:szCs w:val="20"/>
          <w:lang w:val="fr-FR" w:eastAsia="fr-FR"/>
        </w:rPr>
        <w:drawing>
          <wp:inline distT="0" distB="0" distL="0" distR="0">
            <wp:extent cx="4362450" cy="2701566"/>
            <wp:effectExtent l="19050" t="0" r="0" b="0"/>
            <wp:docPr id="33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7" cstate="print"/>
                    <a:srcRect/>
                    <a:stretch>
                      <a:fillRect/>
                    </a:stretch>
                  </pic:blipFill>
                  <pic:spPr bwMode="auto">
                    <a:xfrm>
                      <a:off x="0" y="0"/>
                      <a:ext cx="4363438" cy="2702178"/>
                    </a:xfrm>
                    <a:prstGeom prst="rect">
                      <a:avLst/>
                    </a:prstGeom>
                    <a:noFill/>
                    <a:ln w="9525">
                      <a:noFill/>
                      <a:miter lim="800000"/>
                      <a:headEnd/>
                      <a:tailEnd/>
                    </a:ln>
                  </pic:spPr>
                </pic:pic>
              </a:graphicData>
            </a:graphic>
          </wp:inline>
        </w:drawing>
      </w:r>
    </w:p>
    <w:p w:rsidR="00E56A85" w:rsidRPr="00B6647E" w:rsidRDefault="00E56A85" w:rsidP="00E51ED6">
      <w:pPr>
        <w:pStyle w:val="Paragraphedeliste"/>
        <w:spacing w:after="0" w:line="240" w:lineRule="auto"/>
        <w:ind w:left="0"/>
        <w:rPr>
          <w:rFonts w:ascii="Arial" w:hAnsi="Arial" w:cs="Arial"/>
          <w:sz w:val="20"/>
          <w:szCs w:val="20"/>
        </w:rPr>
      </w:pPr>
    </w:p>
    <w:p w:rsidR="00E56A85" w:rsidRPr="00B6647E" w:rsidRDefault="00E56A85" w:rsidP="00E56A85">
      <w:pPr>
        <w:pStyle w:val="Paragraphedeliste"/>
        <w:spacing w:after="0" w:line="240" w:lineRule="auto"/>
        <w:ind w:left="0"/>
        <w:rPr>
          <w:rFonts w:ascii="Arial" w:hAnsi="Arial" w:cs="Arial"/>
          <w:sz w:val="20"/>
          <w:szCs w:val="20"/>
        </w:rPr>
      </w:pPr>
    </w:p>
    <w:p w:rsidR="004302FD" w:rsidRPr="00B6647E" w:rsidRDefault="004302FD">
      <w:pPr>
        <w:rPr>
          <w:rFonts w:ascii="Arial" w:eastAsia="Times New Roman" w:hAnsi="Arial" w:cs="Arial"/>
          <w:smallCaps/>
          <w:u w:val="dotDash"/>
          <w:lang w:val="fr-FR" w:eastAsia="fr-FR"/>
        </w:rPr>
      </w:pPr>
      <w:r w:rsidRPr="00B6647E">
        <w:rPr>
          <w:rFonts w:cs="Arial"/>
          <w:u w:val="dotDash"/>
        </w:rPr>
        <w:br w:type="page"/>
      </w:r>
    </w:p>
    <w:p w:rsidR="00E56A85" w:rsidRPr="00B6647E" w:rsidRDefault="00E56A85" w:rsidP="0052337E">
      <w:pPr>
        <w:pStyle w:val="Titre2"/>
        <w:spacing w:before="240" w:after="200"/>
        <w:rPr>
          <w:rFonts w:cs="Arial"/>
          <w:u w:val="dotDash"/>
        </w:rPr>
      </w:pPr>
      <w:bookmarkStart w:id="368" w:name="_Toc354313946"/>
      <w:r w:rsidRPr="00B6647E">
        <w:rPr>
          <w:rFonts w:cs="Arial"/>
          <w:u w:val="dotDash"/>
        </w:rPr>
        <w:lastRenderedPageBreak/>
        <w:t>Résultats de la classification ascendante hiérarchique (CAH)</w:t>
      </w:r>
      <w:bookmarkEnd w:id="368"/>
    </w:p>
    <w:p w:rsidR="00E56A85" w:rsidRPr="00B6647E" w:rsidRDefault="00E56A85" w:rsidP="00E51ED6">
      <w:pPr>
        <w:pStyle w:val="Paragraphedeliste"/>
        <w:spacing w:after="0" w:line="240" w:lineRule="auto"/>
        <w:ind w:left="0"/>
        <w:rPr>
          <w:rFonts w:ascii="Arial" w:hAnsi="Arial" w:cs="Arial"/>
          <w:sz w:val="20"/>
          <w:szCs w:val="20"/>
        </w:rPr>
      </w:pPr>
      <w:r w:rsidRPr="00B6647E">
        <w:rPr>
          <w:noProof/>
          <w:szCs w:val="20"/>
          <w:lang w:val="fr-FR" w:eastAsia="fr-FR"/>
        </w:rPr>
        <w:drawing>
          <wp:inline distT="0" distB="0" distL="0" distR="0">
            <wp:extent cx="5731510" cy="1394876"/>
            <wp:effectExtent l="19050" t="0" r="2540" b="0"/>
            <wp:docPr id="339"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8" cstate="print"/>
                    <a:srcRect/>
                    <a:stretch>
                      <a:fillRect/>
                    </a:stretch>
                  </pic:blipFill>
                  <pic:spPr bwMode="auto">
                    <a:xfrm>
                      <a:off x="0" y="0"/>
                      <a:ext cx="5731510" cy="1394876"/>
                    </a:xfrm>
                    <a:prstGeom prst="rect">
                      <a:avLst/>
                    </a:prstGeom>
                    <a:noFill/>
                    <a:ln w="9525">
                      <a:noFill/>
                      <a:miter lim="800000"/>
                      <a:headEnd/>
                      <a:tailEnd/>
                    </a:ln>
                  </pic:spPr>
                </pic:pic>
              </a:graphicData>
            </a:graphic>
          </wp:inline>
        </w:drawing>
      </w:r>
    </w:p>
    <w:p w:rsidR="00C97099" w:rsidRPr="00B6647E" w:rsidRDefault="00C97099" w:rsidP="00E51ED6">
      <w:pPr>
        <w:pStyle w:val="Paragraphedeliste"/>
        <w:spacing w:after="0" w:line="240" w:lineRule="auto"/>
        <w:ind w:left="0"/>
        <w:rPr>
          <w:rFonts w:ascii="Arial" w:hAnsi="Arial" w:cs="Arial"/>
          <w:sz w:val="20"/>
          <w:szCs w:val="20"/>
        </w:rPr>
      </w:pPr>
    </w:p>
    <w:p w:rsidR="00C97099" w:rsidRPr="00B6647E" w:rsidRDefault="00C97099" w:rsidP="00E51ED6">
      <w:pPr>
        <w:pStyle w:val="Paragraphedeliste"/>
        <w:spacing w:after="0" w:line="240" w:lineRule="auto"/>
        <w:ind w:left="0"/>
        <w:rPr>
          <w:rFonts w:ascii="Arial" w:hAnsi="Arial" w:cs="Arial"/>
          <w:sz w:val="20"/>
          <w:szCs w:val="20"/>
        </w:rPr>
      </w:pPr>
      <w:r w:rsidRPr="00B6647E">
        <w:rPr>
          <w:noProof/>
          <w:szCs w:val="20"/>
          <w:lang w:val="fr-FR" w:eastAsia="fr-FR"/>
        </w:rPr>
        <w:drawing>
          <wp:inline distT="0" distB="0" distL="0" distR="0">
            <wp:extent cx="4648200" cy="3364742"/>
            <wp:effectExtent l="19050" t="0" r="0" b="0"/>
            <wp:docPr id="34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9" cstate="print"/>
                    <a:srcRect/>
                    <a:stretch>
                      <a:fillRect/>
                    </a:stretch>
                  </pic:blipFill>
                  <pic:spPr bwMode="auto">
                    <a:xfrm>
                      <a:off x="0" y="0"/>
                      <a:ext cx="4648200" cy="3364742"/>
                    </a:xfrm>
                    <a:prstGeom prst="rect">
                      <a:avLst/>
                    </a:prstGeom>
                    <a:noFill/>
                    <a:ln w="9525">
                      <a:noFill/>
                      <a:miter lim="800000"/>
                      <a:headEnd/>
                      <a:tailEnd/>
                    </a:ln>
                  </pic:spPr>
                </pic:pic>
              </a:graphicData>
            </a:graphic>
          </wp:inline>
        </w:drawing>
      </w:r>
    </w:p>
    <w:p w:rsidR="00C97099" w:rsidRPr="00B6647E" w:rsidRDefault="00C97099" w:rsidP="00E51ED6">
      <w:pPr>
        <w:pStyle w:val="Paragraphedeliste"/>
        <w:spacing w:after="0" w:line="240" w:lineRule="auto"/>
        <w:ind w:left="0"/>
        <w:rPr>
          <w:rFonts w:ascii="Arial" w:hAnsi="Arial" w:cs="Arial"/>
          <w:sz w:val="20"/>
          <w:szCs w:val="20"/>
        </w:rPr>
      </w:pPr>
    </w:p>
    <w:p w:rsidR="00C97099" w:rsidRPr="00B6647E" w:rsidRDefault="00C97099" w:rsidP="00E51ED6">
      <w:pPr>
        <w:pStyle w:val="Paragraphedeliste"/>
        <w:spacing w:after="0" w:line="240" w:lineRule="auto"/>
        <w:ind w:left="0"/>
        <w:rPr>
          <w:rFonts w:ascii="Arial" w:hAnsi="Arial" w:cs="Arial"/>
          <w:sz w:val="20"/>
          <w:szCs w:val="20"/>
        </w:rPr>
      </w:pPr>
      <w:r w:rsidRPr="00B6647E">
        <w:rPr>
          <w:noProof/>
          <w:szCs w:val="20"/>
          <w:lang w:val="fr-FR" w:eastAsia="fr-FR"/>
        </w:rPr>
        <w:drawing>
          <wp:inline distT="0" distB="0" distL="0" distR="0">
            <wp:extent cx="4648200" cy="3364743"/>
            <wp:effectExtent l="19050" t="0" r="0" b="0"/>
            <wp:docPr id="341"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0" cstate="print"/>
                    <a:srcRect/>
                    <a:stretch>
                      <a:fillRect/>
                    </a:stretch>
                  </pic:blipFill>
                  <pic:spPr bwMode="auto">
                    <a:xfrm>
                      <a:off x="0" y="0"/>
                      <a:ext cx="4648557" cy="3365001"/>
                    </a:xfrm>
                    <a:prstGeom prst="rect">
                      <a:avLst/>
                    </a:prstGeom>
                    <a:noFill/>
                    <a:ln w="9525">
                      <a:noFill/>
                      <a:miter lim="800000"/>
                      <a:headEnd/>
                      <a:tailEnd/>
                    </a:ln>
                  </pic:spPr>
                </pic:pic>
              </a:graphicData>
            </a:graphic>
          </wp:inline>
        </w:drawing>
      </w:r>
    </w:p>
    <w:p w:rsidR="00C97099" w:rsidRPr="00B6647E" w:rsidRDefault="00C97099" w:rsidP="00E51ED6">
      <w:pPr>
        <w:pStyle w:val="Paragraphedeliste"/>
        <w:spacing w:after="0" w:line="240" w:lineRule="auto"/>
        <w:ind w:left="0"/>
        <w:rPr>
          <w:rFonts w:ascii="Arial" w:hAnsi="Arial" w:cs="Arial"/>
          <w:sz w:val="20"/>
          <w:szCs w:val="20"/>
        </w:rPr>
      </w:pPr>
    </w:p>
    <w:p w:rsidR="00C97099" w:rsidRPr="00B6647E" w:rsidRDefault="00C97099" w:rsidP="00E51ED6">
      <w:pPr>
        <w:pStyle w:val="Paragraphedeliste"/>
        <w:spacing w:after="0" w:line="240" w:lineRule="auto"/>
        <w:ind w:left="0"/>
        <w:rPr>
          <w:rFonts w:ascii="Arial" w:hAnsi="Arial" w:cs="Arial"/>
          <w:sz w:val="20"/>
          <w:szCs w:val="20"/>
        </w:rPr>
      </w:pPr>
      <w:r w:rsidRPr="00B6647E">
        <w:rPr>
          <w:noProof/>
          <w:szCs w:val="20"/>
          <w:lang w:val="fr-FR" w:eastAsia="fr-FR"/>
        </w:rPr>
        <w:lastRenderedPageBreak/>
        <w:drawing>
          <wp:inline distT="0" distB="0" distL="0" distR="0">
            <wp:extent cx="3819525" cy="1162050"/>
            <wp:effectExtent l="19050" t="0" r="0" b="0"/>
            <wp:docPr id="342"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1" cstate="print"/>
                    <a:srcRect/>
                    <a:stretch>
                      <a:fillRect/>
                    </a:stretch>
                  </pic:blipFill>
                  <pic:spPr bwMode="auto">
                    <a:xfrm>
                      <a:off x="0" y="0"/>
                      <a:ext cx="3819525" cy="1162050"/>
                    </a:xfrm>
                    <a:prstGeom prst="rect">
                      <a:avLst/>
                    </a:prstGeom>
                    <a:noFill/>
                    <a:ln w="9525">
                      <a:noFill/>
                      <a:miter lim="800000"/>
                      <a:headEnd/>
                      <a:tailEnd/>
                    </a:ln>
                  </pic:spPr>
                </pic:pic>
              </a:graphicData>
            </a:graphic>
          </wp:inline>
        </w:drawing>
      </w:r>
    </w:p>
    <w:p w:rsidR="00C97099" w:rsidRPr="00B6647E" w:rsidRDefault="00C97099" w:rsidP="00E51ED6">
      <w:pPr>
        <w:pStyle w:val="Paragraphedeliste"/>
        <w:spacing w:after="0" w:line="240" w:lineRule="auto"/>
        <w:ind w:left="0"/>
        <w:rPr>
          <w:rFonts w:ascii="Arial" w:hAnsi="Arial" w:cs="Arial"/>
          <w:sz w:val="20"/>
          <w:szCs w:val="20"/>
        </w:rPr>
      </w:pPr>
    </w:p>
    <w:p w:rsidR="00C97099" w:rsidRPr="00B6647E" w:rsidRDefault="00C97099" w:rsidP="00E51ED6">
      <w:pPr>
        <w:pStyle w:val="Paragraphedeliste"/>
        <w:spacing w:after="0" w:line="240" w:lineRule="auto"/>
        <w:ind w:left="0"/>
        <w:rPr>
          <w:rFonts w:ascii="Arial" w:hAnsi="Arial" w:cs="Arial"/>
          <w:sz w:val="20"/>
          <w:szCs w:val="20"/>
        </w:rPr>
      </w:pPr>
      <w:r w:rsidRPr="00B6647E">
        <w:rPr>
          <w:noProof/>
          <w:szCs w:val="20"/>
          <w:lang w:val="fr-FR" w:eastAsia="fr-FR"/>
        </w:rPr>
        <w:drawing>
          <wp:inline distT="0" distB="0" distL="0" distR="0">
            <wp:extent cx="3057525" cy="1647825"/>
            <wp:effectExtent l="19050" t="0" r="9525" b="0"/>
            <wp:docPr id="34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2" cstate="print"/>
                    <a:srcRect/>
                    <a:stretch>
                      <a:fillRect/>
                    </a:stretch>
                  </pic:blipFill>
                  <pic:spPr bwMode="auto">
                    <a:xfrm>
                      <a:off x="0" y="0"/>
                      <a:ext cx="3057525" cy="1647825"/>
                    </a:xfrm>
                    <a:prstGeom prst="rect">
                      <a:avLst/>
                    </a:prstGeom>
                    <a:noFill/>
                    <a:ln w="9525">
                      <a:noFill/>
                      <a:miter lim="800000"/>
                      <a:headEnd/>
                      <a:tailEnd/>
                    </a:ln>
                  </pic:spPr>
                </pic:pic>
              </a:graphicData>
            </a:graphic>
          </wp:inline>
        </w:drawing>
      </w:r>
    </w:p>
    <w:p w:rsidR="00C97099" w:rsidRPr="00B6647E" w:rsidRDefault="00C97099" w:rsidP="00E51ED6">
      <w:pPr>
        <w:pStyle w:val="Paragraphedeliste"/>
        <w:spacing w:after="0" w:line="240" w:lineRule="auto"/>
        <w:ind w:left="0"/>
        <w:rPr>
          <w:rFonts w:ascii="Arial" w:hAnsi="Arial" w:cs="Arial"/>
          <w:sz w:val="20"/>
          <w:szCs w:val="20"/>
        </w:rPr>
      </w:pPr>
    </w:p>
    <w:p w:rsidR="00C97099" w:rsidRPr="00B6647E" w:rsidRDefault="00C97099" w:rsidP="00E51ED6">
      <w:pPr>
        <w:pStyle w:val="Paragraphedeliste"/>
        <w:spacing w:after="0" w:line="240" w:lineRule="auto"/>
        <w:ind w:left="0"/>
        <w:rPr>
          <w:rFonts w:ascii="Arial" w:hAnsi="Arial" w:cs="Arial"/>
          <w:sz w:val="20"/>
          <w:szCs w:val="20"/>
        </w:rPr>
      </w:pPr>
      <w:r w:rsidRPr="00B6647E">
        <w:rPr>
          <w:noProof/>
          <w:szCs w:val="20"/>
          <w:lang w:val="fr-FR" w:eastAsia="fr-FR"/>
        </w:rPr>
        <w:drawing>
          <wp:inline distT="0" distB="0" distL="0" distR="0">
            <wp:extent cx="5343525" cy="1647825"/>
            <wp:effectExtent l="19050" t="0" r="9525" b="0"/>
            <wp:docPr id="344"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3" cstate="print"/>
                    <a:srcRect/>
                    <a:stretch>
                      <a:fillRect/>
                    </a:stretch>
                  </pic:blipFill>
                  <pic:spPr bwMode="auto">
                    <a:xfrm>
                      <a:off x="0" y="0"/>
                      <a:ext cx="5343525" cy="1647825"/>
                    </a:xfrm>
                    <a:prstGeom prst="rect">
                      <a:avLst/>
                    </a:prstGeom>
                    <a:noFill/>
                    <a:ln w="9525">
                      <a:noFill/>
                      <a:miter lim="800000"/>
                      <a:headEnd/>
                      <a:tailEnd/>
                    </a:ln>
                  </pic:spPr>
                </pic:pic>
              </a:graphicData>
            </a:graphic>
          </wp:inline>
        </w:drawing>
      </w:r>
    </w:p>
    <w:p w:rsidR="00C97099" w:rsidRPr="00B6647E" w:rsidRDefault="00C97099" w:rsidP="00E51ED6">
      <w:pPr>
        <w:pStyle w:val="Paragraphedeliste"/>
        <w:spacing w:after="0" w:line="240" w:lineRule="auto"/>
        <w:ind w:left="0"/>
        <w:rPr>
          <w:rFonts w:ascii="Arial" w:hAnsi="Arial" w:cs="Arial"/>
          <w:sz w:val="20"/>
          <w:szCs w:val="20"/>
        </w:rPr>
      </w:pPr>
    </w:p>
    <w:p w:rsidR="00C97099" w:rsidRPr="00B6647E" w:rsidRDefault="00C97099" w:rsidP="00E51ED6">
      <w:pPr>
        <w:pStyle w:val="Paragraphedeliste"/>
        <w:spacing w:after="0" w:line="240" w:lineRule="auto"/>
        <w:ind w:left="0"/>
        <w:rPr>
          <w:rFonts w:ascii="Arial" w:hAnsi="Arial" w:cs="Arial"/>
          <w:sz w:val="20"/>
          <w:szCs w:val="20"/>
        </w:rPr>
      </w:pPr>
      <w:r w:rsidRPr="00B6647E">
        <w:rPr>
          <w:noProof/>
          <w:szCs w:val="20"/>
          <w:lang w:val="fr-FR" w:eastAsia="fr-FR"/>
        </w:rPr>
        <w:drawing>
          <wp:inline distT="0" distB="0" distL="0" distR="0">
            <wp:extent cx="3057525" cy="1647825"/>
            <wp:effectExtent l="19050" t="0" r="9525" b="0"/>
            <wp:docPr id="345"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4" cstate="print"/>
                    <a:srcRect/>
                    <a:stretch>
                      <a:fillRect/>
                    </a:stretch>
                  </pic:blipFill>
                  <pic:spPr bwMode="auto">
                    <a:xfrm>
                      <a:off x="0" y="0"/>
                      <a:ext cx="3057525" cy="1647825"/>
                    </a:xfrm>
                    <a:prstGeom prst="rect">
                      <a:avLst/>
                    </a:prstGeom>
                    <a:noFill/>
                    <a:ln w="9525">
                      <a:noFill/>
                      <a:miter lim="800000"/>
                      <a:headEnd/>
                      <a:tailEnd/>
                    </a:ln>
                  </pic:spPr>
                </pic:pic>
              </a:graphicData>
            </a:graphic>
          </wp:inline>
        </w:drawing>
      </w:r>
    </w:p>
    <w:p w:rsidR="00C97099" w:rsidRPr="00B6647E" w:rsidRDefault="00C97099" w:rsidP="00E51ED6">
      <w:pPr>
        <w:pStyle w:val="Paragraphedeliste"/>
        <w:spacing w:after="0" w:line="240" w:lineRule="auto"/>
        <w:ind w:left="0"/>
        <w:rPr>
          <w:rFonts w:ascii="Arial" w:hAnsi="Arial" w:cs="Arial"/>
          <w:sz w:val="20"/>
          <w:szCs w:val="20"/>
        </w:rPr>
      </w:pPr>
    </w:p>
    <w:p w:rsidR="00C97099" w:rsidRPr="00B6647E" w:rsidRDefault="00C97099" w:rsidP="00E51ED6">
      <w:pPr>
        <w:pStyle w:val="Paragraphedeliste"/>
        <w:spacing w:after="0" w:line="240" w:lineRule="auto"/>
        <w:ind w:left="0"/>
        <w:rPr>
          <w:rFonts w:ascii="Arial" w:hAnsi="Arial" w:cs="Arial"/>
          <w:sz w:val="20"/>
          <w:szCs w:val="20"/>
        </w:rPr>
      </w:pPr>
      <w:r w:rsidRPr="00B6647E">
        <w:rPr>
          <w:noProof/>
          <w:szCs w:val="20"/>
          <w:lang w:val="fr-FR" w:eastAsia="fr-FR"/>
        </w:rPr>
        <w:drawing>
          <wp:inline distT="0" distB="0" distL="0" distR="0">
            <wp:extent cx="5343525" cy="1647825"/>
            <wp:effectExtent l="19050" t="0" r="9525" b="0"/>
            <wp:docPr id="346"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5" cstate="print"/>
                    <a:srcRect/>
                    <a:stretch>
                      <a:fillRect/>
                    </a:stretch>
                  </pic:blipFill>
                  <pic:spPr bwMode="auto">
                    <a:xfrm>
                      <a:off x="0" y="0"/>
                      <a:ext cx="5343525" cy="1647825"/>
                    </a:xfrm>
                    <a:prstGeom prst="rect">
                      <a:avLst/>
                    </a:prstGeom>
                    <a:noFill/>
                    <a:ln w="9525">
                      <a:noFill/>
                      <a:miter lim="800000"/>
                      <a:headEnd/>
                      <a:tailEnd/>
                    </a:ln>
                  </pic:spPr>
                </pic:pic>
              </a:graphicData>
            </a:graphic>
          </wp:inline>
        </w:drawing>
      </w:r>
    </w:p>
    <w:p w:rsidR="00C97099" w:rsidRPr="00B6647E" w:rsidRDefault="00C97099" w:rsidP="00E51ED6">
      <w:pPr>
        <w:pStyle w:val="Paragraphedeliste"/>
        <w:spacing w:after="0" w:line="240" w:lineRule="auto"/>
        <w:ind w:left="0"/>
        <w:rPr>
          <w:rFonts w:ascii="Arial" w:hAnsi="Arial" w:cs="Arial"/>
          <w:sz w:val="20"/>
          <w:szCs w:val="20"/>
        </w:rPr>
      </w:pPr>
    </w:p>
    <w:p w:rsidR="00C97099" w:rsidRPr="00B6647E" w:rsidRDefault="00C97099" w:rsidP="00E51ED6">
      <w:pPr>
        <w:pStyle w:val="Paragraphedeliste"/>
        <w:spacing w:after="0" w:line="240" w:lineRule="auto"/>
        <w:ind w:left="0"/>
        <w:rPr>
          <w:rFonts w:ascii="Arial" w:hAnsi="Arial" w:cs="Arial"/>
          <w:sz w:val="20"/>
          <w:szCs w:val="20"/>
        </w:rPr>
      </w:pPr>
      <w:r w:rsidRPr="00B6647E">
        <w:rPr>
          <w:noProof/>
          <w:szCs w:val="20"/>
          <w:lang w:val="fr-FR" w:eastAsia="fr-FR"/>
        </w:rPr>
        <w:lastRenderedPageBreak/>
        <w:drawing>
          <wp:inline distT="0" distB="0" distL="0" distR="0">
            <wp:extent cx="5343525" cy="1476375"/>
            <wp:effectExtent l="19050" t="0" r="9525" b="0"/>
            <wp:docPr id="347"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6" cstate="print"/>
                    <a:srcRect/>
                    <a:stretch>
                      <a:fillRect/>
                    </a:stretch>
                  </pic:blipFill>
                  <pic:spPr bwMode="auto">
                    <a:xfrm>
                      <a:off x="0" y="0"/>
                      <a:ext cx="5343525" cy="1476375"/>
                    </a:xfrm>
                    <a:prstGeom prst="rect">
                      <a:avLst/>
                    </a:prstGeom>
                    <a:noFill/>
                    <a:ln w="9525">
                      <a:noFill/>
                      <a:miter lim="800000"/>
                      <a:headEnd/>
                      <a:tailEnd/>
                    </a:ln>
                  </pic:spPr>
                </pic:pic>
              </a:graphicData>
            </a:graphic>
          </wp:inline>
        </w:drawing>
      </w:r>
    </w:p>
    <w:p w:rsidR="00557166" w:rsidRPr="00B6647E" w:rsidRDefault="00557166" w:rsidP="00E51ED6">
      <w:pPr>
        <w:pStyle w:val="Paragraphedeliste"/>
        <w:spacing w:after="0" w:line="240" w:lineRule="auto"/>
        <w:ind w:left="0"/>
        <w:rPr>
          <w:rFonts w:ascii="Arial" w:hAnsi="Arial" w:cs="Arial"/>
          <w:sz w:val="20"/>
          <w:szCs w:val="20"/>
        </w:rPr>
      </w:pPr>
    </w:p>
    <w:p w:rsidR="00557166" w:rsidRPr="00B6647E" w:rsidRDefault="00557166" w:rsidP="00E51ED6">
      <w:pPr>
        <w:pStyle w:val="Paragraphedeliste"/>
        <w:spacing w:after="0" w:line="240" w:lineRule="auto"/>
        <w:ind w:left="0"/>
        <w:rPr>
          <w:rFonts w:ascii="Arial" w:hAnsi="Arial" w:cs="Arial"/>
          <w:sz w:val="20"/>
          <w:szCs w:val="20"/>
        </w:rPr>
      </w:pPr>
    </w:p>
    <w:p w:rsidR="00557166" w:rsidRPr="00B6647E" w:rsidRDefault="00557166">
      <w:pPr>
        <w:rPr>
          <w:rFonts w:ascii="Arial" w:eastAsia="Times New Roman" w:hAnsi="Arial" w:cs="Arial"/>
          <w:b/>
          <w:color w:val="365F91"/>
          <w:sz w:val="24"/>
          <w:szCs w:val="24"/>
          <w:lang w:eastAsia="fr-FR"/>
        </w:rPr>
      </w:pPr>
      <w:r w:rsidRPr="00B6647E">
        <w:rPr>
          <w:rFonts w:cs="Arial"/>
          <w:color w:val="365F91"/>
        </w:rPr>
        <w:br w:type="page"/>
      </w:r>
    </w:p>
    <w:p w:rsidR="00557166" w:rsidRPr="00B6647E" w:rsidRDefault="00557166" w:rsidP="002A0073">
      <w:pPr>
        <w:pStyle w:val="Titre1"/>
        <w:keepNext w:val="0"/>
        <w:numPr>
          <w:ilvl w:val="0"/>
          <w:numId w:val="1"/>
        </w:numPr>
        <w:tabs>
          <w:tab w:val="num" w:pos="432"/>
        </w:tabs>
        <w:ind w:left="432" w:hanging="432"/>
        <w:rPr>
          <w:rFonts w:cs="Arial"/>
          <w:color w:val="365F91"/>
        </w:rPr>
      </w:pPr>
      <w:bookmarkStart w:id="369" w:name="_Toc354313947"/>
      <w:r w:rsidRPr="00B6647E">
        <w:rPr>
          <w:rFonts w:cs="Arial"/>
          <w:color w:val="365F91"/>
        </w:rPr>
        <w:lastRenderedPageBreak/>
        <w:t>Annexes (fera l’objet d’un document à part)</w:t>
      </w:r>
      <w:bookmarkEnd w:id="369"/>
    </w:p>
    <w:p w:rsidR="00557166" w:rsidRPr="00B6647E" w:rsidRDefault="00DF50D8" w:rsidP="00557166">
      <w:pPr>
        <w:pStyle w:val="Paragraphedeliste"/>
        <w:spacing w:after="0" w:line="240" w:lineRule="auto"/>
        <w:rPr>
          <w:rFonts w:ascii="Arial" w:hAnsi="Arial" w:cs="Arial"/>
          <w:sz w:val="20"/>
          <w:szCs w:val="20"/>
        </w:rPr>
      </w:pPr>
      <w:r w:rsidRPr="00DF50D8">
        <w:rPr>
          <w:rFonts w:ascii="Arial" w:hAnsi="Arial" w:cs="Arial"/>
          <w:noProof/>
        </w:rPr>
        <w:pict>
          <v:shape id="_x0000_s1063" type="#_x0000_t32" style="position:absolute;left:0;text-align:left;margin-left:1.15pt;margin-top:4.8pt;width:453.55pt;height:0;z-index:25172172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4ufrAIAAJcFAAAOAAAAZHJzL2Uyb0RvYy54bWysVE2PmzAQvVfqf7B8Z4FACEFLVlkCvWzb&#10;lXarnh1sglWwke18rKr+945NQjfbS1UtB+SPmTdvZt749u7Ud+jAlOZS5Di8CTBiopaUi12Ovz1X&#10;XoqRNkRQ0knBcvzCNL5bffxwexwyNpOt7ChTCECEzo5Djltjhsz3dd2ynugbOTABl41UPTGwVTuf&#10;KnIE9L7zZ0GQ+Eep6KBkzbSG0814iVcOv2lYbb42jWYGdTkGbsb9lftv7d9f3ZJsp8jQ8vpMg/wH&#10;i55wAUEnqA0xBO0V/wuq57WSWjbmppa9L5uG18zlANmEwZtsnloyMJcLFEcPU5n0+8HWXw6PCnGa&#10;42WCkSA99Gi9N9KFRjNbn+OgMzArxKOyGdYn8TQ8yPqHRkIWLRE75oyfXwbwDa2Hf+ViN3qAKNvj&#10;Z0nBhgC+K9apUb2FhDKgk+vJy9QTdjKohsP5IgmCdI5RfbnzSXZxHJQ2n5jskV3kWBtF+K41hRQC&#10;Oi9V6MKQw4M2lhbJLg42qpAV7zongE6gY46jNAwC56Flx6m9tXZa7bZFp9CBgIaiZF4txyTh5rWZ&#10;kntBHVrLCC3Pa0N4N64heicsHnOyHCnB7mRg6c4hYyeZn8tgWaZlGnvxLCm9ONhsvHVVxF5ShYv5&#10;JtoUxSb8ZYmGcdZySpmwXC/yDeN/k8d5kEbhTQKequJfo7vyAdlrputqHiziKPUWi3nkxVEZePdp&#10;VXjrIkySRXlf3JdvmJYue/0+ZKdSWlZyb5h6aukRUW7VMEujJbw+lMO4R2mQBMsFRqTbwTtVG4WR&#10;kuY7N60Tr5Wdxbjq9SyOqmQ8J93QklEB8wA+p/LJ3NVmCj9W6tJku5vadE7+Ty1BFBcBuKGxczJO&#10;3FbSl0d1GSaYfud0fqns8/J6D+vX7+nqNwAAAP//AwBQSwMEFAAGAAgAAAAhABLqZCjcAAAABQEA&#10;AA8AAABkcnMvZG93bnJldi54bWxMjlFLwzAUhd+F/YdwB76ISzdLWWvTMRRxDBGs/oC0uTbF5qY0&#10;Wdv564170cfDOXzny3ez6diIg2stCVivImBItVUtNQI+3p9ut8Ccl6RkZwkFnNHBrlhc5TJTdqI3&#10;HEvfsAAhl0kB2vs+49zVGo10K9sjhe7TDkb6EIeGq0FOAW46vomihBvZUnjQsscHjfVXeTICpjE5&#10;vtxs+fx9fC3PTRUfHvVzLMT1ct7fA/M4+78x/OoHdSiCU2VPpBzrBGzuwlBAmgALbRqlMbDqknmR&#10;8//2xQ8AAAD//wMAUEsBAi0AFAAGAAgAAAAhALaDOJL+AAAA4QEAABMAAAAAAAAAAAAAAAAAAAAA&#10;AFtDb250ZW50X1R5cGVzXS54bWxQSwECLQAUAAYACAAAACEAOP0h/9YAAACUAQAACwAAAAAAAAAA&#10;AAAAAAAvAQAAX3JlbHMvLnJlbHNQSwECLQAUAAYACAAAACEAJvOLn6wCAACXBQAADgAAAAAAAAAA&#10;AAAAAAAuAgAAZHJzL2Uyb0RvYy54bWxQSwECLQAUAAYACAAAACEAEupkKNwAAAAFAQAADwAAAAAA&#10;AAAAAAAAAAAGBQAAZHJzL2Rvd25yZXYueG1sUEsFBgAAAAAEAAQA8wAAAA8GAAAAAA==&#10;" strokecolor="#365f91" strokeweight="3pt">
            <v:shadow color="#243f60" opacity=".5" offset="1pt"/>
          </v:shape>
        </w:pict>
      </w:r>
    </w:p>
    <w:p w:rsidR="00557166" w:rsidRPr="00B6647E" w:rsidRDefault="00557166" w:rsidP="00557166">
      <w:pPr>
        <w:pStyle w:val="Paragraphedeliste"/>
        <w:spacing w:after="0" w:line="240" w:lineRule="auto"/>
        <w:rPr>
          <w:rFonts w:ascii="Arial" w:hAnsi="Arial" w:cs="Arial"/>
          <w:sz w:val="20"/>
          <w:szCs w:val="20"/>
        </w:rPr>
      </w:pPr>
    </w:p>
    <w:p w:rsidR="00557166" w:rsidRPr="00B6647E" w:rsidRDefault="00557166" w:rsidP="00557166">
      <w:pPr>
        <w:pStyle w:val="Titre2"/>
        <w:keepNext w:val="0"/>
        <w:numPr>
          <w:ilvl w:val="1"/>
          <w:numId w:val="12"/>
        </w:numPr>
        <w:rPr>
          <w:rFonts w:cs="Arial"/>
          <w:b w:val="0"/>
          <w:u w:val="dotDash"/>
        </w:rPr>
      </w:pPr>
      <w:bookmarkStart w:id="370" w:name="_Toc354313948"/>
      <w:r w:rsidRPr="00B6647E">
        <w:rPr>
          <w:rFonts w:cs="Arial"/>
          <w:b w:val="0"/>
          <w:u w:val="dotDash"/>
        </w:rPr>
        <w:t>Fiche des principaux indicateurs par province</w:t>
      </w:r>
      <w:bookmarkEnd w:id="370"/>
    </w:p>
    <w:p w:rsidR="00557166" w:rsidRPr="00B6647E" w:rsidRDefault="00557166" w:rsidP="00557166">
      <w:pPr>
        <w:spacing w:after="0" w:line="240" w:lineRule="auto"/>
        <w:rPr>
          <w:rFonts w:ascii="Arial" w:hAnsi="Arial" w:cs="Arial"/>
          <w:lang w:val="fr-FR" w:eastAsia="fr-FR"/>
        </w:rPr>
      </w:pPr>
    </w:p>
    <w:p w:rsidR="00557166" w:rsidRPr="00B6647E" w:rsidRDefault="00557166" w:rsidP="00557166">
      <w:pPr>
        <w:pStyle w:val="Titre2"/>
        <w:keepNext w:val="0"/>
        <w:numPr>
          <w:ilvl w:val="1"/>
          <w:numId w:val="12"/>
        </w:numPr>
        <w:rPr>
          <w:rFonts w:cs="Arial"/>
          <w:b w:val="0"/>
          <w:u w:val="dotDash"/>
        </w:rPr>
      </w:pPr>
      <w:bookmarkStart w:id="371" w:name="_Toc354313949"/>
      <w:r w:rsidRPr="00B6647E">
        <w:rPr>
          <w:rFonts w:cs="Arial"/>
          <w:b w:val="0"/>
          <w:u w:val="dotDash"/>
        </w:rPr>
        <w:t>Fiche des principaux indicateurs par région naturelle</w:t>
      </w:r>
      <w:bookmarkEnd w:id="371"/>
    </w:p>
    <w:p w:rsidR="00557166" w:rsidRPr="00B6647E" w:rsidRDefault="00557166" w:rsidP="00557166">
      <w:pPr>
        <w:spacing w:after="0" w:line="240" w:lineRule="auto"/>
        <w:rPr>
          <w:rFonts w:ascii="Arial" w:hAnsi="Arial" w:cs="Arial"/>
          <w:lang w:val="fr-FR" w:eastAsia="fr-FR"/>
        </w:rPr>
      </w:pPr>
    </w:p>
    <w:p w:rsidR="00557166" w:rsidRPr="00B6647E" w:rsidRDefault="00557166" w:rsidP="00557166">
      <w:pPr>
        <w:pStyle w:val="Titre2"/>
        <w:keepNext w:val="0"/>
        <w:numPr>
          <w:ilvl w:val="1"/>
          <w:numId w:val="12"/>
        </w:numPr>
        <w:rPr>
          <w:rFonts w:cs="Arial"/>
          <w:b w:val="0"/>
          <w:u w:val="dotDash"/>
        </w:rPr>
      </w:pPr>
      <w:bookmarkStart w:id="372" w:name="_Toc354313950"/>
      <w:r w:rsidRPr="00B6647E">
        <w:rPr>
          <w:rFonts w:cs="Arial"/>
          <w:b w:val="0"/>
          <w:u w:val="dotDash"/>
        </w:rPr>
        <w:t>Tableaux par province</w:t>
      </w:r>
      <w:bookmarkEnd w:id="372"/>
      <w:r w:rsidRPr="00B6647E">
        <w:rPr>
          <w:rFonts w:cs="Arial"/>
          <w:b w:val="0"/>
          <w:u w:val="dotDash"/>
        </w:rPr>
        <w:t xml:space="preserve">  </w:t>
      </w:r>
    </w:p>
    <w:p w:rsidR="00557166" w:rsidRPr="00B6647E" w:rsidRDefault="00557166" w:rsidP="00557166">
      <w:pPr>
        <w:spacing w:after="0" w:line="240" w:lineRule="auto"/>
        <w:rPr>
          <w:rFonts w:ascii="Arial" w:hAnsi="Arial" w:cs="Arial"/>
          <w:lang w:val="fr-FR" w:eastAsia="fr-FR"/>
        </w:rPr>
      </w:pPr>
    </w:p>
    <w:p w:rsidR="00557166" w:rsidRPr="00B6647E" w:rsidRDefault="00557166" w:rsidP="00557166">
      <w:pPr>
        <w:pStyle w:val="Titre2"/>
        <w:keepNext w:val="0"/>
        <w:numPr>
          <w:ilvl w:val="1"/>
          <w:numId w:val="12"/>
        </w:numPr>
        <w:rPr>
          <w:rFonts w:cs="Arial"/>
          <w:b w:val="0"/>
          <w:u w:val="dotDash"/>
        </w:rPr>
      </w:pPr>
      <w:bookmarkStart w:id="373" w:name="_Toc354313951"/>
      <w:r w:rsidRPr="00B6647E">
        <w:rPr>
          <w:rFonts w:cs="Arial"/>
          <w:b w:val="0"/>
          <w:u w:val="dotDash"/>
        </w:rPr>
        <w:t>Tableaux par région naturelle</w:t>
      </w:r>
      <w:bookmarkEnd w:id="373"/>
    </w:p>
    <w:p w:rsidR="00557166" w:rsidRPr="00C07947" w:rsidRDefault="00557166" w:rsidP="00557166">
      <w:pPr>
        <w:spacing w:after="0" w:line="240" w:lineRule="auto"/>
        <w:rPr>
          <w:rFonts w:ascii="Arial" w:hAnsi="Arial" w:cs="Arial"/>
          <w:sz w:val="20"/>
          <w:szCs w:val="20"/>
        </w:rPr>
      </w:pPr>
    </w:p>
    <w:p w:rsidR="00557166" w:rsidRPr="00C07947" w:rsidRDefault="00557166" w:rsidP="00052921">
      <w:pPr>
        <w:rPr>
          <w:rFonts w:ascii="Arial" w:hAnsi="Arial" w:cs="Arial"/>
          <w:sz w:val="20"/>
          <w:szCs w:val="20"/>
        </w:rPr>
      </w:pPr>
    </w:p>
    <w:sectPr w:rsidR="00557166" w:rsidRPr="00C07947" w:rsidSect="009E7014">
      <w:footerReference w:type="default" r:id="rId367"/>
      <w:pgSz w:w="11906" w:h="16838"/>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6A44" w:rsidRDefault="00BB6A44" w:rsidP="00F4025E">
      <w:pPr>
        <w:spacing w:after="0" w:line="240" w:lineRule="auto"/>
      </w:pPr>
      <w:r>
        <w:separator/>
      </w:r>
    </w:p>
  </w:endnote>
  <w:endnote w:type="continuationSeparator" w:id="1">
    <w:p w:rsidR="00BB6A44" w:rsidRDefault="00BB6A44" w:rsidP="00F402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toneSans">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D47" w:rsidRDefault="00A13D47">
    <w:pPr>
      <w:pStyle w:val="Pieddepage"/>
      <w:pBdr>
        <w:top w:val="thinThickSmallGap" w:sz="24" w:space="1" w:color="622423" w:themeColor="accent2" w:themeShade="7F"/>
      </w:pBdr>
      <w:rPr>
        <w:rFonts w:asciiTheme="majorHAnsi" w:hAnsiTheme="majorHAnsi"/>
      </w:rPr>
    </w:pPr>
    <w:r>
      <w:rPr>
        <w:rFonts w:asciiTheme="majorHAnsi" w:hAnsiTheme="majorHAnsi"/>
      </w:rPr>
      <w:t xml:space="preserve">ENAB 2011-2012 (Saison B)  </w:t>
    </w:r>
    <w:r>
      <w:rPr>
        <w:rFonts w:asciiTheme="majorHAnsi" w:hAnsiTheme="majorHAnsi"/>
      </w:rPr>
      <w:ptab w:relativeTo="margin" w:alignment="right" w:leader="none"/>
    </w:r>
    <w:r>
      <w:rPr>
        <w:rFonts w:asciiTheme="majorHAnsi" w:hAnsiTheme="majorHAnsi"/>
      </w:rPr>
      <w:t xml:space="preserve">Page </w:t>
    </w:r>
    <w:r w:rsidR="00DF50D8" w:rsidRPr="00DF50D8">
      <w:rPr>
        <w:rFonts w:ascii="Arial" w:hAnsi="Arial"/>
      </w:rPr>
      <w:fldChar w:fldCharType="begin"/>
    </w:r>
    <w:r>
      <w:instrText xml:space="preserve"> PAGE   \* MERGEFORMAT </w:instrText>
    </w:r>
    <w:r w:rsidR="00DF50D8" w:rsidRPr="00DF50D8">
      <w:rPr>
        <w:rFonts w:ascii="Arial" w:hAnsi="Arial"/>
      </w:rPr>
      <w:fldChar w:fldCharType="separate"/>
    </w:r>
    <w:r w:rsidRPr="00E51ED6">
      <w:rPr>
        <w:rFonts w:asciiTheme="majorHAnsi" w:hAnsiTheme="majorHAnsi"/>
        <w:noProof/>
      </w:rPr>
      <w:t>2</w:t>
    </w:r>
    <w:r w:rsidR="00DF50D8">
      <w:rPr>
        <w:rFonts w:asciiTheme="majorHAnsi" w:hAnsiTheme="majorHAnsi"/>
        <w:noProof/>
      </w:rPr>
      <w:fldChar w:fldCharType="end"/>
    </w:r>
  </w:p>
  <w:p w:rsidR="00A13D47" w:rsidRDefault="00A13D47">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D47" w:rsidRDefault="00A13D47" w:rsidP="00E51ED6">
    <w:pPr>
      <w:pStyle w:val="Pieddepage"/>
      <w:pBdr>
        <w:top w:val="thinThickSmallGap" w:sz="24" w:space="1" w:color="622423" w:themeColor="accent2" w:themeShade="7F"/>
      </w:pBdr>
    </w:pPr>
    <w:r>
      <w:rPr>
        <w:rFonts w:asciiTheme="majorHAnsi" w:hAnsiTheme="majorHAnsi"/>
      </w:rPr>
      <w:t>Enquête nationale agricole du Burundi 2011-2012</w:t>
    </w:r>
    <w:r>
      <w:rPr>
        <w:rFonts w:asciiTheme="majorHAnsi" w:hAnsiTheme="majorHAnsi"/>
      </w:rPr>
      <w:ptab w:relativeTo="margin" w:alignment="right" w:leader="none"/>
    </w:r>
    <w:r>
      <w:rPr>
        <w:rFonts w:asciiTheme="majorHAnsi" w:hAnsiTheme="majorHAnsi"/>
      </w:rPr>
      <w:t xml:space="preserve">Page </w:t>
    </w:r>
    <w:r w:rsidR="00DF50D8" w:rsidRPr="00DF50D8">
      <w:rPr>
        <w:rFonts w:ascii="Arial" w:hAnsi="Arial"/>
      </w:rPr>
      <w:fldChar w:fldCharType="begin"/>
    </w:r>
    <w:r>
      <w:instrText xml:space="preserve"> PAGE   \* MERGEFORMAT </w:instrText>
    </w:r>
    <w:r w:rsidR="00DF50D8" w:rsidRPr="00DF50D8">
      <w:rPr>
        <w:rFonts w:ascii="Arial" w:hAnsi="Arial"/>
      </w:rPr>
      <w:fldChar w:fldCharType="separate"/>
    </w:r>
    <w:r w:rsidR="000E3D2C">
      <w:rPr>
        <w:noProof/>
      </w:rPr>
      <w:t>i</w:t>
    </w:r>
    <w:r w:rsidR="00DF50D8">
      <w:rPr>
        <w:rFonts w:asciiTheme="majorHAnsi" w:hAnsiTheme="majorHAnsi"/>
        <w:noProof/>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D47" w:rsidRDefault="00A13D47">
    <w:pPr>
      <w:pStyle w:val="Pieddepage"/>
      <w:pBdr>
        <w:top w:val="thinThickSmallGap" w:sz="24" w:space="1" w:color="622423" w:themeColor="accent2" w:themeShade="7F"/>
      </w:pBdr>
      <w:rPr>
        <w:rFonts w:asciiTheme="majorHAnsi" w:hAnsiTheme="majorHAnsi"/>
      </w:rPr>
    </w:pPr>
    <w:r>
      <w:rPr>
        <w:rFonts w:asciiTheme="majorHAnsi" w:hAnsiTheme="majorHAnsi"/>
      </w:rPr>
      <w:t>Enquête nationale agricole du Burundi 2011-2012</w:t>
    </w:r>
    <w:r>
      <w:rPr>
        <w:rFonts w:asciiTheme="majorHAnsi" w:hAnsiTheme="majorHAnsi"/>
      </w:rPr>
      <w:ptab w:relativeTo="margin" w:alignment="right" w:leader="none"/>
    </w:r>
    <w:r>
      <w:rPr>
        <w:rFonts w:asciiTheme="majorHAnsi" w:hAnsiTheme="majorHAnsi"/>
      </w:rPr>
      <w:t xml:space="preserve">Page </w:t>
    </w:r>
    <w:fldSimple w:instr=" PAGE   \* MERGEFORMAT ">
      <w:r w:rsidR="000E3D2C" w:rsidRPr="000E3D2C">
        <w:rPr>
          <w:rFonts w:asciiTheme="majorHAnsi" w:hAnsiTheme="majorHAnsi"/>
          <w:noProof/>
        </w:rPr>
        <w:t>242</w:t>
      </w:r>
    </w:fldSimple>
  </w:p>
  <w:p w:rsidR="00A13D47" w:rsidRDefault="00A13D4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6A44" w:rsidRDefault="00BB6A44" w:rsidP="00F4025E">
      <w:pPr>
        <w:spacing w:after="0" w:line="240" w:lineRule="auto"/>
      </w:pPr>
      <w:r>
        <w:separator/>
      </w:r>
    </w:p>
  </w:footnote>
  <w:footnote w:type="continuationSeparator" w:id="1">
    <w:p w:rsidR="00BB6A44" w:rsidRDefault="00BB6A44" w:rsidP="00F4025E">
      <w:pPr>
        <w:spacing w:after="0" w:line="240" w:lineRule="auto"/>
      </w:pPr>
      <w:r>
        <w:continuationSeparator/>
      </w:r>
    </w:p>
  </w:footnote>
  <w:footnote w:id="2">
    <w:p w:rsidR="00A13D47" w:rsidRPr="009842A0" w:rsidRDefault="00A13D47" w:rsidP="00E04501">
      <w:pPr>
        <w:pStyle w:val="Notedebasdepage"/>
        <w:rPr>
          <w:rFonts w:cs="Arial"/>
          <w:sz w:val="16"/>
          <w:szCs w:val="16"/>
        </w:rPr>
      </w:pPr>
      <w:r w:rsidRPr="009842A0">
        <w:rPr>
          <w:rStyle w:val="Appelnotedebasdep"/>
          <w:rFonts w:cs="Arial"/>
          <w:sz w:val="16"/>
          <w:szCs w:val="16"/>
        </w:rPr>
        <w:footnoteRef/>
      </w:r>
      <w:r w:rsidRPr="009842A0">
        <w:rPr>
          <w:rFonts w:cs="Arial"/>
          <w:sz w:val="16"/>
          <w:szCs w:val="16"/>
        </w:rPr>
        <w:t xml:space="preserve"> La population agricole est définie comme étant l’ensemble des membres des ménages agricoles</w:t>
      </w:r>
    </w:p>
  </w:footnote>
  <w:footnote w:id="3">
    <w:p w:rsidR="00A13D47" w:rsidRPr="00D75889" w:rsidRDefault="00A13D47" w:rsidP="00B61DF5">
      <w:pPr>
        <w:pStyle w:val="Notedebasdepage"/>
        <w:spacing w:after="120"/>
        <w:rPr>
          <w:sz w:val="16"/>
          <w:szCs w:val="16"/>
        </w:rPr>
      </w:pPr>
      <w:r>
        <w:rPr>
          <w:rStyle w:val="Appelnotedebasdep"/>
        </w:rPr>
        <w:footnoteRef/>
      </w:r>
      <w:r>
        <w:t xml:space="preserve"> </w:t>
      </w:r>
      <w:r w:rsidRPr="00D75889">
        <w:rPr>
          <w:sz w:val="16"/>
          <w:szCs w:val="16"/>
        </w:rPr>
        <w:t>Cette superficie est beaucoup supérieure à la superficie physique cultivée car une grande partie a été cultivée pendant les trois saisons</w:t>
      </w:r>
      <w:r>
        <w:rPr>
          <w:sz w:val="16"/>
          <w:szCs w:val="16"/>
        </w:rPr>
        <w:t>.</w:t>
      </w:r>
    </w:p>
  </w:footnote>
  <w:footnote w:id="4">
    <w:p w:rsidR="00A13D47" w:rsidRPr="00B61DF5" w:rsidRDefault="00A13D47" w:rsidP="00B61DF5">
      <w:pPr>
        <w:pStyle w:val="twunwanted"/>
        <w:spacing w:before="0" w:beforeAutospacing="0" w:after="120" w:afterAutospacing="0"/>
        <w:rPr>
          <w:rFonts w:ascii="Arial" w:hAnsi="Arial" w:cs="Arial"/>
          <w:sz w:val="16"/>
          <w:szCs w:val="16"/>
          <w:lang w:val="fr-FR" w:eastAsia="fr-FR"/>
        </w:rPr>
      </w:pPr>
      <w:r w:rsidRPr="00B24DD8">
        <w:rPr>
          <w:rStyle w:val="Appelnotedebasdep"/>
          <w:rFonts w:ascii="Arial" w:hAnsi="Arial" w:cs="Arial"/>
          <w:sz w:val="18"/>
          <w:szCs w:val="18"/>
        </w:rPr>
        <w:footnoteRef/>
      </w:r>
      <w:r w:rsidRPr="00875224">
        <w:rPr>
          <w:rFonts w:ascii="Arial" w:hAnsi="Arial" w:cs="Arial"/>
          <w:sz w:val="16"/>
          <w:szCs w:val="16"/>
          <w:lang w:val="fr-FR"/>
        </w:rPr>
        <w:t xml:space="preserve">Un équivalent céréales correspond à 1 pour les céréales et pour les autres produits ; il est donnée par  la formule suivante : Eq.céréales du produit </w:t>
      </w:r>
      <w:r w:rsidRPr="00875224">
        <w:rPr>
          <w:rStyle w:val="lev"/>
          <w:rFonts w:ascii="Arial" w:hAnsi="Arial" w:cs="Arial"/>
          <w:sz w:val="16"/>
          <w:szCs w:val="16"/>
          <w:lang w:val="fr-FR"/>
        </w:rPr>
        <w:t>X (kg) = [</w:t>
      </w:r>
      <w:r w:rsidRPr="00875224">
        <w:rPr>
          <w:rFonts w:ascii="Arial" w:hAnsi="Arial" w:cs="Arial"/>
          <w:sz w:val="16"/>
          <w:szCs w:val="16"/>
          <w:lang w:val="fr-FR"/>
        </w:rPr>
        <w:t xml:space="preserve">(nombre Cal/kg du produit </w:t>
      </w:r>
      <w:r w:rsidRPr="00875224">
        <w:rPr>
          <w:rStyle w:val="lev"/>
          <w:rFonts w:ascii="Arial" w:hAnsi="Arial" w:cs="Arial"/>
          <w:sz w:val="16"/>
          <w:szCs w:val="16"/>
          <w:lang w:val="fr-FR"/>
        </w:rPr>
        <w:t xml:space="preserve">X </w:t>
      </w:r>
      <w:r w:rsidRPr="00875224">
        <w:rPr>
          <w:rFonts w:ascii="Arial" w:hAnsi="Arial" w:cs="Arial"/>
          <w:sz w:val="16"/>
          <w:szCs w:val="16"/>
          <w:lang w:val="fr-FR"/>
        </w:rPr>
        <w:t>)/ (nombre Cal/kg céréale)]</w:t>
      </w:r>
      <w:r w:rsidRPr="00875224">
        <w:rPr>
          <w:rStyle w:val="lev"/>
          <w:rFonts w:ascii="Arial" w:hAnsi="Arial" w:cs="Arial"/>
          <w:sz w:val="16"/>
          <w:szCs w:val="16"/>
          <w:lang w:val="fr-FR"/>
        </w:rPr>
        <w:t xml:space="preserve"> * </w:t>
      </w:r>
      <w:r w:rsidRPr="006D07FB">
        <w:rPr>
          <w:rStyle w:val="lev"/>
          <w:rFonts w:ascii="Arial" w:hAnsi="Arial" w:cs="Arial"/>
          <w:b w:val="0"/>
          <w:sz w:val="16"/>
          <w:szCs w:val="16"/>
          <w:lang w:val="fr-FR"/>
        </w:rPr>
        <w:t>Quanti</w:t>
      </w:r>
      <w:r w:rsidRPr="006D07FB">
        <w:rPr>
          <w:rFonts w:ascii="Arial" w:hAnsi="Arial" w:cs="Arial"/>
          <w:sz w:val="16"/>
          <w:szCs w:val="16"/>
          <w:lang w:val="fr-FR"/>
        </w:rPr>
        <w:t>té</w:t>
      </w:r>
      <w:r>
        <w:rPr>
          <w:rFonts w:ascii="Arial" w:hAnsi="Arial" w:cs="Arial"/>
          <w:sz w:val="16"/>
          <w:szCs w:val="16"/>
          <w:lang w:val="fr-FR"/>
        </w:rPr>
        <w:t xml:space="preserve"> </w:t>
      </w:r>
      <w:r w:rsidRPr="006D07FB">
        <w:rPr>
          <w:rFonts w:ascii="Arial" w:hAnsi="Arial" w:cs="Arial"/>
          <w:b/>
          <w:sz w:val="16"/>
          <w:szCs w:val="16"/>
          <w:lang w:val="fr-FR"/>
        </w:rPr>
        <w:t xml:space="preserve"> </w:t>
      </w:r>
      <w:r w:rsidRPr="00875224">
        <w:rPr>
          <w:rFonts w:ascii="Arial" w:hAnsi="Arial" w:cs="Arial"/>
          <w:sz w:val="16"/>
          <w:szCs w:val="16"/>
          <w:lang w:val="fr-FR"/>
        </w:rPr>
        <w:t>du produit à convertir ( kg )</w:t>
      </w:r>
      <w:r>
        <w:rPr>
          <w:rFonts w:ascii="Arial" w:hAnsi="Arial" w:cs="Arial"/>
          <w:sz w:val="16"/>
          <w:szCs w:val="16"/>
          <w:lang w:val="fr-FR"/>
        </w:rPr>
        <w:t xml:space="preserve">. </w:t>
      </w:r>
      <w:r w:rsidRPr="00875224">
        <w:rPr>
          <w:rFonts w:ascii="Arial" w:hAnsi="Arial" w:cs="Arial"/>
          <w:sz w:val="16"/>
          <w:szCs w:val="16"/>
          <w:lang w:val="fr-FR" w:eastAsia="fr-FR"/>
        </w:rPr>
        <w:t>Les taux de conversion utilisés son consignés dans un tableau en annexe.</w:t>
      </w:r>
    </w:p>
  </w:footnote>
  <w:footnote w:id="5">
    <w:p w:rsidR="00A13D47" w:rsidRPr="004B5FE8" w:rsidRDefault="00A13D47" w:rsidP="00B61DF5">
      <w:pPr>
        <w:spacing w:after="0" w:line="240" w:lineRule="auto"/>
        <w:rPr>
          <w:rFonts w:ascii="Arial" w:hAnsi="Arial" w:cs="Arial"/>
          <w:sz w:val="16"/>
          <w:szCs w:val="16"/>
        </w:rPr>
      </w:pPr>
      <w:r w:rsidRPr="004B5FE8">
        <w:rPr>
          <w:rStyle w:val="Appelnotedebasdep"/>
          <w:rFonts w:ascii="Arial" w:hAnsi="Arial" w:cs="Arial"/>
          <w:sz w:val="16"/>
          <w:szCs w:val="16"/>
        </w:rPr>
        <w:footnoteRef/>
      </w:r>
      <w:r w:rsidRPr="004B5FE8">
        <w:rPr>
          <w:rFonts w:ascii="Arial" w:hAnsi="Arial" w:cs="Arial"/>
          <w:sz w:val="16"/>
          <w:szCs w:val="16"/>
        </w:rPr>
        <w:t xml:space="preserve"> UBT (unité de bétail tropical) : Unité standard (1 UBT est une tête de bétail de 250 kg).</w:t>
      </w:r>
    </w:p>
    <w:p w:rsidR="00A13D47" w:rsidRPr="004B5FE8" w:rsidRDefault="00A13D47" w:rsidP="00B61DF5">
      <w:pPr>
        <w:pStyle w:val="Notedebasdepage"/>
        <w:rPr>
          <w:rFonts w:cs="Arial"/>
          <w:sz w:val="16"/>
          <w:szCs w:val="16"/>
        </w:rPr>
      </w:pPr>
      <w:r w:rsidRPr="004B5FE8">
        <w:rPr>
          <w:rFonts w:cs="Arial"/>
          <w:sz w:val="16"/>
          <w:szCs w:val="16"/>
        </w:rPr>
        <w:t>(1 bovin=0,7 UBT ; 1 caprin-ovin=0,1 UBT ; 1 porcin=0,2 UBT ;1 lapin-</w:t>
      </w:r>
      <w:r>
        <w:rPr>
          <w:rFonts w:cs="Arial"/>
          <w:sz w:val="16"/>
          <w:szCs w:val="16"/>
        </w:rPr>
        <w:t xml:space="preserve">1 </w:t>
      </w:r>
      <w:r w:rsidRPr="004B5FE8">
        <w:rPr>
          <w:rFonts w:cs="Arial"/>
          <w:sz w:val="16"/>
          <w:szCs w:val="16"/>
        </w:rPr>
        <w:t>cobaye-</w:t>
      </w:r>
      <w:r>
        <w:rPr>
          <w:rFonts w:cs="Arial"/>
          <w:sz w:val="16"/>
          <w:szCs w:val="16"/>
        </w:rPr>
        <w:t xml:space="preserve">1 </w:t>
      </w:r>
      <w:r w:rsidRPr="004B5FE8">
        <w:rPr>
          <w:rFonts w:cs="Arial"/>
          <w:sz w:val="16"/>
          <w:szCs w:val="16"/>
        </w:rPr>
        <w:t>volaille=0,005 UBT)</w:t>
      </w:r>
    </w:p>
  </w:footnote>
  <w:footnote w:id="6">
    <w:p w:rsidR="00A13D47" w:rsidRPr="004B5FE8" w:rsidRDefault="00A13D47" w:rsidP="0003773D">
      <w:pPr>
        <w:pStyle w:val="Notedebasdepage"/>
        <w:rPr>
          <w:rFonts w:cs="Arial"/>
          <w:sz w:val="16"/>
          <w:szCs w:val="16"/>
        </w:rPr>
      </w:pPr>
      <w:r w:rsidRPr="004B5FE8">
        <w:rPr>
          <w:rStyle w:val="Appelnotedebasdep"/>
          <w:rFonts w:cs="Arial"/>
          <w:sz w:val="16"/>
          <w:szCs w:val="16"/>
        </w:rPr>
        <w:footnoteRef/>
      </w:r>
      <w:r w:rsidRPr="004B5FE8">
        <w:rPr>
          <w:rFonts w:cs="Arial"/>
          <w:sz w:val="16"/>
          <w:szCs w:val="16"/>
        </w:rPr>
        <w:t xml:space="preserve"> Ménages dans lesquels au moins un membre pratique la pêche</w:t>
      </w:r>
    </w:p>
  </w:footnote>
  <w:footnote w:id="7">
    <w:p w:rsidR="00A13D47" w:rsidRPr="004B5FE8" w:rsidRDefault="00A13D47" w:rsidP="00C07947">
      <w:pPr>
        <w:pStyle w:val="Notedebasdepage"/>
        <w:rPr>
          <w:rFonts w:cs="Arial"/>
          <w:sz w:val="16"/>
          <w:szCs w:val="16"/>
        </w:rPr>
      </w:pPr>
      <w:r w:rsidRPr="004B5FE8">
        <w:rPr>
          <w:rStyle w:val="Appelnotedebasdep"/>
          <w:rFonts w:cs="Arial"/>
          <w:sz w:val="16"/>
          <w:szCs w:val="16"/>
        </w:rPr>
        <w:footnoteRef/>
      </w:r>
      <w:r w:rsidRPr="004B5FE8">
        <w:rPr>
          <w:rFonts w:cs="Arial"/>
          <w:sz w:val="16"/>
          <w:szCs w:val="16"/>
        </w:rPr>
        <w:t xml:space="preserve"> Il s’agit de l’entraide entre ménages relative aux activités agricoles</w:t>
      </w:r>
    </w:p>
  </w:footnote>
  <w:footnote w:id="8">
    <w:p w:rsidR="00A13D47" w:rsidRDefault="00A13D47" w:rsidP="00F91E7B">
      <w:pPr>
        <w:pStyle w:val="Notedebasdepage"/>
      </w:pPr>
      <w:r>
        <w:rPr>
          <w:rStyle w:val="Appelnotedebasdep"/>
        </w:rPr>
        <w:footnoteRef/>
      </w:r>
      <w:r>
        <w:t xml:space="preserve"> Ne prend pas en compte les revenus tirés des cultures de rente (thé, café, etc.) non estimés par cette enquête</w:t>
      </w:r>
    </w:p>
  </w:footnote>
  <w:footnote w:id="9">
    <w:p w:rsidR="00A13D47" w:rsidRDefault="00A13D47" w:rsidP="00940AC8">
      <w:pPr>
        <w:pStyle w:val="Notedebasdepage"/>
        <w:rPr>
          <w:rFonts w:cs="Arial"/>
          <w:sz w:val="16"/>
          <w:szCs w:val="16"/>
        </w:rPr>
      </w:pPr>
      <w:r>
        <w:rPr>
          <w:rStyle w:val="Appelnotedebasdep"/>
          <w:rFonts w:cs="Arial"/>
          <w:sz w:val="16"/>
          <w:szCs w:val="16"/>
        </w:rPr>
        <w:footnoteRef/>
      </w:r>
      <w:r>
        <w:rPr>
          <w:rFonts w:cs="Arial"/>
          <w:sz w:val="16"/>
          <w:szCs w:val="16"/>
        </w:rPr>
        <w:t xml:space="preserve"> Nos propres calculs à partir des données provisoires du RGPH 2008</w:t>
      </w:r>
    </w:p>
  </w:footnote>
  <w:footnote w:id="10">
    <w:p w:rsidR="00A13D47" w:rsidRDefault="00A13D47" w:rsidP="002E76B4">
      <w:pPr>
        <w:pStyle w:val="Notedebasdepage"/>
        <w:rPr>
          <w:rFonts w:cs="Arial"/>
          <w:sz w:val="16"/>
          <w:szCs w:val="16"/>
        </w:rPr>
      </w:pPr>
      <w:r>
        <w:rPr>
          <w:rStyle w:val="Appelnotedebasdep"/>
        </w:rPr>
        <w:footnoteRef/>
      </w:r>
      <w:r>
        <w:t xml:space="preserve"> </w:t>
      </w:r>
      <w:r>
        <w:rPr>
          <w:rFonts w:cs="Arial"/>
          <w:sz w:val="16"/>
          <w:szCs w:val="16"/>
        </w:rPr>
        <w:t>Nos propres calculs à partir des données provisoires du RGPH 2008</w:t>
      </w:r>
    </w:p>
    <w:p w:rsidR="00A13D47" w:rsidRDefault="00A13D47" w:rsidP="002E76B4">
      <w:pPr>
        <w:pStyle w:val="Notedebasdepage"/>
      </w:pPr>
    </w:p>
  </w:footnote>
  <w:footnote w:id="11">
    <w:p w:rsidR="00A13D47" w:rsidRDefault="00A13D47" w:rsidP="00940AC8">
      <w:pPr>
        <w:pStyle w:val="Notedebasdepage"/>
        <w:rPr>
          <w:rFonts w:cs="Arial"/>
          <w:sz w:val="16"/>
          <w:szCs w:val="16"/>
        </w:rPr>
      </w:pPr>
      <w:r>
        <w:rPr>
          <w:rStyle w:val="Appelnotedebasdep"/>
        </w:rPr>
        <w:footnoteRef/>
      </w:r>
      <w:r>
        <w:t xml:space="preserve"> </w:t>
      </w:r>
      <w:r>
        <w:rPr>
          <w:rFonts w:cs="Arial"/>
          <w:sz w:val="16"/>
          <w:szCs w:val="16"/>
        </w:rPr>
        <w:t xml:space="preserve">Evaluation des récoltes, des approvisionnements alimentaires et de la situation nutritionnelle, Saison 2005 A (MINAGRIE/ FAO/ PAM/ UNICEF) </w:t>
      </w:r>
    </w:p>
    <w:p w:rsidR="00A13D47" w:rsidRDefault="00A13D47" w:rsidP="00940AC8">
      <w:pPr>
        <w:pStyle w:val="Notedebasdepage"/>
      </w:pPr>
    </w:p>
  </w:footnote>
  <w:footnote w:id="12">
    <w:p w:rsidR="00A13D47" w:rsidRDefault="00A13D47">
      <w:pPr>
        <w:pStyle w:val="Notedebasdepage"/>
      </w:pPr>
      <w:r>
        <w:rPr>
          <w:rStyle w:val="Appelnotedebasdep"/>
        </w:rPr>
        <w:footnoteRef/>
      </w:r>
      <w:r>
        <w:t xml:space="preserve"> Résultats de l’ENAB 2011-2012</w:t>
      </w:r>
    </w:p>
  </w:footnote>
  <w:footnote w:id="13">
    <w:p w:rsidR="00A13D47" w:rsidRDefault="00A13D47">
      <w:pPr>
        <w:pStyle w:val="Notedebasdepage"/>
      </w:pPr>
      <w:r>
        <w:rPr>
          <w:rStyle w:val="Appelnotedebasdep"/>
        </w:rPr>
        <w:footnoteRef/>
      </w:r>
      <w:r>
        <w:t>, Résultats de l’ENAB 2011-2012</w:t>
      </w:r>
    </w:p>
  </w:footnote>
  <w:footnote w:id="14">
    <w:p w:rsidR="00A13D47" w:rsidRDefault="00A13D47" w:rsidP="00940AC8">
      <w:pPr>
        <w:pStyle w:val="Notedebasdepage"/>
        <w:rPr>
          <w:rFonts w:cs="Arial"/>
          <w:sz w:val="16"/>
          <w:szCs w:val="16"/>
        </w:rPr>
      </w:pPr>
      <w:r>
        <w:rPr>
          <w:rStyle w:val="Appelnotedebasdep"/>
          <w:rFonts w:cs="Arial"/>
          <w:sz w:val="16"/>
          <w:szCs w:val="16"/>
        </w:rPr>
        <w:footnoteRef/>
      </w:r>
      <w:r>
        <w:rPr>
          <w:rFonts w:cs="Arial"/>
          <w:sz w:val="16"/>
          <w:szCs w:val="16"/>
        </w:rPr>
        <w:t>,</w:t>
      </w:r>
      <w:r>
        <w:rPr>
          <w:rStyle w:val="Appelnotedebasdep"/>
          <w:rFonts w:cs="Arial"/>
          <w:sz w:val="16"/>
          <w:szCs w:val="16"/>
        </w:rPr>
        <w:t>5</w:t>
      </w:r>
      <w:r>
        <w:rPr>
          <w:rFonts w:cs="Arial"/>
          <w:sz w:val="16"/>
          <w:szCs w:val="16"/>
        </w:rPr>
        <w:t xml:space="preserve"> Etude sur la dynamique des systèmes agraires au Burundi, juin 1993, ADEPRINA (H. Cochet)</w:t>
      </w:r>
    </w:p>
  </w:footnote>
  <w:footnote w:id="15">
    <w:p w:rsidR="00A13D47" w:rsidRDefault="00A13D47" w:rsidP="00940AC8">
      <w:pPr>
        <w:pStyle w:val="Notedebasdepage"/>
      </w:pPr>
    </w:p>
  </w:footnote>
  <w:footnote w:id="16">
    <w:p w:rsidR="00A13D47" w:rsidRPr="009842A0" w:rsidRDefault="00A13D47" w:rsidP="00940AC8">
      <w:pPr>
        <w:pStyle w:val="Notedebasdepage"/>
        <w:rPr>
          <w:rFonts w:cs="Arial"/>
          <w:sz w:val="16"/>
          <w:szCs w:val="16"/>
        </w:rPr>
      </w:pPr>
      <w:r w:rsidRPr="009842A0">
        <w:rPr>
          <w:rStyle w:val="Appelnotedebasdep"/>
          <w:rFonts w:cs="Arial"/>
          <w:sz w:val="16"/>
          <w:szCs w:val="16"/>
        </w:rPr>
        <w:footnoteRef/>
      </w:r>
      <w:r w:rsidRPr="009842A0">
        <w:rPr>
          <w:rFonts w:cs="Arial"/>
          <w:sz w:val="16"/>
          <w:szCs w:val="16"/>
        </w:rPr>
        <w:t xml:space="preserve"> Données historiques concertées entre la DSIA, le Département de la Promotion des Semences et Plants (MINAGRIE) et le   Département des Productions de l’ISABU.</w:t>
      </w:r>
    </w:p>
    <w:p w:rsidR="00A13D47" w:rsidRDefault="00A13D47" w:rsidP="00940AC8">
      <w:pPr>
        <w:pStyle w:val="Notedebasdepage"/>
      </w:pPr>
    </w:p>
  </w:footnote>
  <w:footnote w:id="17">
    <w:p w:rsidR="00A13D47" w:rsidRPr="00AC7D69" w:rsidRDefault="00A13D47" w:rsidP="005B2022">
      <w:pPr>
        <w:pStyle w:val="Notedebasdepage"/>
        <w:rPr>
          <w:sz w:val="16"/>
          <w:szCs w:val="16"/>
        </w:rPr>
      </w:pPr>
      <w:r w:rsidRPr="00AC7D69">
        <w:rPr>
          <w:rStyle w:val="Appelnotedebasdep"/>
          <w:sz w:val="16"/>
          <w:szCs w:val="16"/>
        </w:rPr>
        <w:footnoteRef/>
      </w:r>
      <w:r w:rsidRPr="00AC7D69">
        <w:rPr>
          <w:sz w:val="16"/>
          <w:szCs w:val="16"/>
        </w:rPr>
        <w:t xml:space="preserve"> Estimation faite à partir des données du RGPH 2008</w:t>
      </w:r>
    </w:p>
  </w:footnote>
  <w:footnote w:id="18">
    <w:p w:rsidR="00A13D47" w:rsidRPr="00AC7D69" w:rsidRDefault="00A13D47" w:rsidP="005B2022">
      <w:pPr>
        <w:pStyle w:val="Notedebasdepage"/>
        <w:rPr>
          <w:sz w:val="16"/>
          <w:szCs w:val="16"/>
        </w:rPr>
      </w:pPr>
      <w:r w:rsidRPr="00AC7D69">
        <w:rPr>
          <w:rStyle w:val="Appelnotedebasdep"/>
          <w:sz w:val="16"/>
          <w:szCs w:val="16"/>
        </w:rPr>
        <w:footnoteRef/>
      </w:r>
      <w:r w:rsidRPr="00AC7D69">
        <w:rPr>
          <w:sz w:val="16"/>
          <w:szCs w:val="16"/>
        </w:rPr>
        <w:t xml:space="preserve"> Il s’agit de ménages non collectifs (Casernes, internats, orphelinat, etc.) d’après la définition du RGPH 2008</w:t>
      </w:r>
    </w:p>
  </w:footnote>
  <w:footnote w:id="19">
    <w:p w:rsidR="00A13D47" w:rsidRPr="008F0146" w:rsidRDefault="00A13D47" w:rsidP="00DB0606">
      <w:pPr>
        <w:pStyle w:val="Notedebasdepage"/>
        <w:rPr>
          <w:sz w:val="16"/>
          <w:szCs w:val="16"/>
        </w:rPr>
      </w:pPr>
      <w:r w:rsidRPr="008F0146">
        <w:rPr>
          <w:rStyle w:val="Appelnotedebasdep"/>
          <w:sz w:val="16"/>
          <w:szCs w:val="16"/>
        </w:rPr>
        <w:footnoteRef/>
      </w:r>
      <w:r w:rsidRPr="008F0146">
        <w:rPr>
          <w:sz w:val="16"/>
          <w:szCs w:val="16"/>
        </w:rPr>
        <w:t xml:space="preserve"> La population agricole est définie comme étant l’ensemble des membres des ménages agricoles</w:t>
      </w:r>
    </w:p>
  </w:footnote>
  <w:footnote w:id="20">
    <w:p w:rsidR="00A13D47" w:rsidRPr="008F0146" w:rsidRDefault="00A13D47" w:rsidP="00DB0606">
      <w:pPr>
        <w:pStyle w:val="Notedebasdepage"/>
        <w:rPr>
          <w:sz w:val="16"/>
          <w:szCs w:val="16"/>
        </w:rPr>
      </w:pPr>
      <w:r w:rsidRPr="008F0146">
        <w:rPr>
          <w:rStyle w:val="Appelnotedebasdep"/>
          <w:sz w:val="16"/>
          <w:szCs w:val="16"/>
        </w:rPr>
        <w:footnoteRef/>
      </w:r>
      <w:r w:rsidRPr="008F0146">
        <w:rPr>
          <w:sz w:val="16"/>
          <w:szCs w:val="16"/>
        </w:rPr>
        <w:t xml:space="preserve"> Estimation faite à partir de la projection de la population du RGPH 2008</w:t>
      </w:r>
    </w:p>
  </w:footnote>
  <w:footnote w:id="21">
    <w:p w:rsidR="00A13D47" w:rsidRPr="008F0146" w:rsidRDefault="00A13D47" w:rsidP="00DB0606">
      <w:pPr>
        <w:pStyle w:val="Commentaire"/>
        <w:rPr>
          <w:sz w:val="16"/>
          <w:szCs w:val="16"/>
        </w:rPr>
      </w:pPr>
      <w:r w:rsidRPr="008F0146">
        <w:rPr>
          <w:rStyle w:val="Appelnotedebasdep"/>
          <w:sz w:val="16"/>
          <w:szCs w:val="16"/>
        </w:rPr>
        <w:footnoteRef/>
      </w:r>
      <w:r w:rsidRPr="008F0146">
        <w:rPr>
          <w:sz w:val="16"/>
          <w:szCs w:val="16"/>
        </w:rPr>
        <w:t xml:space="preserve"> Population vivant dans un ménage agricole</w:t>
      </w:r>
    </w:p>
    <w:p w:rsidR="00A13D47" w:rsidRDefault="00A13D47" w:rsidP="00DB0606">
      <w:pPr>
        <w:pStyle w:val="Notedebasdepage"/>
      </w:pPr>
    </w:p>
  </w:footnote>
  <w:footnote w:id="22">
    <w:p w:rsidR="00A13D47" w:rsidRPr="009F71A0" w:rsidRDefault="00A13D47" w:rsidP="005B2022">
      <w:pPr>
        <w:pStyle w:val="Commentaire"/>
        <w:rPr>
          <w:sz w:val="16"/>
          <w:szCs w:val="16"/>
        </w:rPr>
      </w:pPr>
      <w:r w:rsidRPr="009F71A0">
        <w:rPr>
          <w:rStyle w:val="Appelnotedebasdep"/>
          <w:sz w:val="16"/>
          <w:szCs w:val="16"/>
        </w:rPr>
        <w:footnoteRef/>
      </w:r>
      <w:r w:rsidRPr="009F71A0">
        <w:rPr>
          <w:sz w:val="16"/>
          <w:szCs w:val="16"/>
        </w:rPr>
        <w:t xml:space="preserve"> Calculée à partir de la population totale  vivant dans les ménages agricoles</w:t>
      </w:r>
    </w:p>
    <w:p w:rsidR="00A13D47" w:rsidRDefault="00A13D47" w:rsidP="005B2022">
      <w:pPr>
        <w:pStyle w:val="Notedebasdepage"/>
      </w:pPr>
    </w:p>
  </w:footnote>
  <w:footnote w:id="23">
    <w:p w:rsidR="00A13D47" w:rsidRDefault="00A13D47">
      <w:pPr>
        <w:pStyle w:val="Notedebasdepage"/>
      </w:pPr>
      <w:r>
        <w:rPr>
          <w:rStyle w:val="Appelnotedebasdep"/>
        </w:rPr>
        <w:footnoteRef/>
      </w:r>
      <w:r>
        <w:t xml:space="preserve"> La saison B la plus importante en superficie cultivée a servi de référence</w:t>
      </w:r>
    </w:p>
  </w:footnote>
  <w:footnote w:id="24">
    <w:p w:rsidR="00A13D47" w:rsidRDefault="00A13D47" w:rsidP="00A12EF8">
      <w:pPr>
        <w:pStyle w:val="Notedebasdepage"/>
      </w:pPr>
      <w:r>
        <w:rPr>
          <w:rStyle w:val="Appelnotedebasdep"/>
        </w:rPr>
        <w:footnoteRef/>
      </w:r>
      <w:r>
        <w:t xml:space="preserve"> La saison B la plus importante en superficie cultivée a servi de référence</w:t>
      </w:r>
    </w:p>
  </w:footnote>
  <w:footnote w:id="25">
    <w:p w:rsidR="00A13D47" w:rsidRDefault="00A13D47" w:rsidP="00A12EF8">
      <w:pPr>
        <w:pStyle w:val="Notedebasdepage"/>
      </w:pPr>
      <w:r>
        <w:rPr>
          <w:rStyle w:val="Appelnotedebasdep"/>
        </w:rPr>
        <w:footnoteRef/>
      </w:r>
      <w:r>
        <w:t xml:space="preserve"> La saison B la plus importante en superficie cultivée a servi de référence</w:t>
      </w:r>
    </w:p>
  </w:footnote>
  <w:footnote w:id="26">
    <w:p w:rsidR="00A13D47" w:rsidRPr="00054322" w:rsidRDefault="00A13D47" w:rsidP="00B17C92">
      <w:pPr>
        <w:pStyle w:val="Notedebasdepage"/>
        <w:rPr>
          <w:sz w:val="16"/>
          <w:szCs w:val="16"/>
        </w:rPr>
      </w:pPr>
      <w:r w:rsidRPr="00054322">
        <w:rPr>
          <w:rStyle w:val="Appelnotedebasdep"/>
          <w:sz w:val="16"/>
          <w:szCs w:val="16"/>
        </w:rPr>
        <w:footnoteRef/>
      </w:r>
      <w:r w:rsidRPr="00054322">
        <w:rPr>
          <w:sz w:val="16"/>
          <w:szCs w:val="16"/>
        </w:rPr>
        <w:t xml:space="preserve"> Il s’agit des parcelles d’un ménage gérées par plusieurs membres de ce ménage</w:t>
      </w:r>
    </w:p>
  </w:footnote>
  <w:footnote w:id="27">
    <w:p w:rsidR="00A13D47" w:rsidRPr="00054322" w:rsidRDefault="00A13D47" w:rsidP="00B17C92">
      <w:pPr>
        <w:pStyle w:val="Notedebasdepage"/>
        <w:rPr>
          <w:sz w:val="16"/>
          <w:szCs w:val="16"/>
        </w:rPr>
      </w:pPr>
      <w:r w:rsidRPr="00054322">
        <w:rPr>
          <w:rStyle w:val="Appelnotedebasdep"/>
          <w:sz w:val="16"/>
          <w:szCs w:val="16"/>
        </w:rPr>
        <w:footnoteRef/>
      </w:r>
      <w:r w:rsidRPr="00054322">
        <w:rPr>
          <w:sz w:val="16"/>
          <w:szCs w:val="16"/>
        </w:rPr>
        <w:t xml:space="preserve"> Il s’agit des parcelles d’un ménage gérées par un seul membre de ce ménage</w:t>
      </w:r>
    </w:p>
  </w:footnote>
  <w:footnote w:id="28">
    <w:p w:rsidR="00A13D47" w:rsidRPr="00D75889" w:rsidRDefault="00A13D47">
      <w:pPr>
        <w:pStyle w:val="Notedebasdepage"/>
        <w:rPr>
          <w:sz w:val="16"/>
          <w:szCs w:val="16"/>
        </w:rPr>
      </w:pPr>
      <w:r>
        <w:rPr>
          <w:rStyle w:val="Appelnotedebasdep"/>
        </w:rPr>
        <w:footnoteRef/>
      </w:r>
      <w:r>
        <w:t xml:space="preserve"> </w:t>
      </w:r>
      <w:r w:rsidRPr="00D75889">
        <w:rPr>
          <w:sz w:val="16"/>
          <w:szCs w:val="16"/>
        </w:rPr>
        <w:t xml:space="preserve">Cette superficie est beaucoup supérieure à la superficie physique cultivée car une grande partie </w:t>
      </w:r>
      <w:r>
        <w:rPr>
          <w:sz w:val="16"/>
          <w:szCs w:val="16"/>
        </w:rPr>
        <w:t xml:space="preserve">des parcelles </w:t>
      </w:r>
      <w:r w:rsidRPr="00D75889">
        <w:rPr>
          <w:sz w:val="16"/>
          <w:szCs w:val="16"/>
        </w:rPr>
        <w:t>a été cultivée pendant les trois saisons</w:t>
      </w:r>
      <w:r>
        <w:rPr>
          <w:sz w:val="16"/>
          <w:szCs w:val="16"/>
        </w:rPr>
        <w:t>.</w:t>
      </w:r>
    </w:p>
  </w:footnote>
  <w:footnote w:id="29">
    <w:p w:rsidR="00A13D47" w:rsidRPr="00E12440" w:rsidRDefault="00A13D47" w:rsidP="00E12440">
      <w:pPr>
        <w:pStyle w:val="Notedebasdepage"/>
        <w:rPr>
          <w:sz w:val="16"/>
          <w:szCs w:val="16"/>
        </w:rPr>
      </w:pPr>
      <w:r w:rsidRPr="00E12440">
        <w:rPr>
          <w:rStyle w:val="Appelnotedebasdep"/>
          <w:sz w:val="16"/>
          <w:szCs w:val="16"/>
        </w:rPr>
        <w:footnoteRef/>
      </w:r>
      <w:r w:rsidRPr="00E12440">
        <w:rPr>
          <w:sz w:val="16"/>
          <w:szCs w:val="16"/>
        </w:rPr>
        <w:t xml:space="preserve"> Voir le document des tableaux annexes</w:t>
      </w:r>
    </w:p>
  </w:footnote>
  <w:footnote w:id="30">
    <w:p w:rsidR="00A13D47" w:rsidRPr="00E12440" w:rsidRDefault="00A13D47" w:rsidP="00E12440">
      <w:pPr>
        <w:pStyle w:val="Notedebasdepage"/>
        <w:rPr>
          <w:sz w:val="16"/>
          <w:szCs w:val="16"/>
        </w:rPr>
      </w:pPr>
      <w:r w:rsidRPr="00E12440">
        <w:rPr>
          <w:rStyle w:val="Appelnotedebasdep"/>
          <w:sz w:val="16"/>
          <w:szCs w:val="16"/>
        </w:rPr>
        <w:footnoteRef/>
      </w:r>
      <w:r w:rsidRPr="00E12440">
        <w:rPr>
          <w:sz w:val="16"/>
          <w:szCs w:val="16"/>
        </w:rPr>
        <w:t xml:space="preserve"> Voir le document des tableaux annexes</w:t>
      </w:r>
    </w:p>
  </w:footnote>
  <w:footnote w:id="31">
    <w:p w:rsidR="00A13D47" w:rsidRPr="00E12440" w:rsidRDefault="00A13D47" w:rsidP="00523D35">
      <w:pPr>
        <w:pStyle w:val="Notedebasdepage"/>
        <w:rPr>
          <w:sz w:val="16"/>
          <w:szCs w:val="16"/>
        </w:rPr>
      </w:pPr>
      <w:r w:rsidRPr="00E12440">
        <w:rPr>
          <w:rStyle w:val="Appelnotedebasdep"/>
          <w:sz w:val="16"/>
          <w:szCs w:val="16"/>
        </w:rPr>
        <w:footnoteRef/>
      </w:r>
      <w:r w:rsidRPr="00E12440">
        <w:rPr>
          <w:sz w:val="16"/>
          <w:szCs w:val="16"/>
        </w:rPr>
        <w:t xml:space="preserve"> Voir le document des tableaux annexes</w:t>
      </w:r>
    </w:p>
  </w:footnote>
  <w:footnote w:id="32">
    <w:p w:rsidR="00A13D47" w:rsidRPr="00E12440" w:rsidRDefault="00A13D47" w:rsidP="00523D35">
      <w:pPr>
        <w:pStyle w:val="Notedebasdepage"/>
        <w:rPr>
          <w:sz w:val="16"/>
          <w:szCs w:val="16"/>
        </w:rPr>
      </w:pPr>
      <w:r w:rsidRPr="00E12440">
        <w:rPr>
          <w:rStyle w:val="Appelnotedebasdep"/>
          <w:sz w:val="16"/>
          <w:szCs w:val="16"/>
        </w:rPr>
        <w:footnoteRef/>
      </w:r>
      <w:r w:rsidRPr="00E12440">
        <w:rPr>
          <w:sz w:val="16"/>
          <w:szCs w:val="16"/>
        </w:rPr>
        <w:t xml:space="preserve"> Voir le document des tableaux annexes</w:t>
      </w:r>
    </w:p>
  </w:footnote>
  <w:footnote w:id="33">
    <w:p w:rsidR="00A13D47" w:rsidRPr="00FD5FAE" w:rsidRDefault="00A13D47" w:rsidP="000327E4">
      <w:pPr>
        <w:pStyle w:val="twunwanted"/>
        <w:spacing w:before="0" w:beforeAutospacing="0" w:after="0" w:afterAutospacing="0"/>
        <w:rPr>
          <w:rFonts w:ascii="Arial" w:hAnsi="Arial" w:cs="Arial"/>
          <w:sz w:val="16"/>
          <w:szCs w:val="16"/>
          <w:lang w:val="fr-FR"/>
        </w:rPr>
      </w:pPr>
      <w:r w:rsidRPr="00B24DD8">
        <w:rPr>
          <w:rStyle w:val="Appelnotedebasdep"/>
          <w:rFonts w:ascii="Arial" w:hAnsi="Arial" w:cs="Arial"/>
          <w:sz w:val="18"/>
          <w:szCs w:val="18"/>
        </w:rPr>
        <w:footnoteRef/>
      </w:r>
      <w:r w:rsidRPr="00B24DD8">
        <w:rPr>
          <w:rFonts w:asciiTheme="minorHAnsi" w:hAnsiTheme="minorHAnsi" w:cstheme="minorHAnsi"/>
          <w:sz w:val="18"/>
          <w:szCs w:val="18"/>
          <w:lang w:val="fr-FR"/>
        </w:rPr>
        <w:t>U</w:t>
      </w:r>
      <w:r w:rsidRPr="00B24DD8">
        <w:rPr>
          <w:rFonts w:ascii="Arial" w:hAnsi="Arial" w:cs="Arial"/>
          <w:sz w:val="18"/>
          <w:szCs w:val="18"/>
          <w:lang w:val="fr-FR"/>
        </w:rPr>
        <w:t>n équivalent céréales correspond à 1 pour les céréales et pour les autres produits</w:t>
      </w:r>
      <w:r>
        <w:rPr>
          <w:rFonts w:ascii="Arial" w:hAnsi="Arial" w:cs="Arial"/>
          <w:sz w:val="18"/>
          <w:szCs w:val="18"/>
          <w:lang w:val="fr-FR"/>
        </w:rPr>
        <w:t>,</w:t>
      </w:r>
      <w:r w:rsidRPr="00B24DD8">
        <w:rPr>
          <w:rFonts w:ascii="Arial" w:hAnsi="Arial" w:cs="Arial"/>
          <w:sz w:val="18"/>
          <w:szCs w:val="18"/>
          <w:lang w:val="fr-FR"/>
        </w:rPr>
        <w:t xml:space="preserve"> il est donnée par  la formule suivante : Eq.céréales du produit </w:t>
      </w:r>
      <w:r w:rsidRPr="00B24DD8">
        <w:rPr>
          <w:rStyle w:val="lev"/>
          <w:rFonts w:ascii="Arial" w:hAnsi="Arial" w:cs="Arial"/>
          <w:sz w:val="18"/>
          <w:szCs w:val="18"/>
          <w:lang w:val="fr-FR"/>
        </w:rPr>
        <w:t>X (kg) = [</w:t>
      </w:r>
      <w:r w:rsidRPr="00B24DD8">
        <w:rPr>
          <w:rFonts w:ascii="Arial" w:hAnsi="Arial" w:cs="Arial"/>
          <w:sz w:val="18"/>
          <w:szCs w:val="18"/>
          <w:lang w:val="fr-FR"/>
        </w:rPr>
        <w:t xml:space="preserve">(nombre Cal/kg du produit </w:t>
      </w:r>
      <w:r w:rsidRPr="00B24DD8">
        <w:rPr>
          <w:rStyle w:val="lev"/>
          <w:rFonts w:ascii="Arial" w:hAnsi="Arial" w:cs="Arial"/>
          <w:sz w:val="18"/>
          <w:szCs w:val="18"/>
          <w:lang w:val="fr-FR"/>
        </w:rPr>
        <w:t>X</w:t>
      </w:r>
      <w:r w:rsidRPr="00B24DD8">
        <w:rPr>
          <w:rFonts w:ascii="Arial" w:hAnsi="Arial" w:cs="Arial"/>
          <w:sz w:val="18"/>
          <w:szCs w:val="18"/>
          <w:lang w:val="fr-FR"/>
        </w:rPr>
        <w:t>)</w:t>
      </w:r>
      <w:r>
        <w:rPr>
          <w:rFonts w:ascii="Arial" w:hAnsi="Arial" w:cs="Arial"/>
          <w:sz w:val="18"/>
          <w:szCs w:val="18"/>
          <w:lang w:val="fr-FR"/>
        </w:rPr>
        <w:t xml:space="preserve"> </w:t>
      </w:r>
      <w:r w:rsidRPr="00B24DD8">
        <w:rPr>
          <w:rFonts w:ascii="Arial" w:hAnsi="Arial" w:cs="Arial"/>
          <w:sz w:val="18"/>
          <w:szCs w:val="18"/>
          <w:lang w:val="fr-FR"/>
        </w:rPr>
        <w:t>/ (nombre Cal/kg céréale)]</w:t>
      </w:r>
      <w:r w:rsidRPr="00B24DD8">
        <w:rPr>
          <w:rStyle w:val="lev"/>
          <w:rFonts w:ascii="Arial" w:hAnsi="Arial" w:cs="Arial"/>
          <w:sz w:val="18"/>
          <w:szCs w:val="18"/>
          <w:lang w:val="fr-FR"/>
        </w:rPr>
        <w:t xml:space="preserve"> * Quanti</w:t>
      </w:r>
      <w:r w:rsidRPr="00B24DD8">
        <w:rPr>
          <w:rFonts w:ascii="Arial" w:hAnsi="Arial" w:cs="Arial"/>
          <w:b/>
          <w:sz w:val="18"/>
          <w:szCs w:val="18"/>
          <w:lang w:val="fr-FR"/>
        </w:rPr>
        <w:t>t</w:t>
      </w:r>
      <w:r w:rsidRPr="00B24DD8">
        <w:rPr>
          <w:rFonts w:ascii="Arial" w:hAnsi="Arial" w:cs="Arial"/>
          <w:sz w:val="18"/>
          <w:szCs w:val="18"/>
          <w:lang w:val="fr-FR"/>
        </w:rPr>
        <w:t>é du produit à convertir (kg</w:t>
      </w:r>
      <w:r w:rsidRPr="00FD5FAE">
        <w:rPr>
          <w:rFonts w:ascii="Arial" w:hAnsi="Arial" w:cs="Arial"/>
          <w:sz w:val="16"/>
          <w:szCs w:val="16"/>
          <w:lang w:val="fr-FR"/>
        </w:rPr>
        <w:t>)</w:t>
      </w:r>
    </w:p>
    <w:p w:rsidR="00A13D47" w:rsidRPr="00B24DD8" w:rsidRDefault="00A13D47" w:rsidP="00B24DD8">
      <w:pPr>
        <w:jc w:val="both"/>
        <w:rPr>
          <w:rFonts w:ascii="Arial" w:eastAsia="Times New Roman" w:hAnsi="Arial" w:cs="Times New Roman"/>
          <w:sz w:val="18"/>
          <w:szCs w:val="18"/>
          <w:lang w:val="fr-FR" w:eastAsia="fr-FR"/>
        </w:rPr>
      </w:pPr>
      <w:r w:rsidRPr="00B24DD8">
        <w:rPr>
          <w:rFonts w:ascii="Arial" w:eastAsia="Times New Roman" w:hAnsi="Arial" w:cs="Times New Roman"/>
          <w:sz w:val="18"/>
          <w:szCs w:val="18"/>
          <w:lang w:val="fr-FR" w:eastAsia="fr-FR"/>
        </w:rPr>
        <w:t>Les taux de conversion utilisés son</w:t>
      </w:r>
      <w:r>
        <w:rPr>
          <w:rFonts w:ascii="Arial" w:eastAsia="Times New Roman" w:hAnsi="Arial" w:cs="Times New Roman"/>
          <w:sz w:val="18"/>
          <w:szCs w:val="18"/>
          <w:lang w:val="fr-FR" w:eastAsia="fr-FR"/>
        </w:rPr>
        <w:t>t</w:t>
      </w:r>
      <w:r w:rsidRPr="00B24DD8">
        <w:rPr>
          <w:rFonts w:ascii="Arial" w:eastAsia="Times New Roman" w:hAnsi="Arial" w:cs="Times New Roman"/>
          <w:sz w:val="18"/>
          <w:szCs w:val="18"/>
          <w:lang w:val="fr-FR" w:eastAsia="fr-FR"/>
        </w:rPr>
        <w:t xml:space="preserve"> consignés dans un tableau en annexe.</w:t>
      </w:r>
    </w:p>
    <w:p w:rsidR="00A13D47" w:rsidRPr="00FD5FAE" w:rsidRDefault="00A13D47" w:rsidP="000327E4">
      <w:pPr>
        <w:pStyle w:val="Corpsdetexte"/>
        <w:rPr>
          <w:lang w:val="fr-FR"/>
        </w:rPr>
      </w:pPr>
    </w:p>
  </w:footnote>
  <w:footnote w:id="34">
    <w:p w:rsidR="00A13D47" w:rsidRPr="00F735F2" w:rsidRDefault="00A13D47" w:rsidP="00D106DF">
      <w:pPr>
        <w:pStyle w:val="Notedebasdepage"/>
        <w:rPr>
          <w:sz w:val="16"/>
          <w:szCs w:val="16"/>
        </w:rPr>
      </w:pPr>
      <w:r w:rsidRPr="00F735F2">
        <w:rPr>
          <w:rStyle w:val="Appelnotedebasdep"/>
          <w:sz w:val="16"/>
          <w:szCs w:val="16"/>
        </w:rPr>
        <w:footnoteRef/>
      </w:r>
      <w:r w:rsidRPr="00F735F2">
        <w:rPr>
          <w:sz w:val="16"/>
          <w:szCs w:val="16"/>
        </w:rPr>
        <w:t xml:space="preserve"> Voir document méthodologique pour le calcul des superficies dans le cas des cultures associées</w:t>
      </w:r>
    </w:p>
  </w:footnote>
  <w:footnote w:id="35">
    <w:p w:rsidR="00A13D47" w:rsidRPr="007F7E23" w:rsidRDefault="00A13D47">
      <w:pPr>
        <w:pStyle w:val="Notedebasdepage"/>
        <w:rPr>
          <w:sz w:val="16"/>
          <w:szCs w:val="16"/>
        </w:rPr>
      </w:pPr>
      <w:r>
        <w:rPr>
          <w:rStyle w:val="Appelnotedebasdep"/>
        </w:rPr>
        <w:footnoteRef/>
      </w:r>
      <w:r>
        <w:t xml:space="preserve"> </w:t>
      </w:r>
      <w:r w:rsidRPr="007F7E23">
        <w:rPr>
          <w:sz w:val="16"/>
          <w:szCs w:val="16"/>
        </w:rPr>
        <w:t>Il s’agit des superficies cultivées par les seuls ménages agricoles</w:t>
      </w:r>
    </w:p>
  </w:footnote>
  <w:footnote w:id="36">
    <w:p w:rsidR="00A13D47" w:rsidRPr="00F735F2" w:rsidRDefault="00A13D47" w:rsidP="00560375">
      <w:pPr>
        <w:pStyle w:val="Notedebasdepage"/>
        <w:rPr>
          <w:sz w:val="16"/>
          <w:szCs w:val="16"/>
        </w:rPr>
      </w:pPr>
      <w:r w:rsidRPr="00F735F2">
        <w:rPr>
          <w:rStyle w:val="Appelnotedebasdep"/>
          <w:sz w:val="16"/>
          <w:szCs w:val="16"/>
        </w:rPr>
        <w:footnoteRef/>
      </w:r>
      <w:r w:rsidRPr="00F735F2">
        <w:rPr>
          <w:sz w:val="16"/>
          <w:szCs w:val="16"/>
        </w:rPr>
        <w:t xml:space="preserve"> Voir document méthodologique pour le calcul des superficies dans le cas des cultures associées</w:t>
      </w:r>
    </w:p>
  </w:footnote>
  <w:footnote w:id="37">
    <w:p w:rsidR="00A13D47" w:rsidRPr="00053232" w:rsidRDefault="00A13D47">
      <w:pPr>
        <w:pStyle w:val="Notedebasdepage"/>
        <w:rPr>
          <w:sz w:val="16"/>
          <w:szCs w:val="16"/>
        </w:rPr>
      </w:pPr>
      <w:r>
        <w:rPr>
          <w:rStyle w:val="Appelnotedebasdep"/>
        </w:rPr>
        <w:footnoteRef/>
      </w:r>
      <w:r>
        <w:t xml:space="preserve"> </w:t>
      </w:r>
      <w:r w:rsidRPr="00053232">
        <w:rPr>
          <w:sz w:val="16"/>
          <w:szCs w:val="16"/>
        </w:rPr>
        <w:t xml:space="preserve">Il n’est pas exclu que </w:t>
      </w:r>
      <w:r>
        <w:rPr>
          <w:sz w:val="16"/>
          <w:szCs w:val="16"/>
        </w:rPr>
        <w:t>certains</w:t>
      </w:r>
      <w:r w:rsidRPr="00053232">
        <w:rPr>
          <w:sz w:val="16"/>
          <w:szCs w:val="16"/>
        </w:rPr>
        <w:t xml:space="preserve"> rendements ne soient pas </w:t>
      </w:r>
      <w:r>
        <w:rPr>
          <w:sz w:val="16"/>
          <w:szCs w:val="16"/>
        </w:rPr>
        <w:t>obtenus</w:t>
      </w:r>
      <w:r w:rsidRPr="00053232">
        <w:rPr>
          <w:sz w:val="16"/>
          <w:szCs w:val="16"/>
        </w:rPr>
        <w:t xml:space="preserve"> </w:t>
      </w:r>
      <w:r>
        <w:rPr>
          <w:sz w:val="16"/>
          <w:szCs w:val="16"/>
        </w:rPr>
        <w:t xml:space="preserve">du fait de la </w:t>
      </w:r>
      <w:r w:rsidRPr="00053232">
        <w:rPr>
          <w:sz w:val="16"/>
          <w:szCs w:val="16"/>
        </w:rPr>
        <w:t xml:space="preserve">pose </w:t>
      </w:r>
      <w:r>
        <w:rPr>
          <w:sz w:val="16"/>
          <w:szCs w:val="16"/>
        </w:rPr>
        <w:t xml:space="preserve">tardive </w:t>
      </w:r>
      <w:r w:rsidRPr="00053232">
        <w:rPr>
          <w:sz w:val="16"/>
          <w:szCs w:val="16"/>
        </w:rPr>
        <w:t xml:space="preserve">des carrés de rendement </w:t>
      </w:r>
      <w:r>
        <w:rPr>
          <w:sz w:val="16"/>
          <w:szCs w:val="16"/>
        </w:rPr>
        <w:t>en saison A.</w:t>
      </w:r>
    </w:p>
  </w:footnote>
  <w:footnote w:id="38">
    <w:p w:rsidR="00A13D47" w:rsidRPr="00A420F5" w:rsidRDefault="00A13D47">
      <w:pPr>
        <w:pStyle w:val="Notedebasdepage"/>
        <w:rPr>
          <w:sz w:val="16"/>
          <w:szCs w:val="16"/>
        </w:rPr>
      </w:pPr>
      <w:r>
        <w:rPr>
          <w:rStyle w:val="Appelnotedebasdep"/>
        </w:rPr>
        <w:footnoteRef/>
      </w:r>
      <w:r>
        <w:t xml:space="preserve"> </w:t>
      </w:r>
      <w:r w:rsidRPr="00A420F5">
        <w:rPr>
          <w:sz w:val="16"/>
          <w:szCs w:val="16"/>
        </w:rPr>
        <w:t>Culture la plus importante dans une association</w:t>
      </w:r>
    </w:p>
  </w:footnote>
  <w:footnote w:id="39">
    <w:p w:rsidR="00A13D47" w:rsidRPr="00A420F5" w:rsidRDefault="00A13D47" w:rsidP="00375E64">
      <w:pPr>
        <w:pStyle w:val="Notedebasdepage"/>
        <w:rPr>
          <w:sz w:val="16"/>
          <w:szCs w:val="16"/>
        </w:rPr>
      </w:pPr>
      <w:r>
        <w:rPr>
          <w:rStyle w:val="Appelnotedebasdep"/>
        </w:rPr>
        <w:footnoteRef/>
      </w:r>
      <w:r>
        <w:t xml:space="preserve"> </w:t>
      </w:r>
      <w:r w:rsidRPr="00A420F5">
        <w:rPr>
          <w:sz w:val="16"/>
          <w:szCs w:val="16"/>
        </w:rPr>
        <w:t>Culture la plus importante dans une association</w:t>
      </w:r>
    </w:p>
  </w:footnote>
  <w:footnote w:id="40">
    <w:p w:rsidR="00A13D47" w:rsidRPr="00C74592" w:rsidRDefault="00A13D47" w:rsidP="006F3A12">
      <w:pPr>
        <w:rPr>
          <w:rFonts w:cs="Arial"/>
          <w:sz w:val="18"/>
          <w:szCs w:val="18"/>
        </w:rPr>
      </w:pPr>
      <w:r>
        <w:rPr>
          <w:rStyle w:val="Appelnotedebasdep"/>
        </w:rPr>
        <w:footnoteRef/>
      </w:r>
      <w:r>
        <w:t xml:space="preserve"> </w:t>
      </w:r>
      <w:r w:rsidRPr="00C74592">
        <w:rPr>
          <w:rFonts w:cs="Arial"/>
          <w:sz w:val="18"/>
          <w:szCs w:val="18"/>
        </w:rPr>
        <w:t xml:space="preserve">UBT (unité de bétail tropical) : Unité standard </w:t>
      </w:r>
      <w:r>
        <w:rPr>
          <w:rFonts w:cs="Arial"/>
          <w:sz w:val="18"/>
          <w:szCs w:val="18"/>
        </w:rPr>
        <w:t>(</w:t>
      </w:r>
      <w:r w:rsidRPr="00C74592">
        <w:rPr>
          <w:rFonts w:cs="Arial"/>
          <w:sz w:val="18"/>
          <w:szCs w:val="18"/>
        </w:rPr>
        <w:t>1 UBT est une tête de bétail de 250 kg</w:t>
      </w:r>
      <w:r>
        <w:rPr>
          <w:rFonts w:cs="Arial"/>
          <w:sz w:val="18"/>
          <w:szCs w:val="18"/>
        </w:rPr>
        <w:t>)</w:t>
      </w:r>
      <w:r w:rsidRPr="00C74592">
        <w:rPr>
          <w:rFonts w:cs="Arial"/>
          <w:sz w:val="18"/>
          <w:szCs w:val="18"/>
        </w:rPr>
        <w:t>.</w:t>
      </w:r>
    </w:p>
    <w:p w:rsidR="00A13D47" w:rsidRPr="00B41CD4" w:rsidRDefault="00A13D47" w:rsidP="006F3A12">
      <w:pPr>
        <w:pStyle w:val="Notedebasdepage"/>
        <w:rPr>
          <w:rFonts w:cs="Arial"/>
          <w:sz w:val="18"/>
          <w:szCs w:val="18"/>
        </w:rPr>
      </w:pPr>
      <w:r w:rsidRPr="00B41CD4">
        <w:rPr>
          <w:rFonts w:cs="Arial"/>
          <w:sz w:val="18"/>
          <w:szCs w:val="18"/>
        </w:rPr>
        <w:t>(1 bovin=0,7 UBT ; 1 caprin-ovin=0,1 UBT ; 1 porcin=0,2 UBT ;1 lapin-cobaye-volaille=0,005 UBT)</w:t>
      </w:r>
    </w:p>
  </w:footnote>
  <w:footnote w:id="41">
    <w:p w:rsidR="00A13D47" w:rsidRDefault="00A13D47" w:rsidP="006F3A12">
      <w:pPr>
        <w:pStyle w:val="Notedebasdepage"/>
      </w:pPr>
      <w:r>
        <w:rPr>
          <w:rStyle w:val="Appelnotedebasdep"/>
        </w:rPr>
        <w:footnoteRef/>
      </w:r>
      <w:r>
        <w:t xml:space="preserve"> </w:t>
      </w:r>
      <w:r w:rsidRPr="00F41851">
        <w:rPr>
          <w:sz w:val="18"/>
          <w:szCs w:val="18"/>
        </w:rPr>
        <w:t>Aspects zootechniques de l’élevage bovin laitier au Burundi : présent et futur (HATUN GUMUKAMA G., HORNICK J.L., DETILLEUX J.)</w:t>
      </w:r>
    </w:p>
  </w:footnote>
  <w:footnote w:id="42">
    <w:p w:rsidR="00A13D47" w:rsidRDefault="00A13D47" w:rsidP="006F3A12">
      <w:pPr>
        <w:pStyle w:val="Notedebasdepage"/>
      </w:pPr>
      <w:r>
        <w:rPr>
          <w:rStyle w:val="Appelnotedebasdep"/>
        </w:rPr>
        <w:footnoteRef/>
      </w:r>
      <w:r>
        <w:t xml:space="preserve"> Nos propres calculs à partir des documents « </w:t>
      </w:r>
      <w:r w:rsidRPr="00F41851">
        <w:rPr>
          <w:sz w:val="18"/>
          <w:szCs w:val="18"/>
        </w:rPr>
        <w:t>Aspects zootechniques de l’élevage bovin laitier au Burundi : présent et futur (HATUN GUMUKAMA G., HORNICK J.L., DETILLEUX J</w:t>
      </w:r>
      <w:r>
        <w:rPr>
          <w:sz w:val="18"/>
          <w:szCs w:val="18"/>
        </w:rPr>
        <w:t>) » et « </w:t>
      </w:r>
      <w:r w:rsidRPr="006F631E">
        <w:rPr>
          <w:sz w:val="18"/>
          <w:szCs w:val="18"/>
        </w:rPr>
        <w:t>Productivité de la race bovine Borgou selon les systèmes d'élevage traditionnels au nord-est du Bénin</w:t>
      </w:r>
      <w:r>
        <w:rPr>
          <w:sz w:val="18"/>
          <w:szCs w:val="18"/>
        </w:rPr>
        <w:t xml:space="preserve"> (</w:t>
      </w:r>
      <w:r w:rsidRPr="006F631E">
        <w:rPr>
          <w:sz w:val="18"/>
          <w:szCs w:val="18"/>
        </w:rPr>
        <w:t>J.-P. Dehoux et G. Hounsou-Ve</w:t>
      </w:r>
      <w:r>
        <w:rPr>
          <w:sz w:val="18"/>
          <w:szCs w:val="18"/>
        </w:rPr>
        <w:t>)</w:t>
      </w:r>
    </w:p>
  </w:footnote>
  <w:footnote w:id="43">
    <w:p w:rsidR="00A13D47" w:rsidRPr="001172EE" w:rsidRDefault="00A13D47">
      <w:pPr>
        <w:pStyle w:val="Notedebasdepage"/>
        <w:rPr>
          <w:sz w:val="18"/>
          <w:szCs w:val="18"/>
        </w:rPr>
      </w:pPr>
      <w:r>
        <w:rPr>
          <w:rStyle w:val="Appelnotedebasdep"/>
        </w:rPr>
        <w:footnoteRef/>
      </w:r>
      <w:r>
        <w:t xml:space="preserve"> </w:t>
      </w:r>
      <w:r w:rsidRPr="00A67447">
        <w:rPr>
          <w:sz w:val="18"/>
          <w:szCs w:val="18"/>
        </w:rPr>
        <w:t>Ménages dans lesquels au mo</w:t>
      </w:r>
      <w:r>
        <w:rPr>
          <w:sz w:val="18"/>
          <w:szCs w:val="18"/>
        </w:rPr>
        <w:t>ins un membre pratique l’apiculture</w:t>
      </w:r>
    </w:p>
  </w:footnote>
  <w:footnote w:id="44">
    <w:p w:rsidR="00A13D47" w:rsidRPr="001172EE" w:rsidRDefault="00A13D47">
      <w:pPr>
        <w:pStyle w:val="Notedebasdepage"/>
        <w:rPr>
          <w:sz w:val="18"/>
          <w:szCs w:val="18"/>
        </w:rPr>
      </w:pPr>
      <w:r>
        <w:rPr>
          <w:rStyle w:val="Appelnotedebasdep"/>
        </w:rPr>
        <w:footnoteRef/>
      </w:r>
      <w:r>
        <w:t xml:space="preserve"> </w:t>
      </w:r>
      <w:r w:rsidRPr="00A67447">
        <w:rPr>
          <w:sz w:val="18"/>
          <w:szCs w:val="18"/>
        </w:rPr>
        <w:t>Ménages dans lesquels au mo</w:t>
      </w:r>
      <w:r>
        <w:rPr>
          <w:sz w:val="18"/>
          <w:szCs w:val="18"/>
        </w:rPr>
        <w:t>ins un membre pratique la sylviculture</w:t>
      </w:r>
    </w:p>
  </w:footnote>
  <w:footnote w:id="45">
    <w:p w:rsidR="00A13D47" w:rsidRDefault="00A13D47" w:rsidP="00F90E7A">
      <w:pPr>
        <w:pStyle w:val="Notedebasdepage"/>
      </w:pPr>
      <w:r>
        <w:rPr>
          <w:rStyle w:val="Appelnotedebasdep"/>
        </w:rPr>
        <w:footnoteRef/>
      </w:r>
      <w:r>
        <w:t xml:space="preserve"> Il s’agit de l’entraide entre ménages relative aux activités agricoles</w:t>
      </w:r>
    </w:p>
  </w:footnote>
  <w:footnote w:id="46">
    <w:p w:rsidR="00A13D47" w:rsidRPr="003465CE" w:rsidRDefault="00A13D47" w:rsidP="004B4F60">
      <w:pPr>
        <w:pStyle w:val="Notedebasdepage"/>
        <w:rPr>
          <w:sz w:val="16"/>
          <w:szCs w:val="16"/>
        </w:rPr>
      </w:pPr>
      <w:r>
        <w:rPr>
          <w:rStyle w:val="Appelnotedebasdep"/>
        </w:rPr>
        <w:footnoteRef/>
      </w:r>
      <w:r>
        <w:t xml:space="preserve"> </w:t>
      </w:r>
      <w:r w:rsidRPr="003465CE">
        <w:rPr>
          <w:sz w:val="16"/>
          <w:szCs w:val="16"/>
        </w:rPr>
        <w:t>Charrue à traction bovine</w:t>
      </w:r>
    </w:p>
  </w:footnote>
  <w:footnote w:id="47">
    <w:p w:rsidR="00A13D47" w:rsidRDefault="00A13D47">
      <w:pPr>
        <w:pStyle w:val="Notedebasdepage"/>
      </w:pPr>
      <w:r>
        <w:rPr>
          <w:rStyle w:val="Appelnotedebasdep"/>
        </w:rPr>
        <w:footnoteRef/>
      </w:r>
      <w:r>
        <w:t xml:space="preserve"> Voir annexes</w:t>
      </w:r>
    </w:p>
  </w:footnote>
  <w:footnote w:id="48">
    <w:p w:rsidR="00A13D47" w:rsidRDefault="00A13D47">
      <w:pPr>
        <w:pStyle w:val="Notedebasdepage"/>
      </w:pPr>
      <w:r>
        <w:rPr>
          <w:rStyle w:val="Appelnotedebasdep"/>
        </w:rPr>
        <w:footnoteRef/>
      </w:r>
      <w:r>
        <w:t xml:space="preserve"> Ne prend pas en compte les valeurs tirées des cultures de rente (thé, café, etc.) non estimées par cette enquête</w:t>
      </w:r>
    </w:p>
  </w:footnote>
  <w:footnote w:id="49">
    <w:p w:rsidR="00A13D47" w:rsidRPr="008F0146" w:rsidRDefault="00A13D47" w:rsidP="00BE1DF5">
      <w:pPr>
        <w:pStyle w:val="Notedebasdepage"/>
        <w:rPr>
          <w:sz w:val="16"/>
          <w:szCs w:val="16"/>
        </w:rPr>
      </w:pPr>
      <w:r w:rsidRPr="008F0146">
        <w:rPr>
          <w:rStyle w:val="Appelnotedebasdep"/>
          <w:sz w:val="16"/>
          <w:szCs w:val="16"/>
        </w:rPr>
        <w:footnoteRef/>
      </w:r>
      <w:r w:rsidRPr="008F0146">
        <w:rPr>
          <w:sz w:val="16"/>
          <w:szCs w:val="16"/>
        </w:rPr>
        <w:t xml:space="preserve"> La population agricole est définie comme étant l’ensemble des membres des ménages agricoles</w:t>
      </w:r>
    </w:p>
  </w:footnote>
  <w:footnote w:id="50">
    <w:p w:rsidR="00A13D47" w:rsidRPr="00BD450D" w:rsidRDefault="00A13D47" w:rsidP="004F4CA0">
      <w:pPr>
        <w:pStyle w:val="Notedebasdepage"/>
      </w:pPr>
      <w:r>
        <w:rPr>
          <w:rStyle w:val="Appelnotedebasdep"/>
        </w:rPr>
        <w:footnoteRef/>
      </w:r>
      <w:r>
        <w:t xml:space="preserve"> </w:t>
      </w:r>
      <w:hyperlink r:id="rId1" w:history="1">
        <w:r w:rsidRPr="00720454">
          <w:rPr>
            <w:rStyle w:val="Lienhypertexte"/>
            <w:rFonts w:ascii="StoneSans" w:hAnsi="StoneSans" w:cs="StoneSans"/>
            <w:sz w:val="17"/>
            <w:szCs w:val="17"/>
            <w:lang w:eastAsia="en-US"/>
          </w:rPr>
          <w:t>www.fao.org/docrep/x5557e/x5557e04.htm</w:t>
        </w:r>
      </w:hyperlink>
      <w:r>
        <w:rPr>
          <w:rFonts w:ascii="StoneSans" w:hAnsi="StoneSans" w:cs="StoneSans"/>
          <w:sz w:val="17"/>
          <w:szCs w:val="17"/>
          <w:lang w:eastAsia="en-US"/>
        </w:rPr>
        <w:t xml:space="preserve"> et nos propres calculs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D47" w:rsidRDefault="00DF50D8">
    <w:pPr>
      <w:pStyle w:val="En-tte"/>
      <w:framePr w:wrap="around" w:vAnchor="text" w:hAnchor="margin" w:xAlign="right" w:y="1"/>
      <w:rPr>
        <w:rStyle w:val="Numrodepage"/>
      </w:rPr>
    </w:pPr>
    <w:r>
      <w:rPr>
        <w:rStyle w:val="Numrodepage"/>
      </w:rPr>
      <w:fldChar w:fldCharType="begin"/>
    </w:r>
    <w:r w:rsidR="00A13D47">
      <w:rPr>
        <w:rStyle w:val="Numrodepage"/>
      </w:rPr>
      <w:instrText xml:space="preserve">PAGE  </w:instrText>
    </w:r>
    <w:r>
      <w:rPr>
        <w:rStyle w:val="Numrodepage"/>
      </w:rPr>
      <w:fldChar w:fldCharType="separate"/>
    </w:r>
    <w:r w:rsidR="00A13D47">
      <w:rPr>
        <w:rStyle w:val="Numrodepage"/>
        <w:noProof/>
      </w:rPr>
      <w:t>5</w:t>
    </w:r>
    <w:r>
      <w:rPr>
        <w:rStyle w:val="Numrodepage"/>
      </w:rPr>
      <w:fldChar w:fldCharType="end"/>
    </w:r>
  </w:p>
  <w:p w:rsidR="00A13D47" w:rsidRDefault="00A13D47">
    <w:pPr>
      <w:pStyle w:val="En-tte"/>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D47" w:rsidRPr="0039059C" w:rsidRDefault="00A13D47">
    <w:pPr>
      <w:pStyle w:val="En-tte"/>
      <w:framePr w:wrap="around" w:vAnchor="text" w:hAnchor="margin" w:xAlign="right" w:y="1"/>
      <w:rPr>
        <w:rStyle w:val="Numrodepage"/>
        <w:sz w:val="20"/>
        <w:szCs w:val="20"/>
      </w:rPr>
    </w:pPr>
  </w:p>
  <w:p w:rsidR="00A13D47" w:rsidRPr="0039059C" w:rsidRDefault="00A13D47" w:rsidP="00E51ED6">
    <w:pPr>
      <w:pStyle w:val="En-tte"/>
      <w:ind w:right="360"/>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D54E2"/>
    <w:multiLevelType w:val="hybridMultilevel"/>
    <w:tmpl w:val="4CDAB012"/>
    <w:lvl w:ilvl="0" w:tplc="222EB4EA">
      <w:start w:val="1"/>
      <w:numFmt w:val="bullet"/>
      <w:lvlText w:val="-"/>
      <w:lvlJc w:val="left"/>
      <w:pPr>
        <w:ind w:left="360" w:hanging="360"/>
      </w:pPr>
      <w:rPr>
        <w:rFonts w:ascii="Cambria" w:eastAsia="Calibri" w:hAnsi="Cambria" w:cs="Tahoma" w:hint="default"/>
        <w:sz w:val="24"/>
        <w:szCs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9C4D4F"/>
    <w:multiLevelType w:val="hybridMultilevel"/>
    <w:tmpl w:val="0DEA048A"/>
    <w:lvl w:ilvl="0" w:tplc="94C6012A">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374E94"/>
    <w:multiLevelType w:val="multilevel"/>
    <w:tmpl w:val="2F3677F0"/>
    <w:lvl w:ilvl="0">
      <w:start w:val="1"/>
      <w:numFmt w:val="decimal"/>
      <w:pStyle w:val="Titre1"/>
      <w:lvlText w:val="%1"/>
      <w:lvlJc w:val="left"/>
      <w:pPr>
        <w:tabs>
          <w:tab w:val="num" w:pos="432"/>
        </w:tabs>
        <w:ind w:left="432" w:hanging="432"/>
      </w:pPr>
      <w:rPr>
        <w:rFonts w:ascii="Arial" w:hAnsi="Arial" w:cs="Arial" w:hint="default"/>
      </w:rPr>
    </w:lvl>
    <w:lvl w:ilvl="1">
      <w:start w:val="1"/>
      <w:numFmt w:val="decimal"/>
      <w:pStyle w:val="Titre2"/>
      <w:lvlText w:val="%1.%2"/>
      <w:lvlJc w:val="left"/>
      <w:pPr>
        <w:tabs>
          <w:tab w:val="num" w:pos="576"/>
        </w:tabs>
        <w:ind w:left="576" w:hanging="576"/>
      </w:pPr>
      <w:rPr>
        <w:rFonts w:hint="default"/>
        <w:lang w:val="fr-BE"/>
      </w:rPr>
    </w:lvl>
    <w:lvl w:ilvl="2">
      <w:start w:val="1"/>
      <w:numFmt w:val="decimal"/>
      <w:pStyle w:val="Titre3"/>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3">
    <w:nsid w:val="172A5239"/>
    <w:multiLevelType w:val="hybridMultilevel"/>
    <w:tmpl w:val="2B6C154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26566162"/>
    <w:multiLevelType w:val="hybridMultilevel"/>
    <w:tmpl w:val="8B629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78607A"/>
    <w:multiLevelType w:val="hybridMultilevel"/>
    <w:tmpl w:val="6044AA1A"/>
    <w:lvl w:ilvl="0" w:tplc="B26EB31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B32E80"/>
    <w:multiLevelType w:val="hybridMultilevel"/>
    <w:tmpl w:val="8A7C391E"/>
    <w:lvl w:ilvl="0" w:tplc="8558F3FE">
      <w:start w:val="1"/>
      <w:numFmt w:val="bullet"/>
      <w:pStyle w:val="Style1"/>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77A4E75"/>
    <w:multiLevelType w:val="multilevel"/>
    <w:tmpl w:val="E76A79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4CCB4E16"/>
    <w:multiLevelType w:val="hybridMultilevel"/>
    <w:tmpl w:val="DC9CDC40"/>
    <w:lvl w:ilvl="0" w:tplc="04090001">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8D109E7"/>
    <w:multiLevelType w:val="hybridMultilevel"/>
    <w:tmpl w:val="3C3E6622"/>
    <w:lvl w:ilvl="0" w:tplc="8702B8B4">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C421AAE"/>
    <w:multiLevelType w:val="hybridMultilevel"/>
    <w:tmpl w:val="5562EB44"/>
    <w:lvl w:ilvl="0" w:tplc="222EB4EA">
      <w:start w:val="1"/>
      <w:numFmt w:val="bullet"/>
      <w:lvlText w:val="-"/>
      <w:lvlJc w:val="left"/>
      <w:pPr>
        <w:ind w:left="720" w:hanging="360"/>
      </w:pPr>
      <w:rPr>
        <w:rFonts w:ascii="Cambria" w:eastAsia="Calibri" w:hAnsi="Cambria" w:cs="Tahoma"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461476"/>
    <w:multiLevelType w:val="multilevel"/>
    <w:tmpl w:val="298C698E"/>
    <w:lvl w:ilvl="0">
      <w:start w:val="1"/>
      <w:numFmt w:val="decimal"/>
      <w:pStyle w:val="Tit1"/>
      <w:lvlText w:val="%1"/>
      <w:lvlJc w:val="left"/>
      <w:pPr>
        <w:tabs>
          <w:tab w:val="num" w:pos="432"/>
        </w:tabs>
        <w:ind w:left="432" w:hanging="432"/>
      </w:pPr>
      <w:rPr>
        <w:rFonts w:hint="default"/>
      </w:rPr>
    </w:lvl>
    <w:lvl w:ilvl="1">
      <w:start w:val="1"/>
      <w:numFmt w:val="decimal"/>
      <w:pStyle w:val="Tit2"/>
      <w:lvlText w:val="%1.%2"/>
      <w:lvlJc w:val="left"/>
      <w:pPr>
        <w:tabs>
          <w:tab w:val="num" w:pos="576"/>
        </w:tabs>
        <w:ind w:left="576" w:hanging="576"/>
      </w:pPr>
      <w:rPr>
        <w:rFonts w:hint="default"/>
      </w:rPr>
    </w:lvl>
    <w:lvl w:ilvl="2">
      <w:start w:val="1"/>
      <w:numFmt w:val="decimal"/>
      <w:pStyle w:val="Tit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665D38A9"/>
    <w:multiLevelType w:val="hybridMultilevel"/>
    <w:tmpl w:val="F7E4A9C8"/>
    <w:lvl w:ilvl="0" w:tplc="4F2CDCC2">
      <w:start w:val="1"/>
      <w:numFmt w:val="bullet"/>
      <w:lvlText w:val=""/>
      <w:lvlJc w:val="left"/>
      <w:pPr>
        <w:tabs>
          <w:tab w:val="num" w:pos="720"/>
        </w:tabs>
        <w:ind w:left="720" w:hanging="360"/>
      </w:pPr>
      <w:rPr>
        <w:rFonts w:ascii="Symbol" w:hAnsi="Symbol" w:hint="default"/>
      </w:rPr>
    </w:lvl>
    <w:lvl w:ilvl="1" w:tplc="830A9AE2" w:tentative="1">
      <w:start w:val="1"/>
      <w:numFmt w:val="bullet"/>
      <w:lvlText w:val="o"/>
      <w:lvlJc w:val="left"/>
      <w:pPr>
        <w:tabs>
          <w:tab w:val="num" w:pos="1440"/>
        </w:tabs>
        <w:ind w:left="1440" w:hanging="360"/>
      </w:pPr>
      <w:rPr>
        <w:rFonts w:ascii="Courier New" w:hAnsi="Courier New" w:hint="default"/>
      </w:rPr>
    </w:lvl>
    <w:lvl w:ilvl="2" w:tplc="6AA81C84" w:tentative="1">
      <w:start w:val="1"/>
      <w:numFmt w:val="bullet"/>
      <w:lvlText w:val=""/>
      <w:lvlJc w:val="left"/>
      <w:pPr>
        <w:tabs>
          <w:tab w:val="num" w:pos="2160"/>
        </w:tabs>
        <w:ind w:left="2160" w:hanging="360"/>
      </w:pPr>
      <w:rPr>
        <w:rFonts w:ascii="Wingdings" w:hAnsi="Wingdings" w:hint="default"/>
      </w:rPr>
    </w:lvl>
    <w:lvl w:ilvl="3" w:tplc="5B789A7A" w:tentative="1">
      <w:start w:val="1"/>
      <w:numFmt w:val="bullet"/>
      <w:lvlText w:val=""/>
      <w:lvlJc w:val="left"/>
      <w:pPr>
        <w:tabs>
          <w:tab w:val="num" w:pos="2880"/>
        </w:tabs>
        <w:ind w:left="2880" w:hanging="360"/>
      </w:pPr>
      <w:rPr>
        <w:rFonts w:ascii="Symbol" w:hAnsi="Symbol" w:hint="default"/>
      </w:rPr>
    </w:lvl>
    <w:lvl w:ilvl="4" w:tplc="E7265D48" w:tentative="1">
      <w:start w:val="1"/>
      <w:numFmt w:val="bullet"/>
      <w:lvlText w:val="o"/>
      <w:lvlJc w:val="left"/>
      <w:pPr>
        <w:tabs>
          <w:tab w:val="num" w:pos="3600"/>
        </w:tabs>
        <w:ind w:left="3600" w:hanging="360"/>
      </w:pPr>
      <w:rPr>
        <w:rFonts w:ascii="Courier New" w:hAnsi="Courier New" w:hint="default"/>
      </w:rPr>
    </w:lvl>
    <w:lvl w:ilvl="5" w:tplc="2356F74A" w:tentative="1">
      <w:start w:val="1"/>
      <w:numFmt w:val="bullet"/>
      <w:lvlText w:val=""/>
      <w:lvlJc w:val="left"/>
      <w:pPr>
        <w:tabs>
          <w:tab w:val="num" w:pos="4320"/>
        </w:tabs>
        <w:ind w:left="4320" w:hanging="360"/>
      </w:pPr>
      <w:rPr>
        <w:rFonts w:ascii="Wingdings" w:hAnsi="Wingdings" w:hint="default"/>
      </w:rPr>
    </w:lvl>
    <w:lvl w:ilvl="6" w:tplc="68B208CA" w:tentative="1">
      <w:start w:val="1"/>
      <w:numFmt w:val="bullet"/>
      <w:lvlText w:val=""/>
      <w:lvlJc w:val="left"/>
      <w:pPr>
        <w:tabs>
          <w:tab w:val="num" w:pos="5040"/>
        </w:tabs>
        <w:ind w:left="5040" w:hanging="360"/>
      </w:pPr>
      <w:rPr>
        <w:rFonts w:ascii="Symbol" w:hAnsi="Symbol" w:hint="default"/>
      </w:rPr>
    </w:lvl>
    <w:lvl w:ilvl="7" w:tplc="82520BA2" w:tentative="1">
      <w:start w:val="1"/>
      <w:numFmt w:val="bullet"/>
      <w:lvlText w:val="o"/>
      <w:lvlJc w:val="left"/>
      <w:pPr>
        <w:tabs>
          <w:tab w:val="num" w:pos="5760"/>
        </w:tabs>
        <w:ind w:left="5760" w:hanging="360"/>
      </w:pPr>
      <w:rPr>
        <w:rFonts w:ascii="Courier New" w:hAnsi="Courier New" w:hint="default"/>
      </w:rPr>
    </w:lvl>
    <w:lvl w:ilvl="8" w:tplc="9A4A92B4" w:tentative="1">
      <w:start w:val="1"/>
      <w:numFmt w:val="bullet"/>
      <w:lvlText w:val=""/>
      <w:lvlJc w:val="left"/>
      <w:pPr>
        <w:tabs>
          <w:tab w:val="num" w:pos="6480"/>
        </w:tabs>
        <w:ind w:left="6480" w:hanging="360"/>
      </w:pPr>
      <w:rPr>
        <w:rFonts w:ascii="Wingdings" w:hAnsi="Wingdings" w:hint="default"/>
      </w:rPr>
    </w:lvl>
  </w:abstractNum>
  <w:abstractNum w:abstractNumId="13">
    <w:nsid w:val="680F4914"/>
    <w:multiLevelType w:val="multilevel"/>
    <w:tmpl w:val="E76A79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6E910DD5"/>
    <w:multiLevelType w:val="hybridMultilevel"/>
    <w:tmpl w:val="5E1CF3D4"/>
    <w:lvl w:ilvl="0" w:tplc="825A508C">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B8C0316"/>
    <w:multiLevelType w:val="hybridMultilevel"/>
    <w:tmpl w:val="16A8767E"/>
    <w:lvl w:ilvl="0" w:tplc="2C5C1984">
      <w:start w:val="1"/>
      <w:numFmt w:val="decimal"/>
      <w:pStyle w:val="retrait1"/>
      <w:lvlText w:val="%1."/>
      <w:lvlJc w:val="left"/>
      <w:pPr>
        <w:tabs>
          <w:tab w:val="num" w:pos="365"/>
        </w:tabs>
        <w:ind w:left="289" w:hanging="284"/>
      </w:pPr>
      <w:rPr>
        <w:rFonts w:ascii="Times New Roman" w:eastAsia="Times New Roman" w:hAnsi="Times New Roman"/>
      </w:rPr>
    </w:lvl>
    <w:lvl w:ilvl="1" w:tplc="040C0003">
      <w:start w:val="1"/>
      <w:numFmt w:val="bullet"/>
      <w:lvlText w:val=""/>
      <w:lvlJc w:val="left"/>
      <w:pPr>
        <w:tabs>
          <w:tab w:val="num" w:pos="878"/>
        </w:tabs>
        <w:ind w:left="802" w:hanging="284"/>
      </w:pPr>
      <w:rPr>
        <w:rFonts w:ascii="Symbol" w:hAnsi="Symbol" w:cs="Symbol" w:hint="default"/>
      </w:rPr>
    </w:lvl>
    <w:lvl w:ilvl="2" w:tplc="040C0005">
      <w:start w:val="1"/>
      <w:numFmt w:val="bullet"/>
      <w:lvlText w:val=""/>
      <w:lvlJc w:val="left"/>
      <w:pPr>
        <w:tabs>
          <w:tab w:val="num" w:pos="1598"/>
        </w:tabs>
        <w:ind w:left="1598" w:hanging="360"/>
      </w:pPr>
      <w:rPr>
        <w:rFonts w:ascii="Symbol" w:hAnsi="Symbol" w:cs="Symbol" w:hint="default"/>
      </w:rPr>
    </w:lvl>
    <w:lvl w:ilvl="3" w:tplc="040C0001">
      <w:start w:val="1"/>
      <w:numFmt w:val="bullet"/>
      <w:lvlText w:val=""/>
      <w:lvlJc w:val="left"/>
      <w:pPr>
        <w:tabs>
          <w:tab w:val="num" w:pos="2318"/>
        </w:tabs>
        <w:ind w:left="2318" w:hanging="360"/>
      </w:pPr>
      <w:rPr>
        <w:rFonts w:ascii="Symbol" w:hAnsi="Symbol" w:cs="Symbol" w:hint="default"/>
      </w:rPr>
    </w:lvl>
    <w:lvl w:ilvl="4" w:tplc="040C0003">
      <w:start w:val="1"/>
      <w:numFmt w:val="bullet"/>
      <w:lvlText w:val="o"/>
      <w:lvlJc w:val="left"/>
      <w:pPr>
        <w:tabs>
          <w:tab w:val="num" w:pos="3038"/>
        </w:tabs>
        <w:ind w:left="3038" w:hanging="360"/>
      </w:pPr>
      <w:rPr>
        <w:rFonts w:ascii="Courier New" w:hAnsi="Courier New" w:cs="Courier New" w:hint="default"/>
      </w:rPr>
    </w:lvl>
    <w:lvl w:ilvl="5" w:tplc="040C0005">
      <w:start w:val="1"/>
      <w:numFmt w:val="bullet"/>
      <w:lvlText w:val=""/>
      <w:lvlJc w:val="left"/>
      <w:pPr>
        <w:tabs>
          <w:tab w:val="num" w:pos="3758"/>
        </w:tabs>
        <w:ind w:left="3758" w:hanging="360"/>
      </w:pPr>
      <w:rPr>
        <w:rFonts w:ascii="Wingdings" w:hAnsi="Wingdings" w:cs="Wingdings" w:hint="default"/>
      </w:rPr>
    </w:lvl>
    <w:lvl w:ilvl="6" w:tplc="040C0001">
      <w:start w:val="1"/>
      <w:numFmt w:val="bullet"/>
      <w:lvlText w:val=""/>
      <w:lvlJc w:val="left"/>
      <w:pPr>
        <w:tabs>
          <w:tab w:val="num" w:pos="4478"/>
        </w:tabs>
        <w:ind w:left="4478" w:hanging="360"/>
      </w:pPr>
      <w:rPr>
        <w:rFonts w:ascii="Symbol" w:hAnsi="Symbol" w:cs="Symbol" w:hint="default"/>
      </w:rPr>
    </w:lvl>
    <w:lvl w:ilvl="7" w:tplc="040C0003">
      <w:start w:val="1"/>
      <w:numFmt w:val="bullet"/>
      <w:lvlText w:val="o"/>
      <w:lvlJc w:val="left"/>
      <w:pPr>
        <w:tabs>
          <w:tab w:val="num" w:pos="5198"/>
        </w:tabs>
        <w:ind w:left="5198" w:hanging="360"/>
      </w:pPr>
      <w:rPr>
        <w:rFonts w:ascii="Courier New" w:hAnsi="Courier New" w:cs="Courier New" w:hint="default"/>
      </w:rPr>
    </w:lvl>
    <w:lvl w:ilvl="8" w:tplc="040C0005">
      <w:start w:val="1"/>
      <w:numFmt w:val="bullet"/>
      <w:lvlText w:val=""/>
      <w:lvlJc w:val="left"/>
      <w:pPr>
        <w:tabs>
          <w:tab w:val="num" w:pos="5918"/>
        </w:tabs>
        <w:ind w:left="5918" w:hanging="360"/>
      </w:pPr>
      <w:rPr>
        <w:rFonts w:ascii="Wingdings" w:hAnsi="Wingdings" w:cs="Wingdings" w:hint="default"/>
      </w:rPr>
    </w:lvl>
  </w:abstractNum>
  <w:num w:numId="1">
    <w:abstractNumId w:val="7"/>
  </w:num>
  <w:num w:numId="2">
    <w:abstractNumId w:val="15"/>
  </w:num>
  <w:num w:numId="3">
    <w:abstractNumId w:val="2"/>
  </w:num>
  <w:num w:numId="4">
    <w:abstractNumId w:val="6"/>
  </w:num>
  <w:num w:numId="5">
    <w:abstractNumId w:val="8"/>
  </w:num>
  <w:num w:numId="6">
    <w:abstractNumId w:val="4"/>
  </w:num>
  <w:num w:numId="7">
    <w:abstractNumId w:val="14"/>
  </w:num>
  <w:num w:numId="8">
    <w:abstractNumId w:val="0"/>
  </w:num>
  <w:num w:numId="9">
    <w:abstractNumId w:val="3"/>
  </w:num>
  <w:num w:numId="10">
    <w:abstractNumId w:val="12"/>
  </w:num>
  <w:num w:numId="11">
    <w:abstractNumId w:val="11"/>
  </w:num>
  <w:num w:numId="12">
    <w:abstractNumId w:val="13"/>
  </w:num>
  <w:num w:numId="13">
    <w:abstractNumId w:val="10"/>
  </w:num>
  <w:num w:numId="14">
    <w:abstractNumId w:val="5"/>
  </w:num>
  <w:num w:numId="15">
    <w:abstractNumId w:val="1"/>
  </w:num>
  <w:num w:numId="16">
    <w:abstractNumId w:val="2"/>
  </w:num>
  <w:num w:numId="17">
    <w:abstractNumId w:val="2"/>
  </w:num>
  <w:num w:numId="18">
    <w:abstractNumId w:val="9"/>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B45850"/>
    <w:rsid w:val="00002803"/>
    <w:rsid w:val="000031AF"/>
    <w:rsid w:val="0000381E"/>
    <w:rsid w:val="0000399D"/>
    <w:rsid w:val="00003BF5"/>
    <w:rsid w:val="00004F4F"/>
    <w:rsid w:val="000058B4"/>
    <w:rsid w:val="000079F6"/>
    <w:rsid w:val="000105C3"/>
    <w:rsid w:val="000106F6"/>
    <w:rsid w:val="00012150"/>
    <w:rsid w:val="00012326"/>
    <w:rsid w:val="000123BC"/>
    <w:rsid w:val="00012465"/>
    <w:rsid w:val="0001731D"/>
    <w:rsid w:val="0001775F"/>
    <w:rsid w:val="000210DA"/>
    <w:rsid w:val="0002180B"/>
    <w:rsid w:val="000229E7"/>
    <w:rsid w:val="000272C9"/>
    <w:rsid w:val="00027BD9"/>
    <w:rsid w:val="00032631"/>
    <w:rsid w:val="000327E4"/>
    <w:rsid w:val="000328FD"/>
    <w:rsid w:val="000339EE"/>
    <w:rsid w:val="0003501D"/>
    <w:rsid w:val="000354B8"/>
    <w:rsid w:val="00036011"/>
    <w:rsid w:val="000360B9"/>
    <w:rsid w:val="00037077"/>
    <w:rsid w:val="0003773D"/>
    <w:rsid w:val="00037A65"/>
    <w:rsid w:val="00043E8F"/>
    <w:rsid w:val="00044930"/>
    <w:rsid w:val="000458A4"/>
    <w:rsid w:val="00045A81"/>
    <w:rsid w:val="000460B9"/>
    <w:rsid w:val="000463C6"/>
    <w:rsid w:val="00051A35"/>
    <w:rsid w:val="00052921"/>
    <w:rsid w:val="00053232"/>
    <w:rsid w:val="000552AE"/>
    <w:rsid w:val="0005649C"/>
    <w:rsid w:val="00057953"/>
    <w:rsid w:val="0006002C"/>
    <w:rsid w:val="0006063D"/>
    <w:rsid w:val="000625F6"/>
    <w:rsid w:val="00062B7C"/>
    <w:rsid w:val="000632F0"/>
    <w:rsid w:val="00063E5A"/>
    <w:rsid w:val="00064CD6"/>
    <w:rsid w:val="000658A9"/>
    <w:rsid w:val="000667EE"/>
    <w:rsid w:val="00066812"/>
    <w:rsid w:val="0006712D"/>
    <w:rsid w:val="0007059B"/>
    <w:rsid w:val="0007119C"/>
    <w:rsid w:val="00072631"/>
    <w:rsid w:val="0007520E"/>
    <w:rsid w:val="00075EFA"/>
    <w:rsid w:val="00076F9C"/>
    <w:rsid w:val="00080F31"/>
    <w:rsid w:val="000823FD"/>
    <w:rsid w:val="00083348"/>
    <w:rsid w:val="00084B63"/>
    <w:rsid w:val="000870F8"/>
    <w:rsid w:val="00090732"/>
    <w:rsid w:val="00090B8D"/>
    <w:rsid w:val="00091454"/>
    <w:rsid w:val="00091F23"/>
    <w:rsid w:val="000A06E8"/>
    <w:rsid w:val="000A16E6"/>
    <w:rsid w:val="000A1B53"/>
    <w:rsid w:val="000A3F7B"/>
    <w:rsid w:val="000A5A68"/>
    <w:rsid w:val="000A5E34"/>
    <w:rsid w:val="000A6206"/>
    <w:rsid w:val="000A65F6"/>
    <w:rsid w:val="000A6A82"/>
    <w:rsid w:val="000A6FF6"/>
    <w:rsid w:val="000B160F"/>
    <w:rsid w:val="000B264D"/>
    <w:rsid w:val="000B50B8"/>
    <w:rsid w:val="000B5134"/>
    <w:rsid w:val="000B7797"/>
    <w:rsid w:val="000C0EA3"/>
    <w:rsid w:val="000C14EB"/>
    <w:rsid w:val="000C1F8B"/>
    <w:rsid w:val="000C246D"/>
    <w:rsid w:val="000C47D5"/>
    <w:rsid w:val="000C5145"/>
    <w:rsid w:val="000C607E"/>
    <w:rsid w:val="000C7027"/>
    <w:rsid w:val="000C714D"/>
    <w:rsid w:val="000C78E0"/>
    <w:rsid w:val="000D157D"/>
    <w:rsid w:val="000D1D97"/>
    <w:rsid w:val="000D4CBF"/>
    <w:rsid w:val="000D58AD"/>
    <w:rsid w:val="000D5B66"/>
    <w:rsid w:val="000D5D78"/>
    <w:rsid w:val="000E0844"/>
    <w:rsid w:val="000E168B"/>
    <w:rsid w:val="000E1F3F"/>
    <w:rsid w:val="000E33F4"/>
    <w:rsid w:val="000E34AA"/>
    <w:rsid w:val="000E3903"/>
    <w:rsid w:val="000E3D2C"/>
    <w:rsid w:val="000F02C1"/>
    <w:rsid w:val="000F0D18"/>
    <w:rsid w:val="000F18F2"/>
    <w:rsid w:val="000F1AEF"/>
    <w:rsid w:val="000F1D9C"/>
    <w:rsid w:val="000F2596"/>
    <w:rsid w:val="000F28E5"/>
    <w:rsid w:val="000F2AF1"/>
    <w:rsid w:val="000F4054"/>
    <w:rsid w:val="000F4A59"/>
    <w:rsid w:val="000F604C"/>
    <w:rsid w:val="000F68D2"/>
    <w:rsid w:val="000F786D"/>
    <w:rsid w:val="00100228"/>
    <w:rsid w:val="00102483"/>
    <w:rsid w:val="001025B7"/>
    <w:rsid w:val="001025E0"/>
    <w:rsid w:val="00102CE7"/>
    <w:rsid w:val="001059CD"/>
    <w:rsid w:val="00105C65"/>
    <w:rsid w:val="00105E2E"/>
    <w:rsid w:val="00106967"/>
    <w:rsid w:val="001078BF"/>
    <w:rsid w:val="00107A27"/>
    <w:rsid w:val="00110C9D"/>
    <w:rsid w:val="00112427"/>
    <w:rsid w:val="00112D15"/>
    <w:rsid w:val="00112D22"/>
    <w:rsid w:val="00116274"/>
    <w:rsid w:val="001172EE"/>
    <w:rsid w:val="00117630"/>
    <w:rsid w:val="001200E0"/>
    <w:rsid w:val="001210EE"/>
    <w:rsid w:val="0012234C"/>
    <w:rsid w:val="00123DE4"/>
    <w:rsid w:val="00124447"/>
    <w:rsid w:val="00125047"/>
    <w:rsid w:val="0012522A"/>
    <w:rsid w:val="0012595D"/>
    <w:rsid w:val="00125A22"/>
    <w:rsid w:val="00126161"/>
    <w:rsid w:val="00127189"/>
    <w:rsid w:val="0012748F"/>
    <w:rsid w:val="001302A9"/>
    <w:rsid w:val="001320E1"/>
    <w:rsid w:val="00134A5A"/>
    <w:rsid w:val="0013557E"/>
    <w:rsid w:val="001362FC"/>
    <w:rsid w:val="0013654E"/>
    <w:rsid w:val="00140059"/>
    <w:rsid w:val="001415ED"/>
    <w:rsid w:val="00142B80"/>
    <w:rsid w:val="00142BCA"/>
    <w:rsid w:val="00143ACF"/>
    <w:rsid w:val="00145A77"/>
    <w:rsid w:val="0014676E"/>
    <w:rsid w:val="00150642"/>
    <w:rsid w:val="001508A2"/>
    <w:rsid w:val="00151147"/>
    <w:rsid w:val="00151CBB"/>
    <w:rsid w:val="00151E76"/>
    <w:rsid w:val="001533FF"/>
    <w:rsid w:val="001537AA"/>
    <w:rsid w:val="00153A7A"/>
    <w:rsid w:val="00153E38"/>
    <w:rsid w:val="00154640"/>
    <w:rsid w:val="0015672C"/>
    <w:rsid w:val="001575E0"/>
    <w:rsid w:val="00160176"/>
    <w:rsid w:val="00160775"/>
    <w:rsid w:val="001612CE"/>
    <w:rsid w:val="001628F8"/>
    <w:rsid w:val="001670C8"/>
    <w:rsid w:val="001674E5"/>
    <w:rsid w:val="00170B2C"/>
    <w:rsid w:val="00171487"/>
    <w:rsid w:val="00173D28"/>
    <w:rsid w:val="00174239"/>
    <w:rsid w:val="00174E37"/>
    <w:rsid w:val="00176253"/>
    <w:rsid w:val="00177C43"/>
    <w:rsid w:val="00180680"/>
    <w:rsid w:val="00180E4A"/>
    <w:rsid w:val="00181485"/>
    <w:rsid w:val="001817DB"/>
    <w:rsid w:val="00181AF6"/>
    <w:rsid w:val="00182933"/>
    <w:rsid w:val="00182EEE"/>
    <w:rsid w:val="00187348"/>
    <w:rsid w:val="00193823"/>
    <w:rsid w:val="00194C6E"/>
    <w:rsid w:val="001965A4"/>
    <w:rsid w:val="00196705"/>
    <w:rsid w:val="00196A2D"/>
    <w:rsid w:val="00197AB2"/>
    <w:rsid w:val="00197D95"/>
    <w:rsid w:val="001A12CA"/>
    <w:rsid w:val="001A35AC"/>
    <w:rsid w:val="001A3AEF"/>
    <w:rsid w:val="001A405D"/>
    <w:rsid w:val="001A4220"/>
    <w:rsid w:val="001A5692"/>
    <w:rsid w:val="001A56B0"/>
    <w:rsid w:val="001B0635"/>
    <w:rsid w:val="001B076C"/>
    <w:rsid w:val="001B0A95"/>
    <w:rsid w:val="001C2B78"/>
    <w:rsid w:val="001C3387"/>
    <w:rsid w:val="001C44B3"/>
    <w:rsid w:val="001C47B7"/>
    <w:rsid w:val="001C5639"/>
    <w:rsid w:val="001C5F10"/>
    <w:rsid w:val="001C637F"/>
    <w:rsid w:val="001C690B"/>
    <w:rsid w:val="001C6913"/>
    <w:rsid w:val="001D0491"/>
    <w:rsid w:val="001D13D7"/>
    <w:rsid w:val="001D2115"/>
    <w:rsid w:val="001D24EF"/>
    <w:rsid w:val="001D2BC6"/>
    <w:rsid w:val="001D3008"/>
    <w:rsid w:val="001D4807"/>
    <w:rsid w:val="001D5E46"/>
    <w:rsid w:val="001D6DAC"/>
    <w:rsid w:val="001D765C"/>
    <w:rsid w:val="001E04D0"/>
    <w:rsid w:val="001E0B18"/>
    <w:rsid w:val="001E0FE0"/>
    <w:rsid w:val="001E2040"/>
    <w:rsid w:val="001E4435"/>
    <w:rsid w:val="001E58DA"/>
    <w:rsid w:val="001E68E7"/>
    <w:rsid w:val="001F238D"/>
    <w:rsid w:val="001F2B93"/>
    <w:rsid w:val="001F2C2A"/>
    <w:rsid w:val="001F543B"/>
    <w:rsid w:val="001F5523"/>
    <w:rsid w:val="001F6A01"/>
    <w:rsid w:val="00200BE5"/>
    <w:rsid w:val="00202010"/>
    <w:rsid w:val="00202059"/>
    <w:rsid w:val="00203C7C"/>
    <w:rsid w:val="00204369"/>
    <w:rsid w:val="002053E5"/>
    <w:rsid w:val="002060E9"/>
    <w:rsid w:val="002105A2"/>
    <w:rsid w:val="00210A15"/>
    <w:rsid w:val="00211A2F"/>
    <w:rsid w:val="0021238D"/>
    <w:rsid w:val="00212F37"/>
    <w:rsid w:val="0021384D"/>
    <w:rsid w:val="00215ACB"/>
    <w:rsid w:val="002166F2"/>
    <w:rsid w:val="0022020F"/>
    <w:rsid w:val="002214E3"/>
    <w:rsid w:val="002221F7"/>
    <w:rsid w:val="00222DDE"/>
    <w:rsid w:val="00223BFA"/>
    <w:rsid w:val="00224255"/>
    <w:rsid w:val="00225627"/>
    <w:rsid w:val="00227ABC"/>
    <w:rsid w:val="00231614"/>
    <w:rsid w:val="00231A14"/>
    <w:rsid w:val="002327AE"/>
    <w:rsid w:val="00233971"/>
    <w:rsid w:val="0023440D"/>
    <w:rsid w:val="00234A7C"/>
    <w:rsid w:val="00235833"/>
    <w:rsid w:val="00236A90"/>
    <w:rsid w:val="0023778A"/>
    <w:rsid w:val="002420B1"/>
    <w:rsid w:val="00243F29"/>
    <w:rsid w:val="00244D3D"/>
    <w:rsid w:val="00246455"/>
    <w:rsid w:val="00246A4F"/>
    <w:rsid w:val="00250798"/>
    <w:rsid w:val="00253395"/>
    <w:rsid w:val="00253E12"/>
    <w:rsid w:val="00255770"/>
    <w:rsid w:val="0025602E"/>
    <w:rsid w:val="00256328"/>
    <w:rsid w:val="00257C61"/>
    <w:rsid w:val="00260753"/>
    <w:rsid w:val="00260A34"/>
    <w:rsid w:val="00260A88"/>
    <w:rsid w:val="00261329"/>
    <w:rsid w:val="002618FF"/>
    <w:rsid w:val="00261AC2"/>
    <w:rsid w:val="00263B39"/>
    <w:rsid w:val="002650F8"/>
    <w:rsid w:val="002660B4"/>
    <w:rsid w:val="002703C5"/>
    <w:rsid w:val="002705F1"/>
    <w:rsid w:val="00272AAA"/>
    <w:rsid w:val="002769E3"/>
    <w:rsid w:val="00276DCE"/>
    <w:rsid w:val="00276DFA"/>
    <w:rsid w:val="002777B2"/>
    <w:rsid w:val="00277E4B"/>
    <w:rsid w:val="002816AC"/>
    <w:rsid w:val="00282635"/>
    <w:rsid w:val="0028381F"/>
    <w:rsid w:val="002848D9"/>
    <w:rsid w:val="002852C0"/>
    <w:rsid w:val="00285366"/>
    <w:rsid w:val="00285D99"/>
    <w:rsid w:val="00286097"/>
    <w:rsid w:val="00287781"/>
    <w:rsid w:val="002902BC"/>
    <w:rsid w:val="0029136C"/>
    <w:rsid w:val="002921CE"/>
    <w:rsid w:val="00292573"/>
    <w:rsid w:val="002930BE"/>
    <w:rsid w:val="00293694"/>
    <w:rsid w:val="002957CD"/>
    <w:rsid w:val="00295C83"/>
    <w:rsid w:val="00296601"/>
    <w:rsid w:val="00296849"/>
    <w:rsid w:val="002A0073"/>
    <w:rsid w:val="002A234E"/>
    <w:rsid w:val="002A5DF1"/>
    <w:rsid w:val="002B038E"/>
    <w:rsid w:val="002B03F3"/>
    <w:rsid w:val="002B0927"/>
    <w:rsid w:val="002B0CE7"/>
    <w:rsid w:val="002B18D0"/>
    <w:rsid w:val="002B1FC7"/>
    <w:rsid w:val="002B2638"/>
    <w:rsid w:val="002B2991"/>
    <w:rsid w:val="002B348E"/>
    <w:rsid w:val="002B3AE0"/>
    <w:rsid w:val="002B5893"/>
    <w:rsid w:val="002B67D6"/>
    <w:rsid w:val="002B75A6"/>
    <w:rsid w:val="002C0A07"/>
    <w:rsid w:val="002C2129"/>
    <w:rsid w:val="002C49DF"/>
    <w:rsid w:val="002C4CCD"/>
    <w:rsid w:val="002C54A7"/>
    <w:rsid w:val="002C553F"/>
    <w:rsid w:val="002C66E5"/>
    <w:rsid w:val="002D1214"/>
    <w:rsid w:val="002D2AA8"/>
    <w:rsid w:val="002D4C1F"/>
    <w:rsid w:val="002D4EFE"/>
    <w:rsid w:val="002D6126"/>
    <w:rsid w:val="002D7495"/>
    <w:rsid w:val="002E122C"/>
    <w:rsid w:val="002E1E44"/>
    <w:rsid w:val="002E20CA"/>
    <w:rsid w:val="002E298B"/>
    <w:rsid w:val="002E2993"/>
    <w:rsid w:val="002E2C5E"/>
    <w:rsid w:val="002E3242"/>
    <w:rsid w:val="002E4BDB"/>
    <w:rsid w:val="002E5A07"/>
    <w:rsid w:val="002E6A15"/>
    <w:rsid w:val="002E6F77"/>
    <w:rsid w:val="002E76B4"/>
    <w:rsid w:val="002E7AA4"/>
    <w:rsid w:val="002E7D98"/>
    <w:rsid w:val="002F008F"/>
    <w:rsid w:val="002F2A88"/>
    <w:rsid w:val="002F2B4F"/>
    <w:rsid w:val="002F315B"/>
    <w:rsid w:val="002F51C0"/>
    <w:rsid w:val="002F6802"/>
    <w:rsid w:val="00300162"/>
    <w:rsid w:val="003008DA"/>
    <w:rsid w:val="00300D81"/>
    <w:rsid w:val="003018C8"/>
    <w:rsid w:val="003026EC"/>
    <w:rsid w:val="00302B14"/>
    <w:rsid w:val="00303F20"/>
    <w:rsid w:val="00304224"/>
    <w:rsid w:val="00304FC3"/>
    <w:rsid w:val="0030797A"/>
    <w:rsid w:val="00307A05"/>
    <w:rsid w:val="00310A30"/>
    <w:rsid w:val="00315BC9"/>
    <w:rsid w:val="00315E45"/>
    <w:rsid w:val="00316CF9"/>
    <w:rsid w:val="003202A3"/>
    <w:rsid w:val="003209D0"/>
    <w:rsid w:val="00320D68"/>
    <w:rsid w:val="00321139"/>
    <w:rsid w:val="003223C3"/>
    <w:rsid w:val="00322758"/>
    <w:rsid w:val="00322786"/>
    <w:rsid w:val="00322976"/>
    <w:rsid w:val="00322AFE"/>
    <w:rsid w:val="00325E21"/>
    <w:rsid w:val="0032608C"/>
    <w:rsid w:val="003272BB"/>
    <w:rsid w:val="0033113E"/>
    <w:rsid w:val="003332AA"/>
    <w:rsid w:val="00334E66"/>
    <w:rsid w:val="00334F75"/>
    <w:rsid w:val="00337437"/>
    <w:rsid w:val="0033784C"/>
    <w:rsid w:val="00341EEC"/>
    <w:rsid w:val="003424F2"/>
    <w:rsid w:val="00343174"/>
    <w:rsid w:val="00343A8B"/>
    <w:rsid w:val="00343EF1"/>
    <w:rsid w:val="00350C67"/>
    <w:rsid w:val="00350E3C"/>
    <w:rsid w:val="003514C6"/>
    <w:rsid w:val="00351BBB"/>
    <w:rsid w:val="003524EC"/>
    <w:rsid w:val="003527B4"/>
    <w:rsid w:val="00354D64"/>
    <w:rsid w:val="00355645"/>
    <w:rsid w:val="00355B62"/>
    <w:rsid w:val="00362F96"/>
    <w:rsid w:val="0036431C"/>
    <w:rsid w:val="00364790"/>
    <w:rsid w:val="00365126"/>
    <w:rsid w:val="00365CC9"/>
    <w:rsid w:val="00366FA0"/>
    <w:rsid w:val="00366FB9"/>
    <w:rsid w:val="00367774"/>
    <w:rsid w:val="0037055A"/>
    <w:rsid w:val="003720CA"/>
    <w:rsid w:val="00373842"/>
    <w:rsid w:val="00375E64"/>
    <w:rsid w:val="00376276"/>
    <w:rsid w:val="003767EC"/>
    <w:rsid w:val="00376AC7"/>
    <w:rsid w:val="003770B9"/>
    <w:rsid w:val="00377731"/>
    <w:rsid w:val="00377B49"/>
    <w:rsid w:val="00380FD3"/>
    <w:rsid w:val="00383FF4"/>
    <w:rsid w:val="00383FF6"/>
    <w:rsid w:val="00384220"/>
    <w:rsid w:val="00384BE7"/>
    <w:rsid w:val="00385245"/>
    <w:rsid w:val="003861DB"/>
    <w:rsid w:val="003873DB"/>
    <w:rsid w:val="00387805"/>
    <w:rsid w:val="00387C71"/>
    <w:rsid w:val="0039027B"/>
    <w:rsid w:val="003903FA"/>
    <w:rsid w:val="0039155C"/>
    <w:rsid w:val="0039185B"/>
    <w:rsid w:val="00392FFE"/>
    <w:rsid w:val="003942EF"/>
    <w:rsid w:val="003946AA"/>
    <w:rsid w:val="00395B0E"/>
    <w:rsid w:val="0039649B"/>
    <w:rsid w:val="00396C5E"/>
    <w:rsid w:val="003A0EB5"/>
    <w:rsid w:val="003A2E0F"/>
    <w:rsid w:val="003A3AF7"/>
    <w:rsid w:val="003A3B22"/>
    <w:rsid w:val="003A716D"/>
    <w:rsid w:val="003B0F80"/>
    <w:rsid w:val="003B1368"/>
    <w:rsid w:val="003B3334"/>
    <w:rsid w:val="003B3BC7"/>
    <w:rsid w:val="003B42B8"/>
    <w:rsid w:val="003B5605"/>
    <w:rsid w:val="003B7B93"/>
    <w:rsid w:val="003C15E8"/>
    <w:rsid w:val="003C1FB2"/>
    <w:rsid w:val="003C23D1"/>
    <w:rsid w:val="003C44FA"/>
    <w:rsid w:val="003C4D95"/>
    <w:rsid w:val="003C583B"/>
    <w:rsid w:val="003C756C"/>
    <w:rsid w:val="003C76C7"/>
    <w:rsid w:val="003D1386"/>
    <w:rsid w:val="003D2880"/>
    <w:rsid w:val="003D5F51"/>
    <w:rsid w:val="003D646A"/>
    <w:rsid w:val="003E084F"/>
    <w:rsid w:val="003E0A81"/>
    <w:rsid w:val="003E19ED"/>
    <w:rsid w:val="003E4F9E"/>
    <w:rsid w:val="003E58AD"/>
    <w:rsid w:val="003E69E5"/>
    <w:rsid w:val="003E6FBC"/>
    <w:rsid w:val="003E706B"/>
    <w:rsid w:val="003F063C"/>
    <w:rsid w:val="003F0A39"/>
    <w:rsid w:val="003F13D4"/>
    <w:rsid w:val="003F1587"/>
    <w:rsid w:val="003F1CC7"/>
    <w:rsid w:val="003F29FE"/>
    <w:rsid w:val="003F40CA"/>
    <w:rsid w:val="003F7320"/>
    <w:rsid w:val="003F79AF"/>
    <w:rsid w:val="00400B57"/>
    <w:rsid w:val="004046D6"/>
    <w:rsid w:val="0040494C"/>
    <w:rsid w:val="00405B28"/>
    <w:rsid w:val="00406AB7"/>
    <w:rsid w:val="00410AF1"/>
    <w:rsid w:val="00412AEB"/>
    <w:rsid w:val="00413217"/>
    <w:rsid w:val="004149DA"/>
    <w:rsid w:val="00415031"/>
    <w:rsid w:val="004176F2"/>
    <w:rsid w:val="00422374"/>
    <w:rsid w:val="0042344A"/>
    <w:rsid w:val="0042384A"/>
    <w:rsid w:val="00424F90"/>
    <w:rsid w:val="00425D49"/>
    <w:rsid w:val="0042616A"/>
    <w:rsid w:val="00426FB5"/>
    <w:rsid w:val="004302FD"/>
    <w:rsid w:val="0043049B"/>
    <w:rsid w:val="00431360"/>
    <w:rsid w:val="0043161C"/>
    <w:rsid w:val="004316FE"/>
    <w:rsid w:val="00431F58"/>
    <w:rsid w:val="0043256D"/>
    <w:rsid w:val="00432635"/>
    <w:rsid w:val="00433A75"/>
    <w:rsid w:val="00433ED5"/>
    <w:rsid w:val="00434283"/>
    <w:rsid w:val="00434B63"/>
    <w:rsid w:val="00435D69"/>
    <w:rsid w:val="004362D9"/>
    <w:rsid w:val="004406B2"/>
    <w:rsid w:val="004418F4"/>
    <w:rsid w:val="004442B7"/>
    <w:rsid w:val="00445598"/>
    <w:rsid w:val="0044561E"/>
    <w:rsid w:val="00446AD3"/>
    <w:rsid w:val="00447298"/>
    <w:rsid w:val="00447DEA"/>
    <w:rsid w:val="00450046"/>
    <w:rsid w:val="00450D5D"/>
    <w:rsid w:val="00452D0E"/>
    <w:rsid w:val="00453E65"/>
    <w:rsid w:val="004566D0"/>
    <w:rsid w:val="00457273"/>
    <w:rsid w:val="00457485"/>
    <w:rsid w:val="004577BB"/>
    <w:rsid w:val="0046019A"/>
    <w:rsid w:val="00460F10"/>
    <w:rsid w:val="004613DC"/>
    <w:rsid w:val="00463820"/>
    <w:rsid w:val="004651DC"/>
    <w:rsid w:val="0046535D"/>
    <w:rsid w:val="004659CC"/>
    <w:rsid w:val="00471B19"/>
    <w:rsid w:val="00471B41"/>
    <w:rsid w:val="00471D52"/>
    <w:rsid w:val="00473A6F"/>
    <w:rsid w:val="00474B13"/>
    <w:rsid w:val="00476247"/>
    <w:rsid w:val="00476493"/>
    <w:rsid w:val="00476800"/>
    <w:rsid w:val="00480AB3"/>
    <w:rsid w:val="00480D71"/>
    <w:rsid w:val="00480D76"/>
    <w:rsid w:val="004815D2"/>
    <w:rsid w:val="004819D3"/>
    <w:rsid w:val="00481A2E"/>
    <w:rsid w:val="00481F03"/>
    <w:rsid w:val="00482C72"/>
    <w:rsid w:val="004830FB"/>
    <w:rsid w:val="00483B6D"/>
    <w:rsid w:val="0048508D"/>
    <w:rsid w:val="004853BE"/>
    <w:rsid w:val="00485722"/>
    <w:rsid w:val="00486B3B"/>
    <w:rsid w:val="0048718F"/>
    <w:rsid w:val="00487306"/>
    <w:rsid w:val="00490520"/>
    <w:rsid w:val="00490DD3"/>
    <w:rsid w:val="004919E0"/>
    <w:rsid w:val="00491F76"/>
    <w:rsid w:val="00491FCF"/>
    <w:rsid w:val="00492EA3"/>
    <w:rsid w:val="0049426E"/>
    <w:rsid w:val="00494E80"/>
    <w:rsid w:val="00497F5F"/>
    <w:rsid w:val="004A082C"/>
    <w:rsid w:val="004A219E"/>
    <w:rsid w:val="004A2244"/>
    <w:rsid w:val="004A2CA7"/>
    <w:rsid w:val="004A36F0"/>
    <w:rsid w:val="004A3F47"/>
    <w:rsid w:val="004A63FA"/>
    <w:rsid w:val="004A7886"/>
    <w:rsid w:val="004A7BB7"/>
    <w:rsid w:val="004A7BF0"/>
    <w:rsid w:val="004B08AF"/>
    <w:rsid w:val="004B23F9"/>
    <w:rsid w:val="004B269B"/>
    <w:rsid w:val="004B4970"/>
    <w:rsid w:val="004B4E0D"/>
    <w:rsid w:val="004B4F60"/>
    <w:rsid w:val="004B5FE8"/>
    <w:rsid w:val="004C0784"/>
    <w:rsid w:val="004C0F27"/>
    <w:rsid w:val="004C1AD9"/>
    <w:rsid w:val="004C33AD"/>
    <w:rsid w:val="004C456E"/>
    <w:rsid w:val="004C619D"/>
    <w:rsid w:val="004D17DA"/>
    <w:rsid w:val="004D2FD8"/>
    <w:rsid w:val="004D3DD3"/>
    <w:rsid w:val="004D46BE"/>
    <w:rsid w:val="004D4971"/>
    <w:rsid w:val="004D49A8"/>
    <w:rsid w:val="004D4FBB"/>
    <w:rsid w:val="004D6C0B"/>
    <w:rsid w:val="004D784F"/>
    <w:rsid w:val="004D7AB4"/>
    <w:rsid w:val="004E6256"/>
    <w:rsid w:val="004E7E31"/>
    <w:rsid w:val="004F0432"/>
    <w:rsid w:val="004F454E"/>
    <w:rsid w:val="004F4CA0"/>
    <w:rsid w:val="004F6E8B"/>
    <w:rsid w:val="004F7E0A"/>
    <w:rsid w:val="005001B9"/>
    <w:rsid w:val="0050509F"/>
    <w:rsid w:val="00505218"/>
    <w:rsid w:val="00506D4D"/>
    <w:rsid w:val="00506E14"/>
    <w:rsid w:val="005139E8"/>
    <w:rsid w:val="00513BCA"/>
    <w:rsid w:val="00513D2C"/>
    <w:rsid w:val="00515288"/>
    <w:rsid w:val="005174B2"/>
    <w:rsid w:val="005179B2"/>
    <w:rsid w:val="00521000"/>
    <w:rsid w:val="005215D1"/>
    <w:rsid w:val="00521F19"/>
    <w:rsid w:val="005221E4"/>
    <w:rsid w:val="0052337E"/>
    <w:rsid w:val="00523799"/>
    <w:rsid w:val="00523D35"/>
    <w:rsid w:val="005245E2"/>
    <w:rsid w:val="00524FF0"/>
    <w:rsid w:val="00526C0E"/>
    <w:rsid w:val="00527DD2"/>
    <w:rsid w:val="005305D1"/>
    <w:rsid w:val="0053153C"/>
    <w:rsid w:val="0053275E"/>
    <w:rsid w:val="00532F82"/>
    <w:rsid w:val="00533105"/>
    <w:rsid w:val="00533F52"/>
    <w:rsid w:val="00534094"/>
    <w:rsid w:val="00534765"/>
    <w:rsid w:val="00534C5C"/>
    <w:rsid w:val="0053678E"/>
    <w:rsid w:val="00536F93"/>
    <w:rsid w:val="00536FB5"/>
    <w:rsid w:val="005400C7"/>
    <w:rsid w:val="0054132D"/>
    <w:rsid w:val="005442F2"/>
    <w:rsid w:val="0054488A"/>
    <w:rsid w:val="005457D8"/>
    <w:rsid w:val="00551A14"/>
    <w:rsid w:val="00551F55"/>
    <w:rsid w:val="00551FC1"/>
    <w:rsid w:val="00553111"/>
    <w:rsid w:val="00553FB3"/>
    <w:rsid w:val="00554EE0"/>
    <w:rsid w:val="0055509B"/>
    <w:rsid w:val="005552D5"/>
    <w:rsid w:val="00555D7E"/>
    <w:rsid w:val="005567D2"/>
    <w:rsid w:val="00557166"/>
    <w:rsid w:val="00560375"/>
    <w:rsid w:val="0056069C"/>
    <w:rsid w:val="005628A7"/>
    <w:rsid w:val="00562FBE"/>
    <w:rsid w:val="0056575B"/>
    <w:rsid w:val="00570A7D"/>
    <w:rsid w:val="00570B7D"/>
    <w:rsid w:val="00572F1F"/>
    <w:rsid w:val="00573684"/>
    <w:rsid w:val="00573A46"/>
    <w:rsid w:val="00574848"/>
    <w:rsid w:val="00574921"/>
    <w:rsid w:val="00574C5D"/>
    <w:rsid w:val="00577362"/>
    <w:rsid w:val="0058153D"/>
    <w:rsid w:val="0058588F"/>
    <w:rsid w:val="00585FFF"/>
    <w:rsid w:val="0058625B"/>
    <w:rsid w:val="00587FF0"/>
    <w:rsid w:val="00590C65"/>
    <w:rsid w:val="005914F0"/>
    <w:rsid w:val="00592317"/>
    <w:rsid w:val="0059282B"/>
    <w:rsid w:val="005932D6"/>
    <w:rsid w:val="005959E4"/>
    <w:rsid w:val="00595C7F"/>
    <w:rsid w:val="005972A3"/>
    <w:rsid w:val="005A1B7A"/>
    <w:rsid w:val="005A53F6"/>
    <w:rsid w:val="005B2022"/>
    <w:rsid w:val="005B2AA7"/>
    <w:rsid w:val="005B2F51"/>
    <w:rsid w:val="005B3E4A"/>
    <w:rsid w:val="005B477F"/>
    <w:rsid w:val="005B6085"/>
    <w:rsid w:val="005C3687"/>
    <w:rsid w:val="005C51BD"/>
    <w:rsid w:val="005C6419"/>
    <w:rsid w:val="005C7824"/>
    <w:rsid w:val="005C7971"/>
    <w:rsid w:val="005D0275"/>
    <w:rsid w:val="005D1B18"/>
    <w:rsid w:val="005D1EA7"/>
    <w:rsid w:val="005D2B63"/>
    <w:rsid w:val="005D3950"/>
    <w:rsid w:val="005D4941"/>
    <w:rsid w:val="005E02C3"/>
    <w:rsid w:val="005E1638"/>
    <w:rsid w:val="005E1A6F"/>
    <w:rsid w:val="005E2895"/>
    <w:rsid w:val="005E6CB8"/>
    <w:rsid w:val="005E72E7"/>
    <w:rsid w:val="005E7635"/>
    <w:rsid w:val="005F5570"/>
    <w:rsid w:val="005F5E45"/>
    <w:rsid w:val="005F77F3"/>
    <w:rsid w:val="005F781B"/>
    <w:rsid w:val="00600B16"/>
    <w:rsid w:val="006024C0"/>
    <w:rsid w:val="00604213"/>
    <w:rsid w:val="00604946"/>
    <w:rsid w:val="00604D51"/>
    <w:rsid w:val="0060569C"/>
    <w:rsid w:val="00606806"/>
    <w:rsid w:val="0061027F"/>
    <w:rsid w:val="0061093A"/>
    <w:rsid w:val="00610C37"/>
    <w:rsid w:val="0061130C"/>
    <w:rsid w:val="0061300C"/>
    <w:rsid w:val="00613D0F"/>
    <w:rsid w:val="00615047"/>
    <w:rsid w:val="006154F1"/>
    <w:rsid w:val="00615E7D"/>
    <w:rsid w:val="0062183E"/>
    <w:rsid w:val="0062553B"/>
    <w:rsid w:val="00625B7B"/>
    <w:rsid w:val="00625FF7"/>
    <w:rsid w:val="00626E1C"/>
    <w:rsid w:val="0062744B"/>
    <w:rsid w:val="00627541"/>
    <w:rsid w:val="00633A4B"/>
    <w:rsid w:val="00633D44"/>
    <w:rsid w:val="00635E74"/>
    <w:rsid w:val="00636CF3"/>
    <w:rsid w:val="00636EE5"/>
    <w:rsid w:val="00640707"/>
    <w:rsid w:val="006435D1"/>
    <w:rsid w:val="006435D6"/>
    <w:rsid w:val="006435D8"/>
    <w:rsid w:val="006443FF"/>
    <w:rsid w:val="00644B2A"/>
    <w:rsid w:val="00645216"/>
    <w:rsid w:val="006469EA"/>
    <w:rsid w:val="0064726E"/>
    <w:rsid w:val="00647FEB"/>
    <w:rsid w:val="00650FA0"/>
    <w:rsid w:val="00651089"/>
    <w:rsid w:val="00653EDD"/>
    <w:rsid w:val="00654316"/>
    <w:rsid w:val="00656111"/>
    <w:rsid w:val="006573BB"/>
    <w:rsid w:val="0066093E"/>
    <w:rsid w:val="00662A5E"/>
    <w:rsid w:val="00663FE3"/>
    <w:rsid w:val="00664B20"/>
    <w:rsid w:val="00665722"/>
    <w:rsid w:val="00665B50"/>
    <w:rsid w:val="00667602"/>
    <w:rsid w:val="00672FC6"/>
    <w:rsid w:val="00674D4B"/>
    <w:rsid w:val="00675013"/>
    <w:rsid w:val="00677234"/>
    <w:rsid w:val="006778C2"/>
    <w:rsid w:val="00677D94"/>
    <w:rsid w:val="00680E4B"/>
    <w:rsid w:val="00681901"/>
    <w:rsid w:val="006877FB"/>
    <w:rsid w:val="00687E71"/>
    <w:rsid w:val="00690693"/>
    <w:rsid w:val="00690CFE"/>
    <w:rsid w:val="006915A1"/>
    <w:rsid w:val="00693ED7"/>
    <w:rsid w:val="00694804"/>
    <w:rsid w:val="00694FEF"/>
    <w:rsid w:val="00695224"/>
    <w:rsid w:val="006A0D61"/>
    <w:rsid w:val="006A13A7"/>
    <w:rsid w:val="006A20C3"/>
    <w:rsid w:val="006A2D55"/>
    <w:rsid w:val="006A53A5"/>
    <w:rsid w:val="006A6525"/>
    <w:rsid w:val="006A7EFD"/>
    <w:rsid w:val="006B1760"/>
    <w:rsid w:val="006B1D51"/>
    <w:rsid w:val="006B2E51"/>
    <w:rsid w:val="006B398C"/>
    <w:rsid w:val="006B5D1B"/>
    <w:rsid w:val="006B6583"/>
    <w:rsid w:val="006B71CE"/>
    <w:rsid w:val="006C015E"/>
    <w:rsid w:val="006C1355"/>
    <w:rsid w:val="006C3287"/>
    <w:rsid w:val="006C4F3E"/>
    <w:rsid w:val="006D07FB"/>
    <w:rsid w:val="006D0DFB"/>
    <w:rsid w:val="006D1FD2"/>
    <w:rsid w:val="006D49C7"/>
    <w:rsid w:val="006E0C7B"/>
    <w:rsid w:val="006E61A8"/>
    <w:rsid w:val="006E7058"/>
    <w:rsid w:val="006F048E"/>
    <w:rsid w:val="006F1778"/>
    <w:rsid w:val="006F3699"/>
    <w:rsid w:val="006F3A12"/>
    <w:rsid w:val="006F4AE1"/>
    <w:rsid w:val="006F5A28"/>
    <w:rsid w:val="006F72FD"/>
    <w:rsid w:val="00701513"/>
    <w:rsid w:val="00703BCB"/>
    <w:rsid w:val="00703D0F"/>
    <w:rsid w:val="007049B3"/>
    <w:rsid w:val="00704A4D"/>
    <w:rsid w:val="00704C19"/>
    <w:rsid w:val="00705945"/>
    <w:rsid w:val="00705DF7"/>
    <w:rsid w:val="00706B78"/>
    <w:rsid w:val="00712987"/>
    <w:rsid w:val="00713214"/>
    <w:rsid w:val="007177FA"/>
    <w:rsid w:val="007178D8"/>
    <w:rsid w:val="00721CE7"/>
    <w:rsid w:val="00721D98"/>
    <w:rsid w:val="0072368D"/>
    <w:rsid w:val="00723FF1"/>
    <w:rsid w:val="00724D48"/>
    <w:rsid w:val="00725BFD"/>
    <w:rsid w:val="00726690"/>
    <w:rsid w:val="007276A0"/>
    <w:rsid w:val="00731100"/>
    <w:rsid w:val="00731167"/>
    <w:rsid w:val="00731C1E"/>
    <w:rsid w:val="00731C80"/>
    <w:rsid w:val="007320FD"/>
    <w:rsid w:val="007368CE"/>
    <w:rsid w:val="00736D00"/>
    <w:rsid w:val="00740E21"/>
    <w:rsid w:val="00742D2F"/>
    <w:rsid w:val="007433D4"/>
    <w:rsid w:val="007448BA"/>
    <w:rsid w:val="00745133"/>
    <w:rsid w:val="00745369"/>
    <w:rsid w:val="00746659"/>
    <w:rsid w:val="00747A50"/>
    <w:rsid w:val="00747A77"/>
    <w:rsid w:val="00751C62"/>
    <w:rsid w:val="00752523"/>
    <w:rsid w:val="00753976"/>
    <w:rsid w:val="00754293"/>
    <w:rsid w:val="007548C3"/>
    <w:rsid w:val="00754970"/>
    <w:rsid w:val="00755482"/>
    <w:rsid w:val="00755740"/>
    <w:rsid w:val="00756851"/>
    <w:rsid w:val="00757117"/>
    <w:rsid w:val="00757868"/>
    <w:rsid w:val="00757BF1"/>
    <w:rsid w:val="007602F3"/>
    <w:rsid w:val="00760586"/>
    <w:rsid w:val="007607C0"/>
    <w:rsid w:val="00762065"/>
    <w:rsid w:val="00763734"/>
    <w:rsid w:val="00763DA5"/>
    <w:rsid w:val="0076422A"/>
    <w:rsid w:val="007648B0"/>
    <w:rsid w:val="00765E4E"/>
    <w:rsid w:val="00766CC4"/>
    <w:rsid w:val="00767E43"/>
    <w:rsid w:val="00770FDF"/>
    <w:rsid w:val="007747E7"/>
    <w:rsid w:val="00776EAF"/>
    <w:rsid w:val="0077706C"/>
    <w:rsid w:val="00777477"/>
    <w:rsid w:val="00777C94"/>
    <w:rsid w:val="007814E2"/>
    <w:rsid w:val="00782283"/>
    <w:rsid w:val="007826C9"/>
    <w:rsid w:val="007859AF"/>
    <w:rsid w:val="007871E0"/>
    <w:rsid w:val="00790FF8"/>
    <w:rsid w:val="00791337"/>
    <w:rsid w:val="00795B1C"/>
    <w:rsid w:val="00795B26"/>
    <w:rsid w:val="007A0720"/>
    <w:rsid w:val="007A1343"/>
    <w:rsid w:val="007A1642"/>
    <w:rsid w:val="007A182D"/>
    <w:rsid w:val="007A1DC3"/>
    <w:rsid w:val="007A2A04"/>
    <w:rsid w:val="007A4A3C"/>
    <w:rsid w:val="007A4D44"/>
    <w:rsid w:val="007A5B77"/>
    <w:rsid w:val="007A6CDC"/>
    <w:rsid w:val="007B009C"/>
    <w:rsid w:val="007B4230"/>
    <w:rsid w:val="007B444B"/>
    <w:rsid w:val="007B4653"/>
    <w:rsid w:val="007B4EC3"/>
    <w:rsid w:val="007B736B"/>
    <w:rsid w:val="007C1B09"/>
    <w:rsid w:val="007C4CDA"/>
    <w:rsid w:val="007C5E15"/>
    <w:rsid w:val="007C6DC5"/>
    <w:rsid w:val="007C7C7A"/>
    <w:rsid w:val="007D233B"/>
    <w:rsid w:val="007D2434"/>
    <w:rsid w:val="007D26E2"/>
    <w:rsid w:val="007D2BAE"/>
    <w:rsid w:val="007D3B04"/>
    <w:rsid w:val="007D3DFA"/>
    <w:rsid w:val="007D63B7"/>
    <w:rsid w:val="007D76AE"/>
    <w:rsid w:val="007E22EE"/>
    <w:rsid w:val="007E38E0"/>
    <w:rsid w:val="007E3CF9"/>
    <w:rsid w:val="007E5018"/>
    <w:rsid w:val="007E63C5"/>
    <w:rsid w:val="007E6404"/>
    <w:rsid w:val="007F1A32"/>
    <w:rsid w:val="007F231E"/>
    <w:rsid w:val="007F30DD"/>
    <w:rsid w:val="007F4025"/>
    <w:rsid w:val="007F6123"/>
    <w:rsid w:val="007F7E23"/>
    <w:rsid w:val="008039BD"/>
    <w:rsid w:val="00805D31"/>
    <w:rsid w:val="0080649C"/>
    <w:rsid w:val="0080683F"/>
    <w:rsid w:val="0081024E"/>
    <w:rsid w:val="0081435D"/>
    <w:rsid w:val="00814730"/>
    <w:rsid w:val="00815135"/>
    <w:rsid w:val="00815A98"/>
    <w:rsid w:val="00817244"/>
    <w:rsid w:val="008179C1"/>
    <w:rsid w:val="008206E9"/>
    <w:rsid w:val="0082214F"/>
    <w:rsid w:val="00822C85"/>
    <w:rsid w:val="00822EEE"/>
    <w:rsid w:val="00823334"/>
    <w:rsid w:val="008235FD"/>
    <w:rsid w:val="008249DE"/>
    <w:rsid w:val="008273B0"/>
    <w:rsid w:val="00830C8F"/>
    <w:rsid w:val="00830EE2"/>
    <w:rsid w:val="00831A38"/>
    <w:rsid w:val="00832FF6"/>
    <w:rsid w:val="00833C03"/>
    <w:rsid w:val="00834997"/>
    <w:rsid w:val="00841E7F"/>
    <w:rsid w:val="00842CA0"/>
    <w:rsid w:val="008449F8"/>
    <w:rsid w:val="00847DB2"/>
    <w:rsid w:val="0085288E"/>
    <w:rsid w:val="00854EF0"/>
    <w:rsid w:val="00857CD5"/>
    <w:rsid w:val="00860DE1"/>
    <w:rsid w:val="00861438"/>
    <w:rsid w:val="008626A4"/>
    <w:rsid w:val="008628EB"/>
    <w:rsid w:val="008642A8"/>
    <w:rsid w:val="00866B05"/>
    <w:rsid w:val="00866EBA"/>
    <w:rsid w:val="00870685"/>
    <w:rsid w:val="00870D25"/>
    <w:rsid w:val="008712A2"/>
    <w:rsid w:val="00871D94"/>
    <w:rsid w:val="008734CD"/>
    <w:rsid w:val="00873657"/>
    <w:rsid w:val="008746AF"/>
    <w:rsid w:val="00875224"/>
    <w:rsid w:val="00875BAA"/>
    <w:rsid w:val="00875C9E"/>
    <w:rsid w:val="00877072"/>
    <w:rsid w:val="00877A1F"/>
    <w:rsid w:val="0088117D"/>
    <w:rsid w:val="0088468A"/>
    <w:rsid w:val="008846DB"/>
    <w:rsid w:val="0088581A"/>
    <w:rsid w:val="00885919"/>
    <w:rsid w:val="00886253"/>
    <w:rsid w:val="008870A6"/>
    <w:rsid w:val="00887ABD"/>
    <w:rsid w:val="00890447"/>
    <w:rsid w:val="00890FF8"/>
    <w:rsid w:val="00891794"/>
    <w:rsid w:val="0089272B"/>
    <w:rsid w:val="00893AC8"/>
    <w:rsid w:val="00893CE0"/>
    <w:rsid w:val="0089423A"/>
    <w:rsid w:val="0089543B"/>
    <w:rsid w:val="0089608B"/>
    <w:rsid w:val="008A0E9F"/>
    <w:rsid w:val="008A1889"/>
    <w:rsid w:val="008A233A"/>
    <w:rsid w:val="008A292A"/>
    <w:rsid w:val="008A2C58"/>
    <w:rsid w:val="008A2C7B"/>
    <w:rsid w:val="008B0B8A"/>
    <w:rsid w:val="008B0DFB"/>
    <w:rsid w:val="008B1734"/>
    <w:rsid w:val="008B210E"/>
    <w:rsid w:val="008B2DFC"/>
    <w:rsid w:val="008B4146"/>
    <w:rsid w:val="008B5E28"/>
    <w:rsid w:val="008B675B"/>
    <w:rsid w:val="008B6E6E"/>
    <w:rsid w:val="008C07D6"/>
    <w:rsid w:val="008C335E"/>
    <w:rsid w:val="008C4456"/>
    <w:rsid w:val="008C63C4"/>
    <w:rsid w:val="008C716C"/>
    <w:rsid w:val="008C7F9B"/>
    <w:rsid w:val="008D043D"/>
    <w:rsid w:val="008D0E9A"/>
    <w:rsid w:val="008D11F5"/>
    <w:rsid w:val="008D172E"/>
    <w:rsid w:val="008D258F"/>
    <w:rsid w:val="008D536E"/>
    <w:rsid w:val="008D598B"/>
    <w:rsid w:val="008D62AF"/>
    <w:rsid w:val="008D68D1"/>
    <w:rsid w:val="008D6BDF"/>
    <w:rsid w:val="008D7958"/>
    <w:rsid w:val="008E2148"/>
    <w:rsid w:val="008E3AB0"/>
    <w:rsid w:val="008E6173"/>
    <w:rsid w:val="008E78B4"/>
    <w:rsid w:val="008F0565"/>
    <w:rsid w:val="008F2358"/>
    <w:rsid w:val="008F62A0"/>
    <w:rsid w:val="008F668B"/>
    <w:rsid w:val="008F7F29"/>
    <w:rsid w:val="009008C2"/>
    <w:rsid w:val="00900A08"/>
    <w:rsid w:val="00902EA7"/>
    <w:rsid w:val="00903632"/>
    <w:rsid w:val="00903C9A"/>
    <w:rsid w:val="0090419C"/>
    <w:rsid w:val="00904C74"/>
    <w:rsid w:val="00905A60"/>
    <w:rsid w:val="0090722B"/>
    <w:rsid w:val="009121A5"/>
    <w:rsid w:val="0091226E"/>
    <w:rsid w:val="009127B5"/>
    <w:rsid w:val="00913744"/>
    <w:rsid w:val="00914694"/>
    <w:rsid w:val="009146D5"/>
    <w:rsid w:val="009166E0"/>
    <w:rsid w:val="00917163"/>
    <w:rsid w:val="009208C3"/>
    <w:rsid w:val="009211C6"/>
    <w:rsid w:val="0092189C"/>
    <w:rsid w:val="00922BCD"/>
    <w:rsid w:val="00922BF0"/>
    <w:rsid w:val="00923B65"/>
    <w:rsid w:val="009255F9"/>
    <w:rsid w:val="00925B54"/>
    <w:rsid w:val="00925C32"/>
    <w:rsid w:val="00927361"/>
    <w:rsid w:val="00932603"/>
    <w:rsid w:val="009326F3"/>
    <w:rsid w:val="00932C54"/>
    <w:rsid w:val="00933A9A"/>
    <w:rsid w:val="00936069"/>
    <w:rsid w:val="00936AE8"/>
    <w:rsid w:val="00937178"/>
    <w:rsid w:val="0094090F"/>
    <w:rsid w:val="00940AC8"/>
    <w:rsid w:val="009419FD"/>
    <w:rsid w:val="00942E7A"/>
    <w:rsid w:val="00943866"/>
    <w:rsid w:val="00943C9F"/>
    <w:rsid w:val="00944A8A"/>
    <w:rsid w:val="00945510"/>
    <w:rsid w:val="0094662E"/>
    <w:rsid w:val="00946AA2"/>
    <w:rsid w:val="00950152"/>
    <w:rsid w:val="00950C10"/>
    <w:rsid w:val="00953BFA"/>
    <w:rsid w:val="00954607"/>
    <w:rsid w:val="009551A7"/>
    <w:rsid w:val="00955DBF"/>
    <w:rsid w:val="00960498"/>
    <w:rsid w:val="00961890"/>
    <w:rsid w:val="009618B5"/>
    <w:rsid w:val="009619F0"/>
    <w:rsid w:val="00963424"/>
    <w:rsid w:val="00963A11"/>
    <w:rsid w:val="00964884"/>
    <w:rsid w:val="0096609F"/>
    <w:rsid w:val="00966C69"/>
    <w:rsid w:val="009678DF"/>
    <w:rsid w:val="009722A0"/>
    <w:rsid w:val="009724B3"/>
    <w:rsid w:val="00972BCB"/>
    <w:rsid w:val="00975098"/>
    <w:rsid w:val="00976026"/>
    <w:rsid w:val="00976C9D"/>
    <w:rsid w:val="00980E0B"/>
    <w:rsid w:val="00983445"/>
    <w:rsid w:val="00984BEF"/>
    <w:rsid w:val="009904E8"/>
    <w:rsid w:val="00990F12"/>
    <w:rsid w:val="00993A3F"/>
    <w:rsid w:val="00994D72"/>
    <w:rsid w:val="00996399"/>
    <w:rsid w:val="009A0AE1"/>
    <w:rsid w:val="009A0F29"/>
    <w:rsid w:val="009A120A"/>
    <w:rsid w:val="009A13C3"/>
    <w:rsid w:val="009A1F42"/>
    <w:rsid w:val="009A3301"/>
    <w:rsid w:val="009A39AF"/>
    <w:rsid w:val="009A474F"/>
    <w:rsid w:val="009A513E"/>
    <w:rsid w:val="009A64AA"/>
    <w:rsid w:val="009A6866"/>
    <w:rsid w:val="009A7F50"/>
    <w:rsid w:val="009B0A77"/>
    <w:rsid w:val="009B0D92"/>
    <w:rsid w:val="009B2732"/>
    <w:rsid w:val="009B2C12"/>
    <w:rsid w:val="009B565E"/>
    <w:rsid w:val="009B5D6A"/>
    <w:rsid w:val="009B6649"/>
    <w:rsid w:val="009B76B8"/>
    <w:rsid w:val="009B7F41"/>
    <w:rsid w:val="009C1D8C"/>
    <w:rsid w:val="009C1F49"/>
    <w:rsid w:val="009C3898"/>
    <w:rsid w:val="009C3AAD"/>
    <w:rsid w:val="009C5861"/>
    <w:rsid w:val="009C5B56"/>
    <w:rsid w:val="009D24FB"/>
    <w:rsid w:val="009D2D29"/>
    <w:rsid w:val="009D3279"/>
    <w:rsid w:val="009D3D15"/>
    <w:rsid w:val="009D670B"/>
    <w:rsid w:val="009D67BD"/>
    <w:rsid w:val="009D6C89"/>
    <w:rsid w:val="009E00A8"/>
    <w:rsid w:val="009E09D6"/>
    <w:rsid w:val="009E1E9D"/>
    <w:rsid w:val="009E363F"/>
    <w:rsid w:val="009E440F"/>
    <w:rsid w:val="009E483A"/>
    <w:rsid w:val="009E5091"/>
    <w:rsid w:val="009E589E"/>
    <w:rsid w:val="009E6B23"/>
    <w:rsid w:val="009E7014"/>
    <w:rsid w:val="009F05A1"/>
    <w:rsid w:val="009F157A"/>
    <w:rsid w:val="009F2191"/>
    <w:rsid w:val="009F4AD0"/>
    <w:rsid w:val="009F7066"/>
    <w:rsid w:val="00A0093A"/>
    <w:rsid w:val="00A00CAD"/>
    <w:rsid w:val="00A012BB"/>
    <w:rsid w:val="00A031A9"/>
    <w:rsid w:val="00A06652"/>
    <w:rsid w:val="00A07AE8"/>
    <w:rsid w:val="00A1096C"/>
    <w:rsid w:val="00A12535"/>
    <w:rsid w:val="00A12EF8"/>
    <w:rsid w:val="00A13D47"/>
    <w:rsid w:val="00A1665A"/>
    <w:rsid w:val="00A17311"/>
    <w:rsid w:val="00A21084"/>
    <w:rsid w:val="00A21799"/>
    <w:rsid w:val="00A22136"/>
    <w:rsid w:val="00A22DB4"/>
    <w:rsid w:val="00A2432C"/>
    <w:rsid w:val="00A245A2"/>
    <w:rsid w:val="00A25522"/>
    <w:rsid w:val="00A26BE8"/>
    <w:rsid w:val="00A270E4"/>
    <w:rsid w:val="00A275F5"/>
    <w:rsid w:val="00A3113D"/>
    <w:rsid w:val="00A31D22"/>
    <w:rsid w:val="00A35E4E"/>
    <w:rsid w:val="00A369DE"/>
    <w:rsid w:val="00A37367"/>
    <w:rsid w:val="00A37E7A"/>
    <w:rsid w:val="00A40099"/>
    <w:rsid w:val="00A40C70"/>
    <w:rsid w:val="00A416C1"/>
    <w:rsid w:val="00A420F5"/>
    <w:rsid w:val="00A441C7"/>
    <w:rsid w:val="00A44BFB"/>
    <w:rsid w:val="00A44C1F"/>
    <w:rsid w:val="00A45420"/>
    <w:rsid w:val="00A45ACD"/>
    <w:rsid w:val="00A4703E"/>
    <w:rsid w:val="00A4731A"/>
    <w:rsid w:val="00A50B1B"/>
    <w:rsid w:val="00A514B4"/>
    <w:rsid w:val="00A519E4"/>
    <w:rsid w:val="00A529D9"/>
    <w:rsid w:val="00A53539"/>
    <w:rsid w:val="00A539F1"/>
    <w:rsid w:val="00A559F2"/>
    <w:rsid w:val="00A56653"/>
    <w:rsid w:val="00A57682"/>
    <w:rsid w:val="00A610E9"/>
    <w:rsid w:val="00A61209"/>
    <w:rsid w:val="00A61C5D"/>
    <w:rsid w:val="00A62BC2"/>
    <w:rsid w:val="00A649A0"/>
    <w:rsid w:val="00A64EE4"/>
    <w:rsid w:val="00A65E41"/>
    <w:rsid w:val="00A6627C"/>
    <w:rsid w:val="00A67447"/>
    <w:rsid w:val="00A67589"/>
    <w:rsid w:val="00A7058E"/>
    <w:rsid w:val="00A70760"/>
    <w:rsid w:val="00A712A8"/>
    <w:rsid w:val="00A71860"/>
    <w:rsid w:val="00A71B4E"/>
    <w:rsid w:val="00A71DEC"/>
    <w:rsid w:val="00A72919"/>
    <w:rsid w:val="00A73B04"/>
    <w:rsid w:val="00A75C26"/>
    <w:rsid w:val="00A774B2"/>
    <w:rsid w:val="00A80948"/>
    <w:rsid w:val="00A812B6"/>
    <w:rsid w:val="00A81EFA"/>
    <w:rsid w:val="00A82BC1"/>
    <w:rsid w:val="00A838A0"/>
    <w:rsid w:val="00A84DE9"/>
    <w:rsid w:val="00A86748"/>
    <w:rsid w:val="00A93120"/>
    <w:rsid w:val="00A9392A"/>
    <w:rsid w:val="00A939C3"/>
    <w:rsid w:val="00A939ED"/>
    <w:rsid w:val="00A96799"/>
    <w:rsid w:val="00AA1E74"/>
    <w:rsid w:val="00AA2775"/>
    <w:rsid w:val="00AA27A1"/>
    <w:rsid w:val="00AA3FAC"/>
    <w:rsid w:val="00AA47EA"/>
    <w:rsid w:val="00AB1539"/>
    <w:rsid w:val="00AB1B25"/>
    <w:rsid w:val="00AB1B42"/>
    <w:rsid w:val="00AB2E31"/>
    <w:rsid w:val="00AB4781"/>
    <w:rsid w:val="00AB6889"/>
    <w:rsid w:val="00AC3E21"/>
    <w:rsid w:val="00AC5E9A"/>
    <w:rsid w:val="00AC6561"/>
    <w:rsid w:val="00AC6594"/>
    <w:rsid w:val="00AC68CE"/>
    <w:rsid w:val="00AC7884"/>
    <w:rsid w:val="00AC7C2C"/>
    <w:rsid w:val="00AD0895"/>
    <w:rsid w:val="00AD1098"/>
    <w:rsid w:val="00AD1D1E"/>
    <w:rsid w:val="00AD2B33"/>
    <w:rsid w:val="00AD459A"/>
    <w:rsid w:val="00AD4A7F"/>
    <w:rsid w:val="00AD5386"/>
    <w:rsid w:val="00AD5B6B"/>
    <w:rsid w:val="00AD6298"/>
    <w:rsid w:val="00AD651A"/>
    <w:rsid w:val="00AD6890"/>
    <w:rsid w:val="00AD70C7"/>
    <w:rsid w:val="00AD7285"/>
    <w:rsid w:val="00AD7803"/>
    <w:rsid w:val="00AE137A"/>
    <w:rsid w:val="00AE22FF"/>
    <w:rsid w:val="00AE2D70"/>
    <w:rsid w:val="00AE3AE2"/>
    <w:rsid w:val="00AE635B"/>
    <w:rsid w:val="00AE7324"/>
    <w:rsid w:val="00AF0AD3"/>
    <w:rsid w:val="00AF0B79"/>
    <w:rsid w:val="00AF1097"/>
    <w:rsid w:val="00AF1508"/>
    <w:rsid w:val="00AF3C00"/>
    <w:rsid w:val="00AF5CFD"/>
    <w:rsid w:val="00AF636B"/>
    <w:rsid w:val="00AF6EEC"/>
    <w:rsid w:val="00AF7AAD"/>
    <w:rsid w:val="00AF7B5F"/>
    <w:rsid w:val="00B00366"/>
    <w:rsid w:val="00B00DB7"/>
    <w:rsid w:val="00B00DE0"/>
    <w:rsid w:val="00B019AD"/>
    <w:rsid w:val="00B0237D"/>
    <w:rsid w:val="00B05360"/>
    <w:rsid w:val="00B13A83"/>
    <w:rsid w:val="00B14450"/>
    <w:rsid w:val="00B14834"/>
    <w:rsid w:val="00B14CFB"/>
    <w:rsid w:val="00B1602C"/>
    <w:rsid w:val="00B17C92"/>
    <w:rsid w:val="00B20408"/>
    <w:rsid w:val="00B21D11"/>
    <w:rsid w:val="00B23C04"/>
    <w:rsid w:val="00B249BE"/>
    <w:rsid w:val="00B24DD8"/>
    <w:rsid w:val="00B24E80"/>
    <w:rsid w:val="00B252FE"/>
    <w:rsid w:val="00B2557C"/>
    <w:rsid w:val="00B259A1"/>
    <w:rsid w:val="00B26BA6"/>
    <w:rsid w:val="00B26D4E"/>
    <w:rsid w:val="00B303CF"/>
    <w:rsid w:val="00B30F00"/>
    <w:rsid w:val="00B312AE"/>
    <w:rsid w:val="00B320C4"/>
    <w:rsid w:val="00B32C19"/>
    <w:rsid w:val="00B34F05"/>
    <w:rsid w:val="00B355FF"/>
    <w:rsid w:val="00B40948"/>
    <w:rsid w:val="00B40E04"/>
    <w:rsid w:val="00B413EC"/>
    <w:rsid w:val="00B4206A"/>
    <w:rsid w:val="00B44BFF"/>
    <w:rsid w:val="00B452ED"/>
    <w:rsid w:val="00B45850"/>
    <w:rsid w:val="00B45D6A"/>
    <w:rsid w:val="00B51103"/>
    <w:rsid w:val="00B5433D"/>
    <w:rsid w:val="00B5451A"/>
    <w:rsid w:val="00B55F93"/>
    <w:rsid w:val="00B56C43"/>
    <w:rsid w:val="00B5714F"/>
    <w:rsid w:val="00B57DB8"/>
    <w:rsid w:val="00B6137A"/>
    <w:rsid w:val="00B61DF5"/>
    <w:rsid w:val="00B63381"/>
    <w:rsid w:val="00B63395"/>
    <w:rsid w:val="00B63591"/>
    <w:rsid w:val="00B6647E"/>
    <w:rsid w:val="00B6736C"/>
    <w:rsid w:val="00B6747F"/>
    <w:rsid w:val="00B708C0"/>
    <w:rsid w:val="00B711AC"/>
    <w:rsid w:val="00B71798"/>
    <w:rsid w:val="00B71E0F"/>
    <w:rsid w:val="00B73CF8"/>
    <w:rsid w:val="00B74835"/>
    <w:rsid w:val="00B7599C"/>
    <w:rsid w:val="00B814CB"/>
    <w:rsid w:val="00B82126"/>
    <w:rsid w:val="00B82C4D"/>
    <w:rsid w:val="00B85AB0"/>
    <w:rsid w:val="00B85F11"/>
    <w:rsid w:val="00B87491"/>
    <w:rsid w:val="00B90BBF"/>
    <w:rsid w:val="00B911EC"/>
    <w:rsid w:val="00B91755"/>
    <w:rsid w:val="00B92842"/>
    <w:rsid w:val="00B93023"/>
    <w:rsid w:val="00B94E22"/>
    <w:rsid w:val="00B96B53"/>
    <w:rsid w:val="00B96ECE"/>
    <w:rsid w:val="00B972FA"/>
    <w:rsid w:val="00BA0EF7"/>
    <w:rsid w:val="00BA12C9"/>
    <w:rsid w:val="00BA15CE"/>
    <w:rsid w:val="00BA1D5C"/>
    <w:rsid w:val="00BA53F8"/>
    <w:rsid w:val="00BA6DAC"/>
    <w:rsid w:val="00BA794F"/>
    <w:rsid w:val="00BB0800"/>
    <w:rsid w:val="00BB2040"/>
    <w:rsid w:val="00BB2F7F"/>
    <w:rsid w:val="00BB3F3D"/>
    <w:rsid w:val="00BB4F83"/>
    <w:rsid w:val="00BB6A44"/>
    <w:rsid w:val="00BC0911"/>
    <w:rsid w:val="00BC2B20"/>
    <w:rsid w:val="00BC3B16"/>
    <w:rsid w:val="00BC3B85"/>
    <w:rsid w:val="00BC3EA1"/>
    <w:rsid w:val="00BC52D0"/>
    <w:rsid w:val="00BC5840"/>
    <w:rsid w:val="00BC5AAE"/>
    <w:rsid w:val="00BC6738"/>
    <w:rsid w:val="00BC6924"/>
    <w:rsid w:val="00BD11DD"/>
    <w:rsid w:val="00BD1FF2"/>
    <w:rsid w:val="00BD34F0"/>
    <w:rsid w:val="00BD5352"/>
    <w:rsid w:val="00BD55B6"/>
    <w:rsid w:val="00BD6F42"/>
    <w:rsid w:val="00BE1DF5"/>
    <w:rsid w:val="00BE2F8C"/>
    <w:rsid w:val="00BF0734"/>
    <w:rsid w:val="00BF07AB"/>
    <w:rsid w:val="00BF0F70"/>
    <w:rsid w:val="00BF1C76"/>
    <w:rsid w:val="00BF303D"/>
    <w:rsid w:val="00BF7DFA"/>
    <w:rsid w:val="00C01AEE"/>
    <w:rsid w:val="00C01C3A"/>
    <w:rsid w:val="00C03A68"/>
    <w:rsid w:val="00C05EA1"/>
    <w:rsid w:val="00C06398"/>
    <w:rsid w:val="00C07947"/>
    <w:rsid w:val="00C102C6"/>
    <w:rsid w:val="00C11919"/>
    <w:rsid w:val="00C121D1"/>
    <w:rsid w:val="00C12391"/>
    <w:rsid w:val="00C12594"/>
    <w:rsid w:val="00C128BF"/>
    <w:rsid w:val="00C12B8B"/>
    <w:rsid w:val="00C1360A"/>
    <w:rsid w:val="00C13681"/>
    <w:rsid w:val="00C1405A"/>
    <w:rsid w:val="00C1490B"/>
    <w:rsid w:val="00C153AE"/>
    <w:rsid w:val="00C161FB"/>
    <w:rsid w:val="00C173BF"/>
    <w:rsid w:val="00C2149B"/>
    <w:rsid w:val="00C21BD2"/>
    <w:rsid w:val="00C21C21"/>
    <w:rsid w:val="00C21C43"/>
    <w:rsid w:val="00C2214D"/>
    <w:rsid w:val="00C2398A"/>
    <w:rsid w:val="00C2532C"/>
    <w:rsid w:val="00C26B4A"/>
    <w:rsid w:val="00C274D7"/>
    <w:rsid w:val="00C27C92"/>
    <w:rsid w:val="00C27DD7"/>
    <w:rsid w:val="00C30FDF"/>
    <w:rsid w:val="00C324C8"/>
    <w:rsid w:val="00C32786"/>
    <w:rsid w:val="00C33E81"/>
    <w:rsid w:val="00C3616B"/>
    <w:rsid w:val="00C42C02"/>
    <w:rsid w:val="00C44C28"/>
    <w:rsid w:val="00C44F5D"/>
    <w:rsid w:val="00C453A1"/>
    <w:rsid w:val="00C45DFB"/>
    <w:rsid w:val="00C45FBD"/>
    <w:rsid w:val="00C47146"/>
    <w:rsid w:val="00C51740"/>
    <w:rsid w:val="00C51AD0"/>
    <w:rsid w:val="00C5304A"/>
    <w:rsid w:val="00C531B2"/>
    <w:rsid w:val="00C53AAF"/>
    <w:rsid w:val="00C54332"/>
    <w:rsid w:val="00C561B5"/>
    <w:rsid w:val="00C569AE"/>
    <w:rsid w:val="00C57142"/>
    <w:rsid w:val="00C57D3E"/>
    <w:rsid w:val="00C60292"/>
    <w:rsid w:val="00C61D89"/>
    <w:rsid w:val="00C632FC"/>
    <w:rsid w:val="00C64B08"/>
    <w:rsid w:val="00C65A8A"/>
    <w:rsid w:val="00C66340"/>
    <w:rsid w:val="00C6780D"/>
    <w:rsid w:val="00C67836"/>
    <w:rsid w:val="00C70E3E"/>
    <w:rsid w:val="00C7294B"/>
    <w:rsid w:val="00C73CF3"/>
    <w:rsid w:val="00C75249"/>
    <w:rsid w:val="00C7678D"/>
    <w:rsid w:val="00C809CD"/>
    <w:rsid w:val="00C80BC2"/>
    <w:rsid w:val="00C81C97"/>
    <w:rsid w:val="00C83481"/>
    <w:rsid w:val="00C84928"/>
    <w:rsid w:val="00C84C4B"/>
    <w:rsid w:val="00C8534E"/>
    <w:rsid w:val="00C86F51"/>
    <w:rsid w:val="00C87B3C"/>
    <w:rsid w:val="00C90557"/>
    <w:rsid w:val="00C9415A"/>
    <w:rsid w:val="00C943D2"/>
    <w:rsid w:val="00C946ED"/>
    <w:rsid w:val="00C9500D"/>
    <w:rsid w:val="00C95AD9"/>
    <w:rsid w:val="00C96B99"/>
    <w:rsid w:val="00C97099"/>
    <w:rsid w:val="00C9780D"/>
    <w:rsid w:val="00CA29DD"/>
    <w:rsid w:val="00CA2D64"/>
    <w:rsid w:val="00CA3139"/>
    <w:rsid w:val="00CA3AD0"/>
    <w:rsid w:val="00CA3B3C"/>
    <w:rsid w:val="00CA68A1"/>
    <w:rsid w:val="00CB0862"/>
    <w:rsid w:val="00CB189F"/>
    <w:rsid w:val="00CB564E"/>
    <w:rsid w:val="00CC0424"/>
    <w:rsid w:val="00CC058C"/>
    <w:rsid w:val="00CC0F44"/>
    <w:rsid w:val="00CC2D1F"/>
    <w:rsid w:val="00CC377E"/>
    <w:rsid w:val="00CC3841"/>
    <w:rsid w:val="00CC4FFD"/>
    <w:rsid w:val="00CC64C7"/>
    <w:rsid w:val="00CC75C9"/>
    <w:rsid w:val="00CD156D"/>
    <w:rsid w:val="00CD177D"/>
    <w:rsid w:val="00CD2881"/>
    <w:rsid w:val="00CD2B81"/>
    <w:rsid w:val="00CD44B6"/>
    <w:rsid w:val="00CD4955"/>
    <w:rsid w:val="00CD5257"/>
    <w:rsid w:val="00CD5717"/>
    <w:rsid w:val="00CD61B3"/>
    <w:rsid w:val="00CE3DB4"/>
    <w:rsid w:val="00CE6571"/>
    <w:rsid w:val="00CE75CE"/>
    <w:rsid w:val="00CF519A"/>
    <w:rsid w:val="00CF5B7A"/>
    <w:rsid w:val="00CF5DBA"/>
    <w:rsid w:val="00CF79D8"/>
    <w:rsid w:val="00D000A1"/>
    <w:rsid w:val="00D01722"/>
    <w:rsid w:val="00D01D87"/>
    <w:rsid w:val="00D020EF"/>
    <w:rsid w:val="00D02CA8"/>
    <w:rsid w:val="00D049DB"/>
    <w:rsid w:val="00D04BAA"/>
    <w:rsid w:val="00D05175"/>
    <w:rsid w:val="00D06869"/>
    <w:rsid w:val="00D07428"/>
    <w:rsid w:val="00D07D69"/>
    <w:rsid w:val="00D106DF"/>
    <w:rsid w:val="00D10B2B"/>
    <w:rsid w:val="00D10F32"/>
    <w:rsid w:val="00D1125F"/>
    <w:rsid w:val="00D12E3D"/>
    <w:rsid w:val="00D1487B"/>
    <w:rsid w:val="00D1533C"/>
    <w:rsid w:val="00D15EA2"/>
    <w:rsid w:val="00D170FE"/>
    <w:rsid w:val="00D1752D"/>
    <w:rsid w:val="00D178E7"/>
    <w:rsid w:val="00D212DA"/>
    <w:rsid w:val="00D21889"/>
    <w:rsid w:val="00D21BE9"/>
    <w:rsid w:val="00D232F7"/>
    <w:rsid w:val="00D23849"/>
    <w:rsid w:val="00D24686"/>
    <w:rsid w:val="00D27318"/>
    <w:rsid w:val="00D273E5"/>
    <w:rsid w:val="00D274F4"/>
    <w:rsid w:val="00D333AB"/>
    <w:rsid w:val="00D33452"/>
    <w:rsid w:val="00D34A8A"/>
    <w:rsid w:val="00D403EC"/>
    <w:rsid w:val="00D40517"/>
    <w:rsid w:val="00D409CC"/>
    <w:rsid w:val="00D41831"/>
    <w:rsid w:val="00D429B9"/>
    <w:rsid w:val="00D43A17"/>
    <w:rsid w:val="00D43A30"/>
    <w:rsid w:val="00D44689"/>
    <w:rsid w:val="00D447B5"/>
    <w:rsid w:val="00D47CC8"/>
    <w:rsid w:val="00D53050"/>
    <w:rsid w:val="00D547BC"/>
    <w:rsid w:val="00D55773"/>
    <w:rsid w:val="00D56E06"/>
    <w:rsid w:val="00D60385"/>
    <w:rsid w:val="00D60BF2"/>
    <w:rsid w:val="00D63490"/>
    <w:rsid w:val="00D65443"/>
    <w:rsid w:val="00D666F6"/>
    <w:rsid w:val="00D66C7C"/>
    <w:rsid w:val="00D66FB6"/>
    <w:rsid w:val="00D67E60"/>
    <w:rsid w:val="00D739CC"/>
    <w:rsid w:val="00D75889"/>
    <w:rsid w:val="00D77359"/>
    <w:rsid w:val="00D776CF"/>
    <w:rsid w:val="00D77726"/>
    <w:rsid w:val="00D77BAF"/>
    <w:rsid w:val="00D800F4"/>
    <w:rsid w:val="00D80D5F"/>
    <w:rsid w:val="00D84E72"/>
    <w:rsid w:val="00D8501D"/>
    <w:rsid w:val="00D86B37"/>
    <w:rsid w:val="00D87112"/>
    <w:rsid w:val="00D90EC7"/>
    <w:rsid w:val="00D91469"/>
    <w:rsid w:val="00D9191F"/>
    <w:rsid w:val="00D91F94"/>
    <w:rsid w:val="00D927B3"/>
    <w:rsid w:val="00D92975"/>
    <w:rsid w:val="00D9298F"/>
    <w:rsid w:val="00D945BC"/>
    <w:rsid w:val="00D94B0E"/>
    <w:rsid w:val="00D94B4B"/>
    <w:rsid w:val="00D94E5B"/>
    <w:rsid w:val="00D95BD8"/>
    <w:rsid w:val="00D96EC8"/>
    <w:rsid w:val="00D97FA9"/>
    <w:rsid w:val="00DA0026"/>
    <w:rsid w:val="00DA1D35"/>
    <w:rsid w:val="00DA209F"/>
    <w:rsid w:val="00DA2681"/>
    <w:rsid w:val="00DA2EDF"/>
    <w:rsid w:val="00DA3864"/>
    <w:rsid w:val="00DA391D"/>
    <w:rsid w:val="00DA5F1B"/>
    <w:rsid w:val="00DA66B9"/>
    <w:rsid w:val="00DB0606"/>
    <w:rsid w:val="00DB0762"/>
    <w:rsid w:val="00DB0A0B"/>
    <w:rsid w:val="00DB2513"/>
    <w:rsid w:val="00DB6415"/>
    <w:rsid w:val="00DB77E9"/>
    <w:rsid w:val="00DB7BFC"/>
    <w:rsid w:val="00DC0144"/>
    <w:rsid w:val="00DC0633"/>
    <w:rsid w:val="00DC1123"/>
    <w:rsid w:val="00DC16E4"/>
    <w:rsid w:val="00DC1BBB"/>
    <w:rsid w:val="00DC2886"/>
    <w:rsid w:val="00DC3A2A"/>
    <w:rsid w:val="00DC4270"/>
    <w:rsid w:val="00DC4906"/>
    <w:rsid w:val="00DC5A49"/>
    <w:rsid w:val="00DC71D9"/>
    <w:rsid w:val="00DC757A"/>
    <w:rsid w:val="00DC78AA"/>
    <w:rsid w:val="00DD041F"/>
    <w:rsid w:val="00DD284A"/>
    <w:rsid w:val="00DD4A86"/>
    <w:rsid w:val="00DD7ADA"/>
    <w:rsid w:val="00DE0AAC"/>
    <w:rsid w:val="00DE183E"/>
    <w:rsid w:val="00DE2844"/>
    <w:rsid w:val="00DE431F"/>
    <w:rsid w:val="00DE45DA"/>
    <w:rsid w:val="00DE73A7"/>
    <w:rsid w:val="00DF128C"/>
    <w:rsid w:val="00DF150C"/>
    <w:rsid w:val="00DF2E22"/>
    <w:rsid w:val="00DF3726"/>
    <w:rsid w:val="00DF3E02"/>
    <w:rsid w:val="00DF4A00"/>
    <w:rsid w:val="00DF50D8"/>
    <w:rsid w:val="00DF54C1"/>
    <w:rsid w:val="00DF6FB0"/>
    <w:rsid w:val="00DF702A"/>
    <w:rsid w:val="00E00775"/>
    <w:rsid w:val="00E034E1"/>
    <w:rsid w:val="00E04201"/>
    <w:rsid w:val="00E04437"/>
    <w:rsid w:val="00E04501"/>
    <w:rsid w:val="00E04ABE"/>
    <w:rsid w:val="00E059B7"/>
    <w:rsid w:val="00E060A0"/>
    <w:rsid w:val="00E10B9C"/>
    <w:rsid w:val="00E1150A"/>
    <w:rsid w:val="00E12440"/>
    <w:rsid w:val="00E128D8"/>
    <w:rsid w:val="00E13A0D"/>
    <w:rsid w:val="00E13DAF"/>
    <w:rsid w:val="00E14EF2"/>
    <w:rsid w:val="00E150ED"/>
    <w:rsid w:val="00E15205"/>
    <w:rsid w:val="00E15745"/>
    <w:rsid w:val="00E16028"/>
    <w:rsid w:val="00E16196"/>
    <w:rsid w:val="00E16331"/>
    <w:rsid w:val="00E20D93"/>
    <w:rsid w:val="00E21D3E"/>
    <w:rsid w:val="00E22FB1"/>
    <w:rsid w:val="00E24E6B"/>
    <w:rsid w:val="00E25F96"/>
    <w:rsid w:val="00E25FC8"/>
    <w:rsid w:val="00E2631D"/>
    <w:rsid w:val="00E272D4"/>
    <w:rsid w:val="00E30012"/>
    <w:rsid w:val="00E34AD0"/>
    <w:rsid w:val="00E35CDC"/>
    <w:rsid w:val="00E36452"/>
    <w:rsid w:val="00E3730B"/>
    <w:rsid w:val="00E40069"/>
    <w:rsid w:val="00E41EC7"/>
    <w:rsid w:val="00E42709"/>
    <w:rsid w:val="00E42744"/>
    <w:rsid w:val="00E438B3"/>
    <w:rsid w:val="00E445BC"/>
    <w:rsid w:val="00E465F2"/>
    <w:rsid w:val="00E46ED4"/>
    <w:rsid w:val="00E51255"/>
    <w:rsid w:val="00E51ED6"/>
    <w:rsid w:val="00E52C5E"/>
    <w:rsid w:val="00E53912"/>
    <w:rsid w:val="00E55470"/>
    <w:rsid w:val="00E55843"/>
    <w:rsid w:val="00E55C9D"/>
    <w:rsid w:val="00E569BC"/>
    <w:rsid w:val="00E56A85"/>
    <w:rsid w:val="00E57BAA"/>
    <w:rsid w:val="00E61059"/>
    <w:rsid w:val="00E6164F"/>
    <w:rsid w:val="00E62B65"/>
    <w:rsid w:val="00E62FD5"/>
    <w:rsid w:val="00E630D6"/>
    <w:rsid w:val="00E63105"/>
    <w:rsid w:val="00E6557F"/>
    <w:rsid w:val="00E6676A"/>
    <w:rsid w:val="00E67DA9"/>
    <w:rsid w:val="00E72583"/>
    <w:rsid w:val="00E725C5"/>
    <w:rsid w:val="00E732D6"/>
    <w:rsid w:val="00E767DD"/>
    <w:rsid w:val="00E76E66"/>
    <w:rsid w:val="00E819CC"/>
    <w:rsid w:val="00E829CA"/>
    <w:rsid w:val="00E83ADD"/>
    <w:rsid w:val="00E83F94"/>
    <w:rsid w:val="00E91561"/>
    <w:rsid w:val="00E92EBC"/>
    <w:rsid w:val="00E932A7"/>
    <w:rsid w:val="00E95926"/>
    <w:rsid w:val="00E96316"/>
    <w:rsid w:val="00E96C1F"/>
    <w:rsid w:val="00EA0AFA"/>
    <w:rsid w:val="00EA209D"/>
    <w:rsid w:val="00EA22CB"/>
    <w:rsid w:val="00EA29C7"/>
    <w:rsid w:val="00EA2FEC"/>
    <w:rsid w:val="00EA3DF5"/>
    <w:rsid w:val="00EA428E"/>
    <w:rsid w:val="00EA45F6"/>
    <w:rsid w:val="00EA5EE5"/>
    <w:rsid w:val="00EA6365"/>
    <w:rsid w:val="00EA7B76"/>
    <w:rsid w:val="00EB23B2"/>
    <w:rsid w:val="00EB319D"/>
    <w:rsid w:val="00EB3E56"/>
    <w:rsid w:val="00EB46EF"/>
    <w:rsid w:val="00EB4830"/>
    <w:rsid w:val="00EB4A1C"/>
    <w:rsid w:val="00EB4A7C"/>
    <w:rsid w:val="00EC0C77"/>
    <w:rsid w:val="00EC2BF9"/>
    <w:rsid w:val="00EC2F8D"/>
    <w:rsid w:val="00EC42B6"/>
    <w:rsid w:val="00EC498D"/>
    <w:rsid w:val="00EC56F9"/>
    <w:rsid w:val="00EC6903"/>
    <w:rsid w:val="00EC6F88"/>
    <w:rsid w:val="00EC78C7"/>
    <w:rsid w:val="00EC7951"/>
    <w:rsid w:val="00ED3AAA"/>
    <w:rsid w:val="00ED5264"/>
    <w:rsid w:val="00EE0EA3"/>
    <w:rsid w:val="00EE2C06"/>
    <w:rsid w:val="00EE32E1"/>
    <w:rsid w:val="00EE5DD9"/>
    <w:rsid w:val="00EE5F18"/>
    <w:rsid w:val="00EE7544"/>
    <w:rsid w:val="00EF1901"/>
    <w:rsid w:val="00EF3712"/>
    <w:rsid w:val="00EF50A1"/>
    <w:rsid w:val="00EF56CE"/>
    <w:rsid w:val="00EF5B9E"/>
    <w:rsid w:val="00EF618B"/>
    <w:rsid w:val="00EF67EC"/>
    <w:rsid w:val="00EF6A06"/>
    <w:rsid w:val="00F0009F"/>
    <w:rsid w:val="00F01970"/>
    <w:rsid w:val="00F02915"/>
    <w:rsid w:val="00F037E8"/>
    <w:rsid w:val="00F05D0D"/>
    <w:rsid w:val="00F0613D"/>
    <w:rsid w:val="00F0745B"/>
    <w:rsid w:val="00F07718"/>
    <w:rsid w:val="00F102FE"/>
    <w:rsid w:val="00F12A1D"/>
    <w:rsid w:val="00F150ED"/>
    <w:rsid w:val="00F15347"/>
    <w:rsid w:val="00F172DD"/>
    <w:rsid w:val="00F22554"/>
    <w:rsid w:val="00F23151"/>
    <w:rsid w:val="00F23209"/>
    <w:rsid w:val="00F237E5"/>
    <w:rsid w:val="00F24C7D"/>
    <w:rsid w:val="00F2569A"/>
    <w:rsid w:val="00F26D43"/>
    <w:rsid w:val="00F3032A"/>
    <w:rsid w:val="00F308CA"/>
    <w:rsid w:val="00F3137D"/>
    <w:rsid w:val="00F31AE6"/>
    <w:rsid w:val="00F32697"/>
    <w:rsid w:val="00F32D35"/>
    <w:rsid w:val="00F34345"/>
    <w:rsid w:val="00F343B2"/>
    <w:rsid w:val="00F365C7"/>
    <w:rsid w:val="00F3666A"/>
    <w:rsid w:val="00F4025E"/>
    <w:rsid w:val="00F4371F"/>
    <w:rsid w:val="00F43D7C"/>
    <w:rsid w:val="00F441C2"/>
    <w:rsid w:val="00F45380"/>
    <w:rsid w:val="00F45B7C"/>
    <w:rsid w:val="00F45CFF"/>
    <w:rsid w:val="00F47706"/>
    <w:rsid w:val="00F503CC"/>
    <w:rsid w:val="00F50938"/>
    <w:rsid w:val="00F536DD"/>
    <w:rsid w:val="00F54962"/>
    <w:rsid w:val="00F5577F"/>
    <w:rsid w:val="00F567F7"/>
    <w:rsid w:val="00F56BDC"/>
    <w:rsid w:val="00F5712E"/>
    <w:rsid w:val="00F57BD2"/>
    <w:rsid w:val="00F608E1"/>
    <w:rsid w:val="00F609B1"/>
    <w:rsid w:val="00F60E60"/>
    <w:rsid w:val="00F62116"/>
    <w:rsid w:val="00F62257"/>
    <w:rsid w:val="00F63119"/>
    <w:rsid w:val="00F633CB"/>
    <w:rsid w:val="00F6481B"/>
    <w:rsid w:val="00F70D1B"/>
    <w:rsid w:val="00F72C67"/>
    <w:rsid w:val="00F75B90"/>
    <w:rsid w:val="00F75E61"/>
    <w:rsid w:val="00F7620F"/>
    <w:rsid w:val="00F76BC2"/>
    <w:rsid w:val="00F76FCD"/>
    <w:rsid w:val="00F77320"/>
    <w:rsid w:val="00F77337"/>
    <w:rsid w:val="00F7740B"/>
    <w:rsid w:val="00F77E68"/>
    <w:rsid w:val="00F80A9B"/>
    <w:rsid w:val="00F8184E"/>
    <w:rsid w:val="00F822C8"/>
    <w:rsid w:val="00F82D2E"/>
    <w:rsid w:val="00F82F1F"/>
    <w:rsid w:val="00F8672B"/>
    <w:rsid w:val="00F86877"/>
    <w:rsid w:val="00F86E0A"/>
    <w:rsid w:val="00F87D53"/>
    <w:rsid w:val="00F87F17"/>
    <w:rsid w:val="00F90117"/>
    <w:rsid w:val="00F90E7A"/>
    <w:rsid w:val="00F9141B"/>
    <w:rsid w:val="00F91E7B"/>
    <w:rsid w:val="00F92249"/>
    <w:rsid w:val="00F96E9C"/>
    <w:rsid w:val="00FA02F7"/>
    <w:rsid w:val="00FA2743"/>
    <w:rsid w:val="00FA2B87"/>
    <w:rsid w:val="00FA3D5E"/>
    <w:rsid w:val="00FB01FC"/>
    <w:rsid w:val="00FB0C6B"/>
    <w:rsid w:val="00FB0CA4"/>
    <w:rsid w:val="00FB0E4A"/>
    <w:rsid w:val="00FB15C5"/>
    <w:rsid w:val="00FB28C6"/>
    <w:rsid w:val="00FB33B6"/>
    <w:rsid w:val="00FB36F7"/>
    <w:rsid w:val="00FB3A8C"/>
    <w:rsid w:val="00FB7280"/>
    <w:rsid w:val="00FC20FA"/>
    <w:rsid w:val="00FC32B8"/>
    <w:rsid w:val="00FC3795"/>
    <w:rsid w:val="00FC403E"/>
    <w:rsid w:val="00FC44BC"/>
    <w:rsid w:val="00FC508A"/>
    <w:rsid w:val="00FC5871"/>
    <w:rsid w:val="00FD014D"/>
    <w:rsid w:val="00FD0BEF"/>
    <w:rsid w:val="00FD109E"/>
    <w:rsid w:val="00FD19C3"/>
    <w:rsid w:val="00FD1E69"/>
    <w:rsid w:val="00FD326F"/>
    <w:rsid w:val="00FD33E3"/>
    <w:rsid w:val="00FD4438"/>
    <w:rsid w:val="00FD4B20"/>
    <w:rsid w:val="00FD5448"/>
    <w:rsid w:val="00FD5519"/>
    <w:rsid w:val="00FD6D15"/>
    <w:rsid w:val="00FD7C7D"/>
    <w:rsid w:val="00FD7DF1"/>
    <w:rsid w:val="00FD7F7F"/>
    <w:rsid w:val="00FE0404"/>
    <w:rsid w:val="00FE1DA1"/>
    <w:rsid w:val="00FE5CCC"/>
    <w:rsid w:val="00FE6752"/>
    <w:rsid w:val="00FE7EB9"/>
    <w:rsid w:val="00FF10C5"/>
    <w:rsid w:val="00FF37F4"/>
    <w:rsid w:val="00FF430C"/>
    <w:rsid w:val="00FF5012"/>
    <w:rsid w:val="00FF6494"/>
    <w:rsid w:val="00FF756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882"/>
    <o:shapelayout v:ext="edit">
      <o:idmap v:ext="edit" data="1"/>
      <o:rules v:ext="edit">
        <o:r id="V:Rule28" type="connector" idref="#_x0000_s1031"/>
        <o:r id="V:Rule29" type="connector" idref="#_x0000_s1055"/>
        <o:r id="V:Rule30" type="connector" idref="#_x0000_s1057"/>
        <o:r id="V:Rule31" type="connector" idref="#_x0000_s1060"/>
        <o:r id="V:Rule32" type="connector" idref="#_x0000_s1056"/>
        <o:r id="V:Rule33" type="connector" idref="#_x0000_s1028"/>
        <o:r id="V:Rule34" type="connector" idref="#_x0000_s1026"/>
        <o:r id="V:Rule35" type="connector" idref="#_x0000_s1063"/>
        <o:r id="V:Rule36" type="connector" idref="#_x0000_s1032"/>
        <o:r id="V:Rule37" type="connector" idref="#_x0000_s1035"/>
        <o:r id="V:Rule38" type="connector" idref="#_x0000_s1048"/>
        <o:r id="V:Rule39" type="connector" idref="#_x0000_s1029"/>
        <o:r id="V:Rule40" type="connector" idref="#_x0000_s1049"/>
        <o:r id="V:Rule41" type="connector" idref="#_x0000_s1040"/>
        <o:r id="V:Rule42" type="connector" idref="#_x0000_s1039"/>
        <o:r id="V:Rule43" type="connector" idref="#_x0000_s1038"/>
        <o:r id="V:Rule44" type="connector" idref="#_x0000_s1042"/>
        <o:r id="V:Rule45" type="connector" idref="#_x0000_s1053"/>
        <o:r id="V:Rule46" type="connector" idref="#_x0000_s1041"/>
        <o:r id="V:Rule47" type="connector" idref="#_x0000_s1033"/>
        <o:r id="V:Rule48" type="connector" idref="#_x0000_s1058"/>
        <o:r id="V:Rule49" type="connector" idref="#_x0000_s1044"/>
        <o:r id="V:Rule50" type="connector" idref="#_x0000_s1051"/>
        <o:r id="V:Rule51" type="connector" idref="#_x0000_s1030"/>
        <o:r id="V:Rule52" type="connector" idref="#_x0000_s1061"/>
        <o:r id="V:Rule53" type="connector" idref="#_x0000_s1036"/>
        <o:r id="V:Rule54"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477F"/>
  </w:style>
  <w:style w:type="paragraph" w:styleId="Titre1">
    <w:name w:val="heading 1"/>
    <w:basedOn w:val="Normal"/>
    <w:next w:val="Normal"/>
    <w:link w:val="Titre1Car"/>
    <w:qFormat/>
    <w:rsid w:val="00E445BC"/>
    <w:pPr>
      <w:keepNext/>
      <w:numPr>
        <w:numId w:val="3"/>
      </w:numPr>
      <w:spacing w:after="0" w:line="240" w:lineRule="auto"/>
      <w:jc w:val="both"/>
      <w:outlineLvl w:val="0"/>
    </w:pPr>
    <w:rPr>
      <w:rFonts w:ascii="Arial" w:eastAsia="Times New Roman" w:hAnsi="Arial" w:cs="Times New Roman"/>
      <w:b/>
      <w:sz w:val="24"/>
      <w:szCs w:val="24"/>
      <w:lang w:eastAsia="fr-FR"/>
    </w:rPr>
  </w:style>
  <w:style w:type="paragraph" w:styleId="Titre2">
    <w:name w:val="heading 2"/>
    <w:basedOn w:val="Normal"/>
    <w:next w:val="Normal"/>
    <w:link w:val="Titre2Car"/>
    <w:qFormat/>
    <w:rsid w:val="00E445BC"/>
    <w:pPr>
      <w:keepNext/>
      <w:numPr>
        <w:ilvl w:val="1"/>
        <w:numId w:val="3"/>
      </w:numPr>
      <w:spacing w:after="0" w:line="240" w:lineRule="auto"/>
      <w:outlineLvl w:val="1"/>
    </w:pPr>
    <w:rPr>
      <w:rFonts w:ascii="Arial" w:eastAsia="Times New Roman" w:hAnsi="Arial" w:cs="Times New Roman"/>
      <w:b/>
      <w:smallCaps/>
      <w:lang w:val="fr-FR" w:eastAsia="fr-FR"/>
    </w:rPr>
  </w:style>
  <w:style w:type="paragraph" w:styleId="Titre3">
    <w:name w:val="heading 3"/>
    <w:basedOn w:val="Normal"/>
    <w:next w:val="Normal"/>
    <w:link w:val="Titre3Car"/>
    <w:qFormat/>
    <w:rsid w:val="00E445BC"/>
    <w:pPr>
      <w:keepNext/>
      <w:numPr>
        <w:ilvl w:val="2"/>
        <w:numId w:val="3"/>
      </w:numPr>
      <w:spacing w:after="0" w:line="240" w:lineRule="auto"/>
      <w:jc w:val="both"/>
      <w:outlineLvl w:val="2"/>
    </w:pPr>
    <w:rPr>
      <w:rFonts w:ascii="Arial" w:eastAsia="Times New Roman" w:hAnsi="Arial" w:cs="Times New Roman"/>
      <w:b/>
      <w:bCs/>
      <w:sz w:val="20"/>
      <w:szCs w:val="24"/>
      <w:lang w:val="fr-FR" w:eastAsia="fr-FR"/>
    </w:rPr>
  </w:style>
  <w:style w:type="paragraph" w:styleId="Titre4">
    <w:name w:val="heading 4"/>
    <w:basedOn w:val="Normal"/>
    <w:next w:val="Normal"/>
    <w:link w:val="Titre4Car"/>
    <w:qFormat/>
    <w:rsid w:val="00E445BC"/>
    <w:pPr>
      <w:keepNext/>
      <w:numPr>
        <w:ilvl w:val="3"/>
        <w:numId w:val="3"/>
      </w:numPr>
      <w:spacing w:after="0" w:line="240" w:lineRule="auto"/>
      <w:jc w:val="both"/>
      <w:outlineLvl w:val="3"/>
    </w:pPr>
    <w:rPr>
      <w:rFonts w:ascii="Arial" w:eastAsia="Times New Roman" w:hAnsi="Arial" w:cs="Times New Roman"/>
      <w:i/>
      <w:szCs w:val="24"/>
      <w:lang w:val="fr-FR" w:eastAsia="fr-FR"/>
    </w:rPr>
  </w:style>
  <w:style w:type="paragraph" w:styleId="Titre5">
    <w:name w:val="heading 5"/>
    <w:basedOn w:val="Normal"/>
    <w:next w:val="Normal"/>
    <w:link w:val="Titre5Car"/>
    <w:qFormat/>
    <w:rsid w:val="00E445BC"/>
    <w:pPr>
      <w:keepNext/>
      <w:numPr>
        <w:ilvl w:val="4"/>
        <w:numId w:val="3"/>
      </w:numPr>
      <w:spacing w:before="120" w:after="120" w:line="240" w:lineRule="auto"/>
      <w:jc w:val="both"/>
      <w:outlineLvl w:val="4"/>
    </w:pPr>
    <w:rPr>
      <w:rFonts w:ascii="Arial" w:eastAsia="Times New Roman" w:hAnsi="Arial" w:cs="Times New Roman"/>
      <w:b/>
      <w:szCs w:val="20"/>
      <w:lang w:val="fr-FR" w:eastAsia="fr-FR"/>
    </w:rPr>
  </w:style>
  <w:style w:type="paragraph" w:styleId="Titre6">
    <w:name w:val="heading 6"/>
    <w:basedOn w:val="Normal"/>
    <w:next w:val="Normal"/>
    <w:link w:val="Titre6Car"/>
    <w:qFormat/>
    <w:rsid w:val="00E445BC"/>
    <w:pPr>
      <w:numPr>
        <w:ilvl w:val="5"/>
        <w:numId w:val="3"/>
      </w:numPr>
      <w:spacing w:before="240" w:after="60" w:line="240" w:lineRule="auto"/>
      <w:outlineLvl w:val="5"/>
    </w:pPr>
    <w:rPr>
      <w:rFonts w:ascii="Arial" w:eastAsia="Times New Roman" w:hAnsi="Arial" w:cs="Times New Roman"/>
      <w:b/>
      <w:bCs/>
      <w:lang w:val="en-GB" w:eastAsia="fr-FR"/>
    </w:rPr>
  </w:style>
  <w:style w:type="paragraph" w:styleId="Titre7">
    <w:name w:val="heading 7"/>
    <w:basedOn w:val="Normal"/>
    <w:next w:val="Normal"/>
    <w:link w:val="Titre7Car"/>
    <w:qFormat/>
    <w:rsid w:val="00E445BC"/>
    <w:pPr>
      <w:numPr>
        <w:ilvl w:val="6"/>
        <w:numId w:val="3"/>
      </w:numPr>
      <w:spacing w:before="240" w:after="60" w:line="240" w:lineRule="auto"/>
      <w:outlineLvl w:val="6"/>
    </w:pPr>
    <w:rPr>
      <w:rFonts w:ascii="Arial" w:eastAsia="Times New Roman" w:hAnsi="Arial" w:cs="Times New Roman"/>
      <w:szCs w:val="24"/>
      <w:lang w:val="en-GB" w:eastAsia="fr-FR"/>
    </w:rPr>
  </w:style>
  <w:style w:type="paragraph" w:styleId="Titre8">
    <w:name w:val="heading 8"/>
    <w:basedOn w:val="Normal"/>
    <w:next w:val="Normal"/>
    <w:link w:val="Titre8Car"/>
    <w:qFormat/>
    <w:rsid w:val="00E445BC"/>
    <w:pPr>
      <w:numPr>
        <w:ilvl w:val="7"/>
        <w:numId w:val="3"/>
      </w:numPr>
      <w:spacing w:before="240" w:after="60" w:line="240" w:lineRule="auto"/>
      <w:outlineLvl w:val="7"/>
    </w:pPr>
    <w:rPr>
      <w:rFonts w:ascii="Arial" w:eastAsia="Times New Roman" w:hAnsi="Arial" w:cs="Times New Roman"/>
      <w:i/>
      <w:iCs/>
      <w:szCs w:val="24"/>
      <w:lang w:val="en-GB" w:eastAsia="fr-FR"/>
    </w:rPr>
  </w:style>
  <w:style w:type="paragraph" w:styleId="Titre9">
    <w:name w:val="heading 9"/>
    <w:basedOn w:val="Normal"/>
    <w:next w:val="Normal"/>
    <w:link w:val="Titre9Car"/>
    <w:qFormat/>
    <w:rsid w:val="00E445BC"/>
    <w:pPr>
      <w:numPr>
        <w:ilvl w:val="8"/>
        <w:numId w:val="3"/>
      </w:numPr>
      <w:spacing w:before="240" w:after="60" w:line="240" w:lineRule="auto"/>
      <w:outlineLvl w:val="8"/>
    </w:pPr>
    <w:rPr>
      <w:rFonts w:ascii="Arial" w:eastAsia="Times New Roman" w:hAnsi="Arial" w:cs="Arial"/>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E445BC"/>
    <w:rPr>
      <w:rFonts w:ascii="Arial" w:eastAsia="Times New Roman" w:hAnsi="Arial" w:cs="Times New Roman"/>
      <w:b/>
      <w:sz w:val="24"/>
      <w:szCs w:val="24"/>
      <w:lang w:eastAsia="fr-FR"/>
    </w:rPr>
  </w:style>
  <w:style w:type="character" w:customStyle="1" w:styleId="Titre2Car">
    <w:name w:val="Titre 2 Car"/>
    <w:basedOn w:val="Policepardfaut"/>
    <w:link w:val="Titre2"/>
    <w:rsid w:val="00E445BC"/>
    <w:rPr>
      <w:rFonts w:ascii="Arial" w:eastAsia="Times New Roman" w:hAnsi="Arial" w:cs="Times New Roman"/>
      <w:b/>
      <w:smallCaps/>
      <w:lang w:val="fr-FR" w:eastAsia="fr-FR"/>
    </w:rPr>
  </w:style>
  <w:style w:type="character" w:customStyle="1" w:styleId="Titre3Car">
    <w:name w:val="Titre 3 Car"/>
    <w:basedOn w:val="Policepardfaut"/>
    <w:link w:val="Titre3"/>
    <w:rsid w:val="00E445BC"/>
    <w:rPr>
      <w:rFonts w:ascii="Arial" w:eastAsia="Times New Roman" w:hAnsi="Arial" w:cs="Times New Roman"/>
      <w:b/>
      <w:bCs/>
      <w:sz w:val="20"/>
      <w:szCs w:val="24"/>
      <w:lang w:val="fr-FR" w:eastAsia="fr-FR"/>
    </w:rPr>
  </w:style>
  <w:style w:type="character" w:customStyle="1" w:styleId="Titre4Car">
    <w:name w:val="Titre 4 Car"/>
    <w:basedOn w:val="Policepardfaut"/>
    <w:link w:val="Titre4"/>
    <w:rsid w:val="00E445BC"/>
    <w:rPr>
      <w:rFonts w:ascii="Arial" w:eastAsia="Times New Roman" w:hAnsi="Arial" w:cs="Times New Roman"/>
      <w:i/>
      <w:szCs w:val="24"/>
      <w:lang w:val="fr-FR" w:eastAsia="fr-FR"/>
    </w:rPr>
  </w:style>
  <w:style w:type="character" w:customStyle="1" w:styleId="Titre5Car">
    <w:name w:val="Titre 5 Car"/>
    <w:basedOn w:val="Policepardfaut"/>
    <w:link w:val="Titre5"/>
    <w:rsid w:val="00E445BC"/>
    <w:rPr>
      <w:rFonts w:ascii="Arial" w:eastAsia="Times New Roman" w:hAnsi="Arial" w:cs="Times New Roman"/>
      <w:b/>
      <w:szCs w:val="20"/>
      <w:lang w:val="fr-FR" w:eastAsia="fr-FR"/>
    </w:rPr>
  </w:style>
  <w:style w:type="character" w:customStyle="1" w:styleId="Titre6Car">
    <w:name w:val="Titre 6 Car"/>
    <w:basedOn w:val="Policepardfaut"/>
    <w:link w:val="Titre6"/>
    <w:rsid w:val="00E445BC"/>
    <w:rPr>
      <w:rFonts w:ascii="Arial" w:eastAsia="Times New Roman" w:hAnsi="Arial" w:cs="Times New Roman"/>
      <w:b/>
      <w:bCs/>
      <w:lang w:val="en-GB" w:eastAsia="fr-FR"/>
    </w:rPr>
  </w:style>
  <w:style w:type="character" w:customStyle="1" w:styleId="Titre7Car">
    <w:name w:val="Titre 7 Car"/>
    <w:basedOn w:val="Policepardfaut"/>
    <w:link w:val="Titre7"/>
    <w:rsid w:val="00E445BC"/>
    <w:rPr>
      <w:rFonts w:ascii="Arial" w:eastAsia="Times New Roman" w:hAnsi="Arial" w:cs="Times New Roman"/>
      <w:szCs w:val="24"/>
      <w:lang w:val="en-GB" w:eastAsia="fr-FR"/>
    </w:rPr>
  </w:style>
  <w:style w:type="character" w:customStyle="1" w:styleId="Titre8Car">
    <w:name w:val="Titre 8 Car"/>
    <w:basedOn w:val="Policepardfaut"/>
    <w:link w:val="Titre8"/>
    <w:rsid w:val="00E445BC"/>
    <w:rPr>
      <w:rFonts w:ascii="Arial" w:eastAsia="Times New Roman" w:hAnsi="Arial" w:cs="Times New Roman"/>
      <w:i/>
      <w:iCs/>
      <w:szCs w:val="24"/>
      <w:lang w:val="en-GB" w:eastAsia="fr-FR"/>
    </w:rPr>
  </w:style>
  <w:style w:type="character" w:customStyle="1" w:styleId="Titre9Car">
    <w:name w:val="Titre 9 Car"/>
    <w:basedOn w:val="Policepardfaut"/>
    <w:link w:val="Titre9"/>
    <w:rsid w:val="00E445BC"/>
    <w:rPr>
      <w:rFonts w:ascii="Arial" w:eastAsia="Times New Roman" w:hAnsi="Arial" w:cs="Arial"/>
      <w:lang w:val="fr-FR" w:eastAsia="fr-FR"/>
    </w:rPr>
  </w:style>
  <w:style w:type="paragraph" w:styleId="Paragraphedeliste">
    <w:name w:val="List Paragraph"/>
    <w:basedOn w:val="Normal"/>
    <w:uiPriority w:val="34"/>
    <w:qFormat/>
    <w:rsid w:val="00B45850"/>
    <w:pPr>
      <w:ind w:left="720"/>
      <w:contextualSpacing/>
    </w:pPr>
  </w:style>
  <w:style w:type="paragraph" w:styleId="Lgende">
    <w:name w:val="caption"/>
    <w:basedOn w:val="Normal"/>
    <w:next w:val="Normal"/>
    <w:qFormat/>
    <w:rsid w:val="00572F1F"/>
    <w:pPr>
      <w:spacing w:after="0" w:line="240" w:lineRule="auto"/>
    </w:pPr>
    <w:rPr>
      <w:rFonts w:ascii="Times New Roman" w:eastAsia="Times New Roman" w:hAnsi="Times New Roman" w:cs="Times New Roman"/>
      <w:b/>
      <w:bCs/>
      <w:sz w:val="20"/>
      <w:szCs w:val="20"/>
      <w:lang w:eastAsia="fr-FR"/>
    </w:rPr>
  </w:style>
  <w:style w:type="paragraph" w:customStyle="1" w:styleId="retrait1">
    <w:name w:val="retrait 1"/>
    <w:basedOn w:val="Normal"/>
    <w:next w:val="Normal"/>
    <w:rsid w:val="00572F1F"/>
    <w:pPr>
      <w:numPr>
        <w:numId w:val="2"/>
      </w:numPr>
      <w:spacing w:before="40" w:after="60"/>
      <w:jc w:val="both"/>
    </w:pPr>
    <w:rPr>
      <w:rFonts w:ascii="Arial" w:eastAsia="Times New Roman" w:hAnsi="Arial" w:cs="Arial"/>
      <w:sz w:val="20"/>
      <w:szCs w:val="20"/>
    </w:rPr>
  </w:style>
  <w:style w:type="character" w:styleId="Marquedecommentaire">
    <w:name w:val="annotation reference"/>
    <w:basedOn w:val="Policepardfaut"/>
    <w:uiPriority w:val="99"/>
    <w:semiHidden/>
    <w:unhideWhenUsed/>
    <w:rsid w:val="00F56BDC"/>
    <w:rPr>
      <w:sz w:val="16"/>
      <w:szCs w:val="16"/>
    </w:rPr>
  </w:style>
  <w:style w:type="paragraph" w:styleId="Commentaire">
    <w:name w:val="annotation text"/>
    <w:basedOn w:val="Normal"/>
    <w:link w:val="CommentaireCar"/>
    <w:uiPriority w:val="99"/>
    <w:unhideWhenUsed/>
    <w:rsid w:val="00F56BDC"/>
    <w:pPr>
      <w:spacing w:line="240" w:lineRule="auto"/>
    </w:pPr>
    <w:rPr>
      <w:sz w:val="20"/>
      <w:szCs w:val="20"/>
    </w:rPr>
  </w:style>
  <w:style w:type="character" w:customStyle="1" w:styleId="CommentaireCar">
    <w:name w:val="Commentaire Car"/>
    <w:basedOn w:val="Policepardfaut"/>
    <w:link w:val="Commentaire"/>
    <w:uiPriority w:val="99"/>
    <w:rsid w:val="00F56BDC"/>
    <w:rPr>
      <w:sz w:val="20"/>
      <w:szCs w:val="20"/>
    </w:rPr>
  </w:style>
  <w:style w:type="paragraph" w:styleId="Objetducommentaire">
    <w:name w:val="annotation subject"/>
    <w:basedOn w:val="Commentaire"/>
    <w:next w:val="Commentaire"/>
    <w:link w:val="ObjetducommentaireCar"/>
    <w:uiPriority w:val="99"/>
    <w:semiHidden/>
    <w:unhideWhenUsed/>
    <w:rsid w:val="00F56BDC"/>
    <w:rPr>
      <w:b/>
      <w:bCs/>
    </w:rPr>
  </w:style>
  <w:style w:type="character" w:customStyle="1" w:styleId="ObjetducommentaireCar">
    <w:name w:val="Objet du commentaire Car"/>
    <w:basedOn w:val="CommentaireCar"/>
    <w:link w:val="Objetducommentaire"/>
    <w:uiPriority w:val="99"/>
    <w:semiHidden/>
    <w:rsid w:val="00F56BDC"/>
    <w:rPr>
      <w:b/>
      <w:bCs/>
      <w:sz w:val="20"/>
      <w:szCs w:val="20"/>
    </w:rPr>
  </w:style>
  <w:style w:type="paragraph" w:styleId="Textedebulles">
    <w:name w:val="Balloon Text"/>
    <w:basedOn w:val="Normal"/>
    <w:link w:val="TextedebullesCar"/>
    <w:uiPriority w:val="99"/>
    <w:semiHidden/>
    <w:unhideWhenUsed/>
    <w:rsid w:val="00F56BD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56BDC"/>
    <w:rPr>
      <w:rFonts w:ascii="Tahoma" w:hAnsi="Tahoma" w:cs="Tahoma"/>
      <w:sz w:val="16"/>
      <w:szCs w:val="16"/>
    </w:rPr>
  </w:style>
  <w:style w:type="paragraph" w:styleId="En-tte">
    <w:name w:val="header"/>
    <w:basedOn w:val="Normal"/>
    <w:link w:val="En-tteCar"/>
    <w:uiPriority w:val="99"/>
    <w:unhideWhenUsed/>
    <w:rsid w:val="00F4025E"/>
    <w:pPr>
      <w:tabs>
        <w:tab w:val="center" w:pos="4680"/>
        <w:tab w:val="right" w:pos="9360"/>
      </w:tabs>
      <w:spacing w:after="0" w:line="240" w:lineRule="auto"/>
    </w:pPr>
  </w:style>
  <w:style w:type="character" w:customStyle="1" w:styleId="En-tteCar">
    <w:name w:val="En-tête Car"/>
    <w:basedOn w:val="Policepardfaut"/>
    <w:link w:val="En-tte"/>
    <w:uiPriority w:val="99"/>
    <w:rsid w:val="00F4025E"/>
  </w:style>
  <w:style w:type="paragraph" w:styleId="Pieddepage">
    <w:name w:val="footer"/>
    <w:basedOn w:val="Normal"/>
    <w:link w:val="PieddepageCar"/>
    <w:unhideWhenUsed/>
    <w:rsid w:val="00F4025E"/>
    <w:pPr>
      <w:tabs>
        <w:tab w:val="center" w:pos="4680"/>
        <w:tab w:val="right" w:pos="9360"/>
      </w:tabs>
      <w:spacing w:after="0" w:line="240" w:lineRule="auto"/>
    </w:pPr>
  </w:style>
  <w:style w:type="character" w:customStyle="1" w:styleId="PieddepageCar">
    <w:name w:val="Pied de page Car"/>
    <w:basedOn w:val="Policepardfaut"/>
    <w:link w:val="Pieddepage"/>
    <w:rsid w:val="00F4025E"/>
  </w:style>
  <w:style w:type="paragraph" w:styleId="Notedebasdepage">
    <w:name w:val="footnote text"/>
    <w:basedOn w:val="Normal"/>
    <w:link w:val="NotedebasdepageCar"/>
    <w:rsid w:val="006F3A12"/>
    <w:pPr>
      <w:spacing w:after="0" w:line="240" w:lineRule="auto"/>
      <w:jc w:val="both"/>
    </w:pPr>
    <w:rPr>
      <w:rFonts w:ascii="Arial" w:eastAsia="Times New Roman" w:hAnsi="Arial" w:cs="Times New Roman"/>
      <w:sz w:val="20"/>
      <w:szCs w:val="20"/>
      <w:lang w:val="fr-FR" w:eastAsia="fr-FR"/>
    </w:rPr>
  </w:style>
  <w:style w:type="character" w:customStyle="1" w:styleId="NotedebasdepageCar">
    <w:name w:val="Note de bas de page Car"/>
    <w:basedOn w:val="Policepardfaut"/>
    <w:link w:val="Notedebasdepage"/>
    <w:rsid w:val="006F3A12"/>
    <w:rPr>
      <w:rFonts w:ascii="Arial" w:eastAsia="Times New Roman" w:hAnsi="Arial" w:cs="Times New Roman"/>
      <w:sz w:val="20"/>
      <w:szCs w:val="20"/>
      <w:lang w:val="fr-FR" w:eastAsia="fr-FR"/>
    </w:rPr>
  </w:style>
  <w:style w:type="character" w:styleId="Appelnotedebasdep">
    <w:name w:val="footnote reference"/>
    <w:basedOn w:val="Policepardfaut"/>
    <w:rsid w:val="006F3A12"/>
    <w:rPr>
      <w:vertAlign w:val="superscript"/>
    </w:rPr>
  </w:style>
  <w:style w:type="paragraph" w:customStyle="1" w:styleId="Style1">
    <w:name w:val="Style1"/>
    <w:basedOn w:val="Normal"/>
    <w:autoRedefine/>
    <w:rsid w:val="006F3A12"/>
    <w:pPr>
      <w:numPr>
        <w:numId w:val="4"/>
      </w:numPr>
      <w:spacing w:after="0" w:line="240" w:lineRule="auto"/>
      <w:jc w:val="both"/>
    </w:pPr>
    <w:rPr>
      <w:rFonts w:ascii="Arial" w:eastAsia="Times New Roman" w:hAnsi="Arial" w:cs="Arial"/>
      <w:b/>
      <w:lang w:val="fr-FR" w:eastAsia="fr-FR"/>
    </w:rPr>
  </w:style>
  <w:style w:type="paragraph" w:customStyle="1" w:styleId="texte1">
    <w:name w:val="texte 1"/>
    <w:basedOn w:val="Normal"/>
    <w:link w:val="texte1Car"/>
    <w:rsid w:val="006F3A12"/>
    <w:pPr>
      <w:spacing w:before="80" w:after="100" w:line="240" w:lineRule="auto"/>
      <w:jc w:val="both"/>
    </w:pPr>
    <w:rPr>
      <w:rFonts w:ascii="Arial" w:eastAsia="Times New Roman" w:hAnsi="Arial" w:cs="Arial"/>
      <w:sz w:val="20"/>
      <w:szCs w:val="24"/>
      <w:lang w:eastAsia="fr-FR"/>
    </w:rPr>
  </w:style>
  <w:style w:type="character" w:customStyle="1" w:styleId="texte1Car">
    <w:name w:val="texte 1 Car"/>
    <w:basedOn w:val="Policepardfaut"/>
    <w:link w:val="texte1"/>
    <w:uiPriority w:val="99"/>
    <w:rsid w:val="006F3A12"/>
    <w:rPr>
      <w:rFonts w:ascii="Arial" w:eastAsia="Times New Roman" w:hAnsi="Arial" w:cs="Arial"/>
      <w:sz w:val="20"/>
      <w:szCs w:val="24"/>
      <w:lang w:eastAsia="fr-FR"/>
    </w:rPr>
  </w:style>
  <w:style w:type="paragraph" w:customStyle="1" w:styleId="RGA3">
    <w:name w:val="RGA3"/>
    <w:link w:val="RGA3Car"/>
    <w:rsid w:val="006F3A12"/>
    <w:pPr>
      <w:spacing w:before="280" w:line="240" w:lineRule="auto"/>
    </w:pPr>
    <w:rPr>
      <w:rFonts w:ascii="Arial" w:eastAsia="Times New Roman" w:hAnsi="Arial" w:cs="Times New Roman"/>
      <w:b/>
      <w:sz w:val="24"/>
      <w:szCs w:val="24"/>
      <w:lang w:val="fr-FR" w:eastAsia="fr-FR"/>
    </w:rPr>
  </w:style>
  <w:style w:type="character" w:customStyle="1" w:styleId="RGA3Car">
    <w:name w:val="RGA3 Car"/>
    <w:basedOn w:val="Policepardfaut"/>
    <w:link w:val="RGA3"/>
    <w:locked/>
    <w:rsid w:val="006F3A12"/>
    <w:rPr>
      <w:rFonts w:ascii="Arial" w:eastAsia="Times New Roman" w:hAnsi="Arial" w:cs="Times New Roman"/>
      <w:b/>
      <w:sz w:val="24"/>
      <w:szCs w:val="24"/>
      <w:lang w:val="fr-FR" w:eastAsia="fr-FR"/>
    </w:rPr>
  </w:style>
  <w:style w:type="paragraph" w:customStyle="1" w:styleId="textedebase">
    <w:name w:val="texte de base"/>
    <w:basedOn w:val="Normal"/>
    <w:qFormat/>
    <w:rsid w:val="006F3A12"/>
    <w:pPr>
      <w:spacing w:before="140" w:after="80" w:line="240" w:lineRule="auto"/>
      <w:jc w:val="both"/>
    </w:pPr>
    <w:rPr>
      <w:rFonts w:ascii="Arial" w:eastAsia="Times New Roman" w:hAnsi="Arial" w:cs="Times New Roman"/>
      <w:szCs w:val="24"/>
      <w:lang w:val="fr-FR" w:eastAsia="fr-FR"/>
    </w:rPr>
  </w:style>
  <w:style w:type="paragraph" w:styleId="TM3">
    <w:name w:val="toc 3"/>
    <w:basedOn w:val="Normal"/>
    <w:next w:val="Normal"/>
    <w:autoRedefine/>
    <w:uiPriority w:val="39"/>
    <w:rsid w:val="00E51ED6"/>
    <w:pPr>
      <w:spacing w:after="0" w:line="240" w:lineRule="auto"/>
      <w:ind w:left="440"/>
    </w:pPr>
    <w:rPr>
      <w:rFonts w:ascii="Calibri" w:eastAsia="Times New Roman" w:hAnsi="Calibri" w:cs="Times New Roman"/>
      <w:i/>
      <w:iCs/>
      <w:sz w:val="20"/>
      <w:szCs w:val="20"/>
      <w:lang w:val="fr-FR" w:eastAsia="fr-FR"/>
    </w:rPr>
  </w:style>
  <w:style w:type="character" w:styleId="Numrodepage">
    <w:name w:val="page number"/>
    <w:basedOn w:val="Policepardfaut"/>
    <w:rsid w:val="00E51ED6"/>
  </w:style>
  <w:style w:type="paragraph" w:styleId="TM1">
    <w:name w:val="toc 1"/>
    <w:basedOn w:val="Normal"/>
    <w:next w:val="Normal"/>
    <w:autoRedefine/>
    <w:uiPriority w:val="39"/>
    <w:rsid w:val="00E51ED6"/>
    <w:pPr>
      <w:spacing w:before="120" w:after="120" w:line="240" w:lineRule="auto"/>
    </w:pPr>
    <w:rPr>
      <w:rFonts w:ascii="Calibri" w:eastAsia="Times New Roman" w:hAnsi="Calibri" w:cs="Times New Roman"/>
      <w:b/>
      <w:bCs/>
      <w:caps/>
      <w:sz w:val="20"/>
      <w:szCs w:val="20"/>
      <w:lang w:val="fr-FR" w:eastAsia="fr-FR"/>
    </w:rPr>
  </w:style>
  <w:style w:type="character" w:styleId="Lienhypertexte">
    <w:name w:val="Hyperlink"/>
    <w:basedOn w:val="Policepardfaut"/>
    <w:uiPriority w:val="99"/>
    <w:rsid w:val="00E51ED6"/>
    <w:rPr>
      <w:color w:val="0000FF"/>
      <w:u w:val="single"/>
    </w:rPr>
  </w:style>
  <w:style w:type="paragraph" w:styleId="TM2">
    <w:name w:val="toc 2"/>
    <w:basedOn w:val="Normal"/>
    <w:next w:val="Normal"/>
    <w:autoRedefine/>
    <w:uiPriority w:val="39"/>
    <w:rsid w:val="00E51ED6"/>
    <w:pPr>
      <w:spacing w:after="0" w:line="240" w:lineRule="auto"/>
      <w:ind w:left="220"/>
    </w:pPr>
    <w:rPr>
      <w:rFonts w:ascii="Calibri" w:eastAsia="Times New Roman" w:hAnsi="Calibri" w:cs="Times New Roman"/>
      <w:smallCaps/>
      <w:sz w:val="20"/>
      <w:szCs w:val="20"/>
      <w:lang w:val="fr-FR" w:eastAsia="fr-FR"/>
    </w:rPr>
  </w:style>
  <w:style w:type="paragraph" w:styleId="TM4">
    <w:name w:val="toc 4"/>
    <w:basedOn w:val="Normal"/>
    <w:next w:val="Normal"/>
    <w:autoRedefine/>
    <w:uiPriority w:val="39"/>
    <w:rsid w:val="00E51ED6"/>
    <w:pPr>
      <w:spacing w:after="0" w:line="240" w:lineRule="auto"/>
      <w:ind w:left="660"/>
    </w:pPr>
    <w:rPr>
      <w:rFonts w:ascii="Calibri" w:eastAsia="Times New Roman" w:hAnsi="Calibri" w:cs="Times New Roman"/>
      <w:sz w:val="18"/>
      <w:szCs w:val="18"/>
      <w:lang w:val="fr-FR" w:eastAsia="fr-FR"/>
    </w:rPr>
  </w:style>
  <w:style w:type="paragraph" w:customStyle="1" w:styleId="Para3">
    <w:name w:val="Para3"/>
    <w:basedOn w:val="Normal"/>
    <w:rsid w:val="00E51ED6"/>
    <w:pPr>
      <w:spacing w:beforeLines="40" w:afterLines="40" w:line="240" w:lineRule="auto"/>
      <w:ind w:left="567"/>
      <w:jc w:val="both"/>
    </w:pPr>
    <w:rPr>
      <w:rFonts w:ascii="Times New Roman" w:eastAsia="Times New Roman" w:hAnsi="Times New Roman" w:cs="Times New Roman"/>
      <w:color w:val="000000" w:themeColor="text1"/>
      <w:szCs w:val="20"/>
      <w:lang w:val="fr-FR" w:eastAsia="fr-FR"/>
    </w:rPr>
  </w:style>
  <w:style w:type="paragraph" w:styleId="Tabledesillustrations">
    <w:name w:val="table of figures"/>
    <w:basedOn w:val="Normal"/>
    <w:next w:val="Normal"/>
    <w:uiPriority w:val="99"/>
    <w:rsid w:val="00E51ED6"/>
    <w:pPr>
      <w:spacing w:after="0" w:line="240" w:lineRule="auto"/>
    </w:pPr>
    <w:rPr>
      <w:rFonts w:ascii="Arial" w:eastAsia="Times New Roman" w:hAnsi="Arial" w:cs="Times New Roman"/>
      <w:szCs w:val="24"/>
      <w:lang w:val="fr-FR" w:eastAsia="fr-FR"/>
    </w:rPr>
  </w:style>
  <w:style w:type="paragraph" w:styleId="Corpsdetexte">
    <w:name w:val="Body Text"/>
    <w:basedOn w:val="Normal"/>
    <w:link w:val="CorpsdetexteCar"/>
    <w:rsid w:val="00940AC8"/>
    <w:pPr>
      <w:spacing w:after="120" w:line="240" w:lineRule="auto"/>
      <w:jc w:val="both"/>
    </w:pPr>
    <w:rPr>
      <w:rFonts w:ascii="Arial" w:eastAsia="Times New Roman" w:hAnsi="Arial" w:cs="Times New Roman"/>
      <w:szCs w:val="20"/>
      <w:lang w:val="es-CO" w:eastAsia="fr-FR"/>
    </w:rPr>
  </w:style>
  <w:style w:type="character" w:customStyle="1" w:styleId="CorpsdetexteCar">
    <w:name w:val="Corps de texte Car"/>
    <w:basedOn w:val="Policepardfaut"/>
    <w:link w:val="Corpsdetexte"/>
    <w:rsid w:val="00940AC8"/>
    <w:rPr>
      <w:rFonts w:ascii="Arial" w:eastAsia="Times New Roman" w:hAnsi="Arial" w:cs="Times New Roman"/>
      <w:szCs w:val="20"/>
      <w:lang w:val="es-CO" w:eastAsia="fr-FR"/>
    </w:rPr>
  </w:style>
  <w:style w:type="paragraph" w:customStyle="1" w:styleId="Tit4">
    <w:name w:val="Tit 4"/>
    <w:basedOn w:val="Normal"/>
    <w:next w:val="texte1"/>
    <w:link w:val="Tit4Car"/>
    <w:uiPriority w:val="99"/>
    <w:rsid w:val="00940AC8"/>
    <w:pPr>
      <w:keepNext/>
      <w:spacing w:before="120" w:after="180"/>
    </w:pPr>
    <w:rPr>
      <w:rFonts w:ascii="Arial" w:eastAsia="Times New Roman" w:hAnsi="Arial" w:cs="Arial"/>
      <w:b/>
      <w:bCs/>
      <w:lang w:eastAsia="en-US"/>
    </w:rPr>
  </w:style>
  <w:style w:type="character" w:customStyle="1" w:styleId="Tit4Car">
    <w:name w:val="Tit 4 Car"/>
    <w:basedOn w:val="Policepardfaut"/>
    <w:link w:val="Tit4"/>
    <w:uiPriority w:val="99"/>
    <w:locked/>
    <w:rsid w:val="00940AC8"/>
    <w:rPr>
      <w:rFonts w:ascii="Arial" w:eastAsia="Times New Roman" w:hAnsi="Arial" w:cs="Arial"/>
      <w:b/>
      <w:bCs/>
      <w:lang w:eastAsia="en-US"/>
    </w:rPr>
  </w:style>
  <w:style w:type="paragraph" w:customStyle="1" w:styleId="Tit1">
    <w:name w:val="Tit 1"/>
    <w:basedOn w:val="Normal"/>
    <w:next w:val="texte1"/>
    <w:rsid w:val="00940AC8"/>
    <w:pPr>
      <w:keepNext/>
      <w:keepLines/>
      <w:pageBreakBefore/>
      <w:numPr>
        <w:numId w:val="11"/>
      </w:numPr>
      <w:spacing w:before="560" w:after="640" w:line="240" w:lineRule="auto"/>
    </w:pPr>
    <w:rPr>
      <w:rFonts w:ascii="Arial" w:eastAsia="Times New Roman" w:hAnsi="Arial" w:cs="Arial"/>
      <w:b/>
      <w:caps/>
      <w:sz w:val="28"/>
      <w:szCs w:val="24"/>
      <w:lang w:eastAsia="fr-FR"/>
    </w:rPr>
  </w:style>
  <w:style w:type="paragraph" w:customStyle="1" w:styleId="Tit2">
    <w:name w:val="Tit 2"/>
    <w:basedOn w:val="Normal"/>
    <w:next w:val="texte1"/>
    <w:rsid w:val="00940AC8"/>
    <w:pPr>
      <w:keepNext/>
      <w:keepLines/>
      <w:numPr>
        <w:ilvl w:val="1"/>
        <w:numId w:val="11"/>
      </w:numPr>
      <w:spacing w:before="280" w:after="300" w:line="240" w:lineRule="auto"/>
      <w:jc w:val="both"/>
    </w:pPr>
    <w:rPr>
      <w:rFonts w:ascii="Arial" w:eastAsia="Times New Roman" w:hAnsi="Arial" w:cs="Arial"/>
      <w:b/>
      <w:smallCaps/>
      <w:sz w:val="24"/>
      <w:szCs w:val="24"/>
      <w:lang w:eastAsia="fr-FR"/>
    </w:rPr>
  </w:style>
  <w:style w:type="paragraph" w:customStyle="1" w:styleId="Tit3">
    <w:name w:val="Tit 3"/>
    <w:basedOn w:val="Tit2"/>
    <w:next w:val="texte1"/>
    <w:rsid w:val="00940AC8"/>
    <w:pPr>
      <w:numPr>
        <w:ilvl w:val="2"/>
      </w:numPr>
    </w:pPr>
  </w:style>
  <w:style w:type="paragraph" w:customStyle="1" w:styleId="xl25">
    <w:name w:val="xl25"/>
    <w:basedOn w:val="Normal"/>
    <w:rsid w:val="00940AC8"/>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Arial Unicode MS" w:hAnsi="Arial" w:cs="Arial"/>
      <w:sz w:val="14"/>
      <w:szCs w:val="14"/>
      <w:lang w:val="fr-FR" w:eastAsia="fr-FR"/>
    </w:rPr>
  </w:style>
  <w:style w:type="paragraph" w:customStyle="1" w:styleId="Corpsdutexte">
    <w:name w:val="Corps du texte"/>
    <w:basedOn w:val="Normal"/>
    <w:uiPriority w:val="99"/>
    <w:rsid w:val="005B2022"/>
    <w:pPr>
      <w:spacing w:before="140" w:after="80" w:line="240" w:lineRule="auto"/>
      <w:jc w:val="both"/>
    </w:pPr>
    <w:rPr>
      <w:rFonts w:ascii="Arial" w:eastAsia="Times New Roman" w:hAnsi="Arial" w:cs="Times New Roman"/>
      <w:lang w:val="fr-FR" w:eastAsia="en-US"/>
    </w:rPr>
  </w:style>
  <w:style w:type="paragraph" w:styleId="Notedefin">
    <w:name w:val="endnote text"/>
    <w:basedOn w:val="Normal"/>
    <w:link w:val="NotedefinCar"/>
    <w:rsid w:val="00647FEB"/>
    <w:pPr>
      <w:spacing w:after="0" w:line="240" w:lineRule="auto"/>
    </w:pPr>
    <w:rPr>
      <w:rFonts w:ascii="Arial" w:eastAsia="Times New Roman" w:hAnsi="Arial" w:cs="Times New Roman"/>
      <w:sz w:val="20"/>
      <w:szCs w:val="20"/>
      <w:lang w:val="fr-FR" w:eastAsia="fr-FR"/>
    </w:rPr>
  </w:style>
  <w:style w:type="character" w:customStyle="1" w:styleId="NotedefinCar">
    <w:name w:val="Note de fin Car"/>
    <w:basedOn w:val="Policepardfaut"/>
    <w:link w:val="Notedefin"/>
    <w:rsid w:val="00647FEB"/>
    <w:rPr>
      <w:rFonts w:ascii="Arial" w:eastAsia="Times New Roman" w:hAnsi="Arial" w:cs="Times New Roman"/>
      <w:sz w:val="20"/>
      <w:szCs w:val="20"/>
      <w:lang w:val="fr-FR" w:eastAsia="fr-FR"/>
    </w:rPr>
  </w:style>
  <w:style w:type="character" w:styleId="Appeldenotedefin">
    <w:name w:val="endnote reference"/>
    <w:basedOn w:val="Policepardfaut"/>
    <w:uiPriority w:val="99"/>
    <w:semiHidden/>
    <w:unhideWhenUsed/>
    <w:rsid w:val="00E12440"/>
    <w:rPr>
      <w:vertAlign w:val="superscript"/>
    </w:rPr>
  </w:style>
  <w:style w:type="character" w:styleId="lev">
    <w:name w:val="Strong"/>
    <w:basedOn w:val="Policepardfaut"/>
    <w:uiPriority w:val="22"/>
    <w:qFormat/>
    <w:rsid w:val="000327E4"/>
    <w:rPr>
      <w:b/>
      <w:bCs/>
    </w:rPr>
  </w:style>
  <w:style w:type="paragraph" w:customStyle="1" w:styleId="twunwanted">
    <w:name w:val="twunwanted"/>
    <w:basedOn w:val="Normal"/>
    <w:rsid w:val="000327E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TM5">
    <w:name w:val="toc 5"/>
    <w:basedOn w:val="Normal"/>
    <w:next w:val="Normal"/>
    <w:autoRedefine/>
    <w:uiPriority w:val="39"/>
    <w:unhideWhenUsed/>
    <w:rsid w:val="008F0565"/>
    <w:pPr>
      <w:spacing w:after="100"/>
      <w:ind w:left="880"/>
    </w:pPr>
    <w:rPr>
      <w:lang w:val="en-US" w:eastAsia="en-US"/>
    </w:rPr>
  </w:style>
  <w:style w:type="paragraph" w:styleId="TM6">
    <w:name w:val="toc 6"/>
    <w:basedOn w:val="Normal"/>
    <w:next w:val="Normal"/>
    <w:autoRedefine/>
    <w:uiPriority w:val="39"/>
    <w:unhideWhenUsed/>
    <w:rsid w:val="008F0565"/>
    <w:pPr>
      <w:spacing w:after="100"/>
      <w:ind w:left="1100"/>
    </w:pPr>
    <w:rPr>
      <w:lang w:val="en-US" w:eastAsia="en-US"/>
    </w:rPr>
  </w:style>
  <w:style w:type="paragraph" w:styleId="TM7">
    <w:name w:val="toc 7"/>
    <w:basedOn w:val="Normal"/>
    <w:next w:val="Normal"/>
    <w:autoRedefine/>
    <w:uiPriority w:val="39"/>
    <w:unhideWhenUsed/>
    <w:rsid w:val="008F0565"/>
    <w:pPr>
      <w:spacing w:after="100"/>
      <w:ind w:left="1320"/>
    </w:pPr>
    <w:rPr>
      <w:lang w:val="en-US" w:eastAsia="en-US"/>
    </w:rPr>
  </w:style>
  <w:style w:type="paragraph" w:styleId="TM8">
    <w:name w:val="toc 8"/>
    <w:basedOn w:val="Normal"/>
    <w:next w:val="Normal"/>
    <w:autoRedefine/>
    <w:uiPriority w:val="39"/>
    <w:unhideWhenUsed/>
    <w:rsid w:val="008F0565"/>
    <w:pPr>
      <w:spacing w:after="100"/>
      <w:ind w:left="1540"/>
    </w:pPr>
    <w:rPr>
      <w:lang w:val="en-US" w:eastAsia="en-US"/>
    </w:rPr>
  </w:style>
  <w:style w:type="paragraph" w:styleId="TM9">
    <w:name w:val="toc 9"/>
    <w:basedOn w:val="Normal"/>
    <w:next w:val="Normal"/>
    <w:autoRedefine/>
    <w:uiPriority w:val="39"/>
    <w:unhideWhenUsed/>
    <w:rsid w:val="008F0565"/>
    <w:pPr>
      <w:spacing w:after="100"/>
      <w:ind w:left="1760"/>
    </w:pPr>
    <w:rPr>
      <w:lang w:val="en-US" w:eastAsia="en-US"/>
    </w:rPr>
  </w:style>
  <w:style w:type="paragraph" w:customStyle="1" w:styleId="yiv1196623996msolistparagraph">
    <w:name w:val="yiv1196623996msolistparagraph"/>
    <w:basedOn w:val="Normal"/>
    <w:rsid w:val="004F4CA0"/>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NormalWeb">
    <w:name w:val="Normal (Web)"/>
    <w:basedOn w:val="Normal"/>
    <w:uiPriority w:val="99"/>
    <w:rsid w:val="00AF0AD3"/>
    <w:pPr>
      <w:spacing w:before="100" w:beforeAutospacing="1" w:after="100" w:afterAutospacing="1"/>
    </w:pPr>
    <w:rPr>
      <w:rFonts w:asciiTheme="majorHAnsi" w:eastAsiaTheme="majorEastAsia" w:hAnsiTheme="majorHAnsi" w:cstheme="majorBidi"/>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B45850"/>
    <w:pPr>
      <w:ind w:left="720"/>
      <w:contextualSpacing/>
    </w:pPr>
  </w:style>
  <w:style w:type="paragraph" w:styleId="Lgende">
    <w:name w:val="caption"/>
    <w:basedOn w:val="Normal"/>
    <w:next w:val="Normal"/>
    <w:qFormat/>
    <w:rsid w:val="00572F1F"/>
    <w:pPr>
      <w:spacing w:after="0" w:line="240" w:lineRule="auto"/>
    </w:pPr>
    <w:rPr>
      <w:rFonts w:ascii="Times New Roman" w:eastAsia="Times New Roman" w:hAnsi="Times New Roman" w:cs="Times New Roman"/>
      <w:b/>
      <w:bCs/>
      <w:sz w:val="20"/>
      <w:szCs w:val="20"/>
      <w:lang w:eastAsia="fr-FR"/>
    </w:rPr>
  </w:style>
  <w:style w:type="paragraph" w:customStyle="1" w:styleId="retrait1">
    <w:name w:val="retrait 1"/>
    <w:basedOn w:val="Normal"/>
    <w:next w:val="Normal"/>
    <w:uiPriority w:val="99"/>
    <w:rsid w:val="00572F1F"/>
    <w:pPr>
      <w:numPr>
        <w:numId w:val="4"/>
      </w:numPr>
      <w:spacing w:before="40" w:after="60"/>
      <w:jc w:val="both"/>
    </w:pPr>
    <w:rPr>
      <w:rFonts w:ascii="Arial" w:eastAsia="Times New Roman" w:hAnsi="Arial" w:cs="Arial"/>
      <w:sz w:val="20"/>
      <w:szCs w:val="20"/>
    </w:rPr>
  </w:style>
  <w:style w:type="character" w:styleId="Marquedecommentaire">
    <w:name w:val="annotation reference"/>
    <w:basedOn w:val="Policepardfaut"/>
    <w:uiPriority w:val="99"/>
    <w:semiHidden/>
    <w:unhideWhenUsed/>
    <w:rsid w:val="00F56BDC"/>
    <w:rPr>
      <w:sz w:val="16"/>
      <w:szCs w:val="16"/>
    </w:rPr>
  </w:style>
  <w:style w:type="paragraph" w:styleId="Commentaire">
    <w:name w:val="annotation text"/>
    <w:basedOn w:val="Normal"/>
    <w:link w:val="CommentaireCar"/>
    <w:uiPriority w:val="99"/>
    <w:semiHidden/>
    <w:unhideWhenUsed/>
    <w:rsid w:val="00F56BDC"/>
    <w:pPr>
      <w:spacing w:line="240" w:lineRule="auto"/>
    </w:pPr>
    <w:rPr>
      <w:sz w:val="20"/>
      <w:szCs w:val="20"/>
    </w:rPr>
  </w:style>
  <w:style w:type="character" w:customStyle="1" w:styleId="CommentaireCar">
    <w:name w:val="Commentaire Car"/>
    <w:basedOn w:val="Policepardfaut"/>
    <w:link w:val="Commentaire"/>
    <w:uiPriority w:val="99"/>
    <w:semiHidden/>
    <w:rsid w:val="00F56BDC"/>
    <w:rPr>
      <w:sz w:val="20"/>
      <w:szCs w:val="20"/>
    </w:rPr>
  </w:style>
  <w:style w:type="paragraph" w:styleId="Objetducommentaire">
    <w:name w:val="annotation subject"/>
    <w:basedOn w:val="Commentaire"/>
    <w:next w:val="Commentaire"/>
    <w:link w:val="ObjetducommentaireCar"/>
    <w:uiPriority w:val="99"/>
    <w:semiHidden/>
    <w:unhideWhenUsed/>
    <w:rsid w:val="00F56BDC"/>
    <w:rPr>
      <w:b/>
      <w:bCs/>
    </w:rPr>
  </w:style>
  <w:style w:type="character" w:customStyle="1" w:styleId="ObjetducommentaireCar">
    <w:name w:val="Objet du commentaire Car"/>
    <w:basedOn w:val="CommentaireCar"/>
    <w:link w:val="Objetducommentaire"/>
    <w:uiPriority w:val="99"/>
    <w:semiHidden/>
    <w:rsid w:val="00F56BDC"/>
    <w:rPr>
      <w:b/>
      <w:bCs/>
      <w:sz w:val="20"/>
      <w:szCs w:val="20"/>
    </w:rPr>
  </w:style>
  <w:style w:type="paragraph" w:styleId="Textedebulles">
    <w:name w:val="Balloon Text"/>
    <w:basedOn w:val="Normal"/>
    <w:link w:val="TextedebullesCar"/>
    <w:uiPriority w:val="99"/>
    <w:semiHidden/>
    <w:unhideWhenUsed/>
    <w:rsid w:val="00F56BD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56BD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8353493">
      <w:bodyDiv w:val="1"/>
      <w:marLeft w:val="0"/>
      <w:marRight w:val="0"/>
      <w:marTop w:val="0"/>
      <w:marBottom w:val="0"/>
      <w:divBdr>
        <w:top w:val="none" w:sz="0" w:space="0" w:color="auto"/>
        <w:left w:val="none" w:sz="0" w:space="0" w:color="auto"/>
        <w:bottom w:val="none" w:sz="0" w:space="0" w:color="auto"/>
        <w:right w:val="none" w:sz="0" w:space="0" w:color="auto"/>
      </w:divBdr>
    </w:div>
    <w:div w:id="894127958">
      <w:bodyDiv w:val="1"/>
      <w:marLeft w:val="0"/>
      <w:marRight w:val="0"/>
      <w:marTop w:val="0"/>
      <w:marBottom w:val="0"/>
      <w:divBdr>
        <w:top w:val="none" w:sz="0" w:space="0" w:color="auto"/>
        <w:left w:val="none" w:sz="0" w:space="0" w:color="auto"/>
        <w:bottom w:val="none" w:sz="0" w:space="0" w:color="auto"/>
        <w:right w:val="none" w:sz="0" w:space="0" w:color="auto"/>
      </w:divBdr>
    </w:div>
    <w:div w:id="939215639">
      <w:bodyDiv w:val="1"/>
      <w:marLeft w:val="0"/>
      <w:marRight w:val="0"/>
      <w:marTop w:val="0"/>
      <w:marBottom w:val="0"/>
      <w:divBdr>
        <w:top w:val="none" w:sz="0" w:space="0" w:color="auto"/>
        <w:left w:val="none" w:sz="0" w:space="0" w:color="auto"/>
        <w:bottom w:val="none" w:sz="0" w:space="0" w:color="auto"/>
        <w:right w:val="none" w:sz="0" w:space="0" w:color="auto"/>
      </w:divBdr>
    </w:div>
    <w:div w:id="1170870048">
      <w:bodyDiv w:val="1"/>
      <w:marLeft w:val="0"/>
      <w:marRight w:val="0"/>
      <w:marTop w:val="0"/>
      <w:marBottom w:val="0"/>
      <w:divBdr>
        <w:top w:val="none" w:sz="0" w:space="0" w:color="auto"/>
        <w:left w:val="none" w:sz="0" w:space="0" w:color="auto"/>
        <w:bottom w:val="none" w:sz="0" w:space="0" w:color="auto"/>
        <w:right w:val="none" w:sz="0" w:space="0" w:color="auto"/>
      </w:divBdr>
    </w:div>
    <w:div w:id="1237134445">
      <w:bodyDiv w:val="1"/>
      <w:marLeft w:val="0"/>
      <w:marRight w:val="0"/>
      <w:marTop w:val="0"/>
      <w:marBottom w:val="0"/>
      <w:divBdr>
        <w:top w:val="none" w:sz="0" w:space="0" w:color="auto"/>
        <w:left w:val="none" w:sz="0" w:space="0" w:color="auto"/>
        <w:bottom w:val="none" w:sz="0" w:space="0" w:color="auto"/>
        <w:right w:val="none" w:sz="0" w:space="0" w:color="auto"/>
      </w:divBdr>
    </w:div>
    <w:div w:id="1812818826">
      <w:bodyDiv w:val="1"/>
      <w:marLeft w:val="0"/>
      <w:marRight w:val="0"/>
      <w:marTop w:val="0"/>
      <w:marBottom w:val="0"/>
      <w:divBdr>
        <w:top w:val="none" w:sz="0" w:space="0" w:color="auto"/>
        <w:left w:val="none" w:sz="0" w:space="0" w:color="auto"/>
        <w:bottom w:val="none" w:sz="0" w:space="0" w:color="auto"/>
        <w:right w:val="none" w:sz="0" w:space="0" w:color="auto"/>
      </w:divBdr>
    </w:div>
    <w:div w:id="213864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emf"/><Relationship Id="rId299" Type="http://schemas.openxmlformats.org/officeDocument/2006/relationships/image" Target="media/image288.emf"/><Relationship Id="rId303" Type="http://schemas.openxmlformats.org/officeDocument/2006/relationships/image" Target="media/image292.emf"/><Relationship Id="rId21" Type="http://schemas.openxmlformats.org/officeDocument/2006/relationships/image" Target="media/image10.emf"/><Relationship Id="rId42" Type="http://schemas.openxmlformats.org/officeDocument/2006/relationships/image" Target="media/image31.png"/><Relationship Id="rId63" Type="http://schemas.openxmlformats.org/officeDocument/2006/relationships/image" Target="media/image52.emf"/><Relationship Id="rId84" Type="http://schemas.openxmlformats.org/officeDocument/2006/relationships/image" Target="media/image73.emf"/><Relationship Id="rId138" Type="http://schemas.openxmlformats.org/officeDocument/2006/relationships/image" Target="media/image127.emf"/><Relationship Id="rId159" Type="http://schemas.openxmlformats.org/officeDocument/2006/relationships/image" Target="media/image148.emf"/><Relationship Id="rId324" Type="http://schemas.openxmlformats.org/officeDocument/2006/relationships/image" Target="media/image313.emf"/><Relationship Id="rId345" Type="http://schemas.openxmlformats.org/officeDocument/2006/relationships/image" Target="media/image334.emf"/><Relationship Id="rId366" Type="http://schemas.openxmlformats.org/officeDocument/2006/relationships/image" Target="media/image355.emf"/><Relationship Id="rId170" Type="http://schemas.openxmlformats.org/officeDocument/2006/relationships/image" Target="media/image159.emf"/><Relationship Id="rId191" Type="http://schemas.openxmlformats.org/officeDocument/2006/relationships/image" Target="media/image180.emf"/><Relationship Id="rId205" Type="http://schemas.openxmlformats.org/officeDocument/2006/relationships/image" Target="media/image194.emf"/><Relationship Id="rId226" Type="http://schemas.openxmlformats.org/officeDocument/2006/relationships/image" Target="media/image215.emf"/><Relationship Id="rId247" Type="http://schemas.openxmlformats.org/officeDocument/2006/relationships/image" Target="media/image236.emf"/><Relationship Id="rId107" Type="http://schemas.openxmlformats.org/officeDocument/2006/relationships/image" Target="media/image96.emf"/><Relationship Id="rId268" Type="http://schemas.openxmlformats.org/officeDocument/2006/relationships/image" Target="media/image257.emf"/><Relationship Id="rId289" Type="http://schemas.openxmlformats.org/officeDocument/2006/relationships/image" Target="media/image278.emf"/><Relationship Id="rId11" Type="http://schemas.openxmlformats.org/officeDocument/2006/relationships/image" Target="media/image4.jpeg"/><Relationship Id="rId32" Type="http://schemas.openxmlformats.org/officeDocument/2006/relationships/image" Target="media/image21.emf"/><Relationship Id="rId53" Type="http://schemas.openxmlformats.org/officeDocument/2006/relationships/image" Target="media/image42.emf"/><Relationship Id="rId74" Type="http://schemas.openxmlformats.org/officeDocument/2006/relationships/image" Target="media/image63.emf"/><Relationship Id="rId128" Type="http://schemas.openxmlformats.org/officeDocument/2006/relationships/image" Target="media/image117.emf"/><Relationship Id="rId149" Type="http://schemas.openxmlformats.org/officeDocument/2006/relationships/image" Target="media/image138.emf"/><Relationship Id="rId314" Type="http://schemas.openxmlformats.org/officeDocument/2006/relationships/image" Target="media/image303.emf"/><Relationship Id="rId335" Type="http://schemas.openxmlformats.org/officeDocument/2006/relationships/image" Target="media/image324.emf"/><Relationship Id="rId356" Type="http://schemas.openxmlformats.org/officeDocument/2006/relationships/image" Target="media/image345.emf"/><Relationship Id="rId5" Type="http://schemas.openxmlformats.org/officeDocument/2006/relationships/webSettings" Target="webSettings.xml"/><Relationship Id="rId95" Type="http://schemas.openxmlformats.org/officeDocument/2006/relationships/image" Target="media/image84.emf"/><Relationship Id="rId160" Type="http://schemas.openxmlformats.org/officeDocument/2006/relationships/image" Target="media/image149.emf"/><Relationship Id="rId181" Type="http://schemas.openxmlformats.org/officeDocument/2006/relationships/image" Target="media/image170.emf"/><Relationship Id="rId216" Type="http://schemas.openxmlformats.org/officeDocument/2006/relationships/image" Target="media/image205.emf"/><Relationship Id="rId237" Type="http://schemas.openxmlformats.org/officeDocument/2006/relationships/image" Target="media/image226.emf"/><Relationship Id="rId258" Type="http://schemas.openxmlformats.org/officeDocument/2006/relationships/image" Target="media/image247.emf"/><Relationship Id="rId279" Type="http://schemas.openxmlformats.org/officeDocument/2006/relationships/image" Target="media/image268.png"/><Relationship Id="rId22" Type="http://schemas.openxmlformats.org/officeDocument/2006/relationships/image" Target="media/image11.png"/><Relationship Id="rId43" Type="http://schemas.openxmlformats.org/officeDocument/2006/relationships/image" Target="media/image32.emf"/><Relationship Id="rId64" Type="http://schemas.openxmlformats.org/officeDocument/2006/relationships/image" Target="media/image53.emf"/><Relationship Id="rId118" Type="http://schemas.openxmlformats.org/officeDocument/2006/relationships/image" Target="media/image107.emf"/><Relationship Id="rId139" Type="http://schemas.openxmlformats.org/officeDocument/2006/relationships/image" Target="media/image128.emf"/><Relationship Id="rId290" Type="http://schemas.openxmlformats.org/officeDocument/2006/relationships/image" Target="media/image279.emf"/><Relationship Id="rId304" Type="http://schemas.openxmlformats.org/officeDocument/2006/relationships/image" Target="media/image293.emf"/><Relationship Id="rId325" Type="http://schemas.openxmlformats.org/officeDocument/2006/relationships/image" Target="media/image314.emf"/><Relationship Id="rId346" Type="http://schemas.openxmlformats.org/officeDocument/2006/relationships/image" Target="media/image335.emf"/><Relationship Id="rId367" Type="http://schemas.openxmlformats.org/officeDocument/2006/relationships/footer" Target="footer3.xml"/><Relationship Id="rId85" Type="http://schemas.openxmlformats.org/officeDocument/2006/relationships/image" Target="media/image74.emf"/><Relationship Id="rId150" Type="http://schemas.openxmlformats.org/officeDocument/2006/relationships/image" Target="media/image139.emf"/><Relationship Id="rId171" Type="http://schemas.openxmlformats.org/officeDocument/2006/relationships/image" Target="media/image160.emf"/><Relationship Id="rId192" Type="http://schemas.openxmlformats.org/officeDocument/2006/relationships/image" Target="media/image181.emf"/><Relationship Id="rId206" Type="http://schemas.openxmlformats.org/officeDocument/2006/relationships/image" Target="media/image195.emf"/><Relationship Id="rId227" Type="http://schemas.openxmlformats.org/officeDocument/2006/relationships/image" Target="media/image216.emf"/><Relationship Id="rId248" Type="http://schemas.openxmlformats.org/officeDocument/2006/relationships/image" Target="media/image237.emf"/><Relationship Id="rId269" Type="http://schemas.openxmlformats.org/officeDocument/2006/relationships/image" Target="media/image258.emf"/><Relationship Id="rId12" Type="http://schemas.openxmlformats.org/officeDocument/2006/relationships/image" Target="media/image5.jpeg"/><Relationship Id="rId33" Type="http://schemas.openxmlformats.org/officeDocument/2006/relationships/image" Target="media/image22.png"/><Relationship Id="rId108" Type="http://schemas.openxmlformats.org/officeDocument/2006/relationships/image" Target="media/image97.emf"/><Relationship Id="rId129" Type="http://schemas.openxmlformats.org/officeDocument/2006/relationships/image" Target="media/image118.emf"/><Relationship Id="rId280" Type="http://schemas.openxmlformats.org/officeDocument/2006/relationships/image" Target="media/image269.png"/><Relationship Id="rId315" Type="http://schemas.openxmlformats.org/officeDocument/2006/relationships/image" Target="media/image304.emf"/><Relationship Id="rId336" Type="http://schemas.openxmlformats.org/officeDocument/2006/relationships/image" Target="media/image325.emf"/><Relationship Id="rId357" Type="http://schemas.openxmlformats.org/officeDocument/2006/relationships/image" Target="media/image346.emf"/><Relationship Id="rId54" Type="http://schemas.openxmlformats.org/officeDocument/2006/relationships/image" Target="media/image43.emf"/><Relationship Id="rId75" Type="http://schemas.openxmlformats.org/officeDocument/2006/relationships/image" Target="media/image64.emf"/><Relationship Id="rId96" Type="http://schemas.openxmlformats.org/officeDocument/2006/relationships/image" Target="media/image85.emf"/><Relationship Id="rId140" Type="http://schemas.openxmlformats.org/officeDocument/2006/relationships/image" Target="media/image129.emf"/><Relationship Id="rId161" Type="http://schemas.openxmlformats.org/officeDocument/2006/relationships/image" Target="media/image150.emf"/><Relationship Id="rId182" Type="http://schemas.openxmlformats.org/officeDocument/2006/relationships/image" Target="media/image171.emf"/><Relationship Id="rId217" Type="http://schemas.openxmlformats.org/officeDocument/2006/relationships/image" Target="media/image206.emf"/><Relationship Id="rId6" Type="http://schemas.openxmlformats.org/officeDocument/2006/relationships/footnotes" Target="footnotes.xml"/><Relationship Id="rId238" Type="http://schemas.openxmlformats.org/officeDocument/2006/relationships/image" Target="media/image227.emf"/><Relationship Id="rId259" Type="http://schemas.openxmlformats.org/officeDocument/2006/relationships/image" Target="media/image248.emf"/><Relationship Id="rId23" Type="http://schemas.openxmlformats.org/officeDocument/2006/relationships/image" Target="media/image12.emf"/><Relationship Id="rId119" Type="http://schemas.openxmlformats.org/officeDocument/2006/relationships/image" Target="media/image108.emf"/><Relationship Id="rId270" Type="http://schemas.openxmlformats.org/officeDocument/2006/relationships/image" Target="media/image259.emf"/><Relationship Id="rId291" Type="http://schemas.openxmlformats.org/officeDocument/2006/relationships/image" Target="media/image280.emf"/><Relationship Id="rId305" Type="http://schemas.openxmlformats.org/officeDocument/2006/relationships/image" Target="media/image294.emf"/><Relationship Id="rId326" Type="http://schemas.openxmlformats.org/officeDocument/2006/relationships/image" Target="media/image315.emf"/><Relationship Id="rId347" Type="http://schemas.openxmlformats.org/officeDocument/2006/relationships/image" Target="media/image336.emf"/><Relationship Id="rId44" Type="http://schemas.openxmlformats.org/officeDocument/2006/relationships/image" Target="media/image33.emf"/><Relationship Id="rId65" Type="http://schemas.openxmlformats.org/officeDocument/2006/relationships/image" Target="media/image54.emf"/><Relationship Id="rId86" Type="http://schemas.openxmlformats.org/officeDocument/2006/relationships/image" Target="media/image75.png"/><Relationship Id="rId130" Type="http://schemas.openxmlformats.org/officeDocument/2006/relationships/image" Target="media/image119.emf"/><Relationship Id="rId151" Type="http://schemas.openxmlformats.org/officeDocument/2006/relationships/image" Target="media/image140.emf"/><Relationship Id="rId368" Type="http://schemas.openxmlformats.org/officeDocument/2006/relationships/fontTable" Target="fontTable.xml"/><Relationship Id="rId172" Type="http://schemas.openxmlformats.org/officeDocument/2006/relationships/image" Target="media/image161.emf"/><Relationship Id="rId193" Type="http://schemas.openxmlformats.org/officeDocument/2006/relationships/image" Target="media/image182.emf"/><Relationship Id="rId207" Type="http://schemas.openxmlformats.org/officeDocument/2006/relationships/image" Target="media/image196.emf"/><Relationship Id="rId228" Type="http://schemas.openxmlformats.org/officeDocument/2006/relationships/image" Target="media/image217.emf"/><Relationship Id="rId249" Type="http://schemas.openxmlformats.org/officeDocument/2006/relationships/image" Target="media/image238.emf"/><Relationship Id="rId13" Type="http://schemas.openxmlformats.org/officeDocument/2006/relationships/header" Target="header1.xml"/><Relationship Id="rId109" Type="http://schemas.openxmlformats.org/officeDocument/2006/relationships/image" Target="media/image98.emf"/><Relationship Id="rId260" Type="http://schemas.openxmlformats.org/officeDocument/2006/relationships/image" Target="media/image249.emf"/><Relationship Id="rId281" Type="http://schemas.openxmlformats.org/officeDocument/2006/relationships/image" Target="media/image270.emf"/><Relationship Id="rId316" Type="http://schemas.openxmlformats.org/officeDocument/2006/relationships/image" Target="media/image305.emf"/><Relationship Id="rId337" Type="http://schemas.openxmlformats.org/officeDocument/2006/relationships/image" Target="media/image326.emf"/><Relationship Id="rId34" Type="http://schemas.openxmlformats.org/officeDocument/2006/relationships/image" Target="media/image23.emf"/><Relationship Id="rId55" Type="http://schemas.openxmlformats.org/officeDocument/2006/relationships/image" Target="media/image44.emf"/><Relationship Id="rId76" Type="http://schemas.openxmlformats.org/officeDocument/2006/relationships/image" Target="media/image65.emf"/><Relationship Id="rId97" Type="http://schemas.openxmlformats.org/officeDocument/2006/relationships/image" Target="media/image86.emf"/><Relationship Id="rId120" Type="http://schemas.openxmlformats.org/officeDocument/2006/relationships/image" Target="media/image109.emf"/><Relationship Id="rId141" Type="http://schemas.openxmlformats.org/officeDocument/2006/relationships/image" Target="media/image130.png"/><Relationship Id="rId358" Type="http://schemas.openxmlformats.org/officeDocument/2006/relationships/image" Target="media/image347.emf"/><Relationship Id="rId7" Type="http://schemas.openxmlformats.org/officeDocument/2006/relationships/endnotes" Target="endnotes.xml"/><Relationship Id="rId162" Type="http://schemas.openxmlformats.org/officeDocument/2006/relationships/image" Target="media/image151.emf"/><Relationship Id="rId183" Type="http://schemas.openxmlformats.org/officeDocument/2006/relationships/image" Target="media/image172.emf"/><Relationship Id="rId218" Type="http://schemas.openxmlformats.org/officeDocument/2006/relationships/image" Target="media/image207.emf"/><Relationship Id="rId239" Type="http://schemas.openxmlformats.org/officeDocument/2006/relationships/image" Target="media/image228.emf"/><Relationship Id="rId250" Type="http://schemas.openxmlformats.org/officeDocument/2006/relationships/image" Target="media/image239.emf"/><Relationship Id="rId271" Type="http://schemas.openxmlformats.org/officeDocument/2006/relationships/image" Target="media/image260.emf"/><Relationship Id="rId292" Type="http://schemas.openxmlformats.org/officeDocument/2006/relationships/image" Target="media/image281.emf"/><Relationship Id="rId306" Type="http://schemas.openxmlformats.org/officeDocument/2006/relationships/image" Target="media/image295.emf"/><Relationship Id="rId24" Type="http://schemas.openxmlformats.org/officeDocument/2006/relationships/image" Target="media/image13.png"/><Relationship Id="rId45" Type="http://schemas.openxmlformats.org/officeDocument/2006/relationships/image" Target="media/image34.emf"/><Relationship Id="rId66" Type="http://schemas.openxmlformats.org/officeDocument/2006/relationships/image" Target="media/image55.emf"/><Relationship Id="rId87" Type="http://schemas.openxmlformats.org/officeDocument/2006/relationships/image" Target="media/image76.emf"/><Relationship Id="rId110" Type="http://schemas.openxmlformats.org/officeDocument/2006/relationships/image" Target="media/image99.emf"/><Relationship Id="rId131" Type="http://schemas.openxmlformats.org/officeDocument/2006/relationships/image" Target="media/image120.emf"/><Relationship Id="rId327" Type="http://schemas.openxmlformats.org/officeDocument/2006/relationships/image" Target="media/image316.emf"/><Relationship Id="rId348" Type="http://schemas.openxmlformats.org/officeDocument/2006/relationships/image" Target="media/image337.emf"/><Relationship Id="rId369" Type="http://schemas.openxmlformats.org/officeDocument/2006/relationships/theme" Target="theme/theme1.xml"/><Relationship Id="rId152" Type="http://schemas.openxmlformats.org/officeDocument/2006/relationships/image" Target="media/image141.emf"/><Relationship Id="rId173" Type="http://schemas.openxmlformats.org/officeDocument/2006/relationships/image" Target="media/image162.emf"/><Relationship Id="rId194" Type="http://schemas.openxmlformats.org/officeDocument/2006/relationships/image" Target="media/image183.emf"/><Relationship Id="rId208" Type="http://schemas.openxmlformats.org/officeDocument/2006/relationships/image" Target="media/image197.emf"/><Relationship Id="rId229" Type="http://schemas.openxmlformats.org/officeDocument/2006/relationships/image" Target="media/image218.emf"/><Relationship Id="rId240" Type="http://schemas.openxmlformats.org/officeDocument/2006/relationships/image" Target="media/image229.emf"/><Relationship Id="rId261" Type="http://schemas.openxmlformats.org/officeDocument/2006/relationships/image" Target="media/image250.emf"/><Relationship Id="rId14" Type="http://schemas.openxmlformats.org/officeDocument/2006/relationships/header" Target="header2.xml"/><Relationship Id="rId35" Type="http://schemas.openxmlformats.org/officeDocument/2006/relationships/image" Target="media/image24.emf"/><Relationship Id="rId56" Type="http://schemas.openxmlformats.org/officeDocument/2006/relationships/image" Target="media/image45.emf"/><Relationship Id="rId77" Type="http://schemas.openxmlformats.org/officeDocument/2006/relationships/image" Target="media/image66.emf"/><Relationship Id="rId100" Type="http://schemas.openxmlformats.org/officeDocument/2006/relationships/image" Target="media/image89.png"/><Relationship Id="rId282" Type="http://schemas.openxmlformats.org/officeDocument/2006/relationships/image" Target="media/image271.emf"/><Relationship Id="rId317" Type="http://schemas.openxmlformats.org/officeDocument/2006/relationships/image" Target="media/image306.emf"/><Relationship Id="rId338" Type="http://schemas.openxmlformats.org/officeDocument/2006/relationships/image" Target="media/image327.emf"/><Relationship Id="rId359" Type="http://schemas.openxmlformats.org/officeDocument/2006/relationships/image" Target="media/image348.emf"/><Relationship Id="rId8" Type="http://schemas.openxmlformats.org/officeDocument/2006/relationships/image" Target="media/image1.jpeg"/><Relationship Id="rId98" Type="http://schemas.openxmlformats.org/officeDocument/2006/relationships/image" Target="media/image87.emf"/><Relationship Id="rId121" Type="http://schemas.openxmlformats.org/officeDocument/2006/relationships/image" Target="media/image110.emf"/><Relationship Id="rId142" Type="http://schemas.openxmlformats.org/officeDocument/2006/relationships/image" Target="media/image131.emf"/><Relationship Id="rId163" Type="http://schemas.openxmlformats.org/officeDocument/2006/relationships/image" Target="media/image152.emf"/><Relationship Id="rId184" Type="http://schemas.openxmlformats.org/officeDocument/2006/relationships/image" Target="media/image173.emf"/><Relationship Id="rId219" Type="http://schemas.openxmlformats.org/officeDocument/2006/relationships/image" Target="media/image208.emf"/><Relationship Id="rId230" Type="http://schemas.openxmlformats.org/officeDocument/2006/relationships/image" Target="media/image219.emf"/><Relationship Id="rId251" Type="http://schemas.openxmlformats.org/officeDocument/2006/relationships/image" Target="media/image240.emf"/><Relationship Id="rId25" Type="http://schemas.openxmlformats.org/officeDocument/2006/relationships/image" Target="media/image14.emf"/><Relationship Id="rId46" Type="http://schemas.openxmlformats.org/officeDocument/2006/relationships/image" Target="media/image35.jpeg"/><Relationship Id="rId67" Type="http://schemas.openxmlformats.org/officeDocument/2006/relationships/image" Target="media/image56.emf"/><Relationship Id="rId272" Type="http://schemas.openxmlformats.org/officeDocument/2006/relationships/image" Target="media/image261.png"/><Relationship Id="rId293" Type="http://schemas.openxmlformats.org/officeDocument/2006/relationships/image" Target="media/image282.emf"/><Relationship Id="rId307" Type="http://schemas.openxmlformats.org/officeDocument/2006/relationships/image" Target="media/image296.emf"/><Relationship Id="rId328" Type="http://schemas.openxmlformats.org/officeDocument/2006/relationships/image" Target="media/image317.emf"/><Relationship Id="rId349" Type="http://schemas.openxmlformats.org/officeDocument/2006/relationships/image" Target="media/image338.emf"/><Relationship Id="rId88" Type="http://schemas.openxmlformats.org/officeDocument/2006/relationships/image" Target="media/image77.emf"/><Relationship Id="rId111" Type="http://schemas.openxmlformats.org/officeDocument/2006/relationships/image" Target="media/image100.emf"/><Relationship Id="rId132" Type="http://schemas.openxmlformats.org/officeDocument/2006/relationships/image" Target="media/image121.emf"/><Relationship Id="rId153" Type="http://schemas.openxmlformats.org/officeDocument/2006/relationships/image" Target="media/image142.emf"/><Relationship Id="rId174" Type="http://schemas.openxmlformats.org/officeDocument/2006/relationships/image" Target="media/image163.emf"/><Relationship Id="rId195" Type="http://schemas.openxmlformats.org/officeDocument/2006/relationships/image" Target="media/image184.emf"/><Relationship Id="rId209" Type="http://schemas.openxmlformats.org/officeDocument/2006/relationships/image" Target="media/image198.emf"/><Relationship Id="rId360" Type="http://schemas.openxmlformats.org/officeDocument/2006/relationships/image" Target="media/image349.emf"/><Relationship Id="rId220" Type="http://schemas.openxmlformats.org/officeDocument/2006/relationships/image" Target="media/image209.emf"/><Relationship Id="rId241" Type="http://schemas.openxmlformats.org/officeDocument/2006/relationships/image" Target="media/image230.emf"/><Relationship Id="rId15" Type="http://schemas.openxmlformats.org/officeDocument/2006/relationships/footer" Target="footer1.xml"/><Relationship Id="rId36" Type="http://schemas.openxmlformats.org/officeDocument/2006/relationships/image" Target="media/image25.jpeg"/><Relationship Id="rId57" Type="http://schemas.openxmlformats.org/officeDocument/2006/relationships/image" Target="media/image46.emf"/><Relationship Id="rId262" Type="http://schemas.openxmlformats.org/officeDocument/2006/relationships/image" Target="media/image251.emf"/><Relationship Id="rId283" Type="http://schemas.openxmlformats.org/officeDocument/2006/relationships/image" Target="media/image272.emf"/><Relationship Id="rId318" Type="http://schemas.openxmlformats.org/officeDocument/2006/relationships/image" Target="media/image307.emf"/><Relationship Id="rId339" Type="http://schemas.openxmlformats.org/officeDocument/2006/relationships/image" Target="media/image328.emf"/><Relationship Id="rId10" Type="http://schemas.openxmlformats.org/officeDocument/2006/relationships/image" Target="media/image3.png"/><Relationship Id="rId31" Type="http://schemas.openxmlformats.org/officeDocument/2006/relationships/image" Target="media/image20.emf"/><Relationship Id="rId52" Type="http://schemas.openxmlformats.org/officeDocument/2006/relationships/image" Target="media/image41.png"/><Relationship Id="rId73" Type="http://schemas.openxmlformats.org/officeDocument/2006/relationships/image" Target="media/image62.emf"/><Relationship Id="rId78" Type="http://schemas.openxmlformats.org/officeDocument/2006/relationships/image" Target="media/image67.emf"/><Relationship Id="rId94" Type="http://schemas.openxmlformats.org/officeDocument/2006/relationships/image" Target="media/image83.emf"/><Relationship Id="rId99" Type="http://schemas.openxmlformats.org/officeDocument/2006/relationships/image" Target="media/image88.emf"/><Relationship Id="rId101" Type="http://schemas.openxmlformats.org/officeDocument/2006/relationships/image" Target="media/image90.emf"/><Relationship Id="rId122" Type="http://schemas.openxmlformats.org/officeDocument/2006/relationships/image" Target="media/image111.emf"/><Relationship Id="rId143" Type="http://schemas.openxmlformats.org/officeDocument/2006/relationships/image" Target="media/image132.emf"/><Relationship Id="rId148" Type="http://schemas.openxmlformats.org/officeDocument/2006/relationships/image" Target="media/image137.emf"/><Relationship Id="rId164" Type="http://schemas.openxmlformats.org/officeDocument/2006/relationships/image" Target="media/image153.emf"/><Relationship Id="rId169" Type="http://schemas.openxmlformats.org/officeDocument/2006/relationships/image" Target="media/image158.png"/><Relationship Id="rId185" Type="http://schemas.openxmlformats.org/officeDocument/2006/relationships/image" Target="media/image174.emf"/><Relationship Id="rId334" Type="http://schemas.openxmlformats.org/officeDocument/2006/relationships/image" Target="media/image323.emf"/><Relationship Id="rId350" Type="http://schemas.openxmlformats.org/officeDocument/2006/relationships/image" Target="media/image339.emf"/><Relationship Id="rId355" Type="http://schemas.openxmlformats.org/officeDocument/2006/relationships/image" Target="media/image344.emf"/><Relationship Id="rId37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69.emf"/><Relationship Id="rId210" Type="http://schemas.openxmlformats.org/officeDocument/2006/relationships/image" Target="media/image199.emf"/><Relationship Id="rId215" Type="http://schemas.openxmlformats.org/officeDocument/2006/relationships/image" Target="media/image204.png"/><Relationship Id="rId236" Type="http://schemas.openxmlformats.org/officeDocument/2006/relationships/image" Target="media/image225.emf"/><Relationship Id="rId257" Type="http://schemas.openxmlformats.org/officeDocument/2006/relationships/image" Target="media/image246.emf"/><Relationship Id="rId278" Type="http://schemas.openxmlformats.org/officeDocument/2006/relationships/image" Target="media/image267.png"/><Relationship Id="rId26" Type="http://schemas.openxmlformats.org/officeDocument/2006/relationships/image" Target="media/image15.emf"/><Relationship Id="rId231" Type="http://schemas.openxmlformats.org/officeDocument/2006/relationships/image" Target="media/image220.emf"/><Relationship Id="rId252" Type="http://schemas.openxmlformats.org/officeDocument/2006/relationships/image" Target="media/image241.emf"/><Relationship Id="rId273" Type="http://schemas.openxmlformats.org/officeDocument/2006/relationships/image" Target="media/image262.emf"/><Relationship Id="rId294" Type="http://schemas.openxmlformats.org/officeDocument/2006/relationships/image" Target="media/image283.emf"/><Relationship Id="rId308" Type="http://schemas.openxmlformats.org/officeDocument/2006/relationships/image" Target="media/image297.emf"/><Relationship Id="rId329" Type="http://schemas.openxmlformats.org/officeDocument/2006/relationships/image" Target="media/image318.emf"/><Relationship Id="rId47" Type="http://schemas.openxmlformats.org/officeDocument/2006/relationships/image" Target="media/image36.emf"/><Relationship Id="rId68" Type="http://schemas.openxmlformats.org/officeDocument/2006/relationships/image" Target="media/image57.emf"/><Relationship Id="rId89" Type="http://schemas.openxmlformats.org/officeDocument/2006/relationships/image" Target="media/image78.emf"/><Relationship Id="rId112" Type="http://schemas.openxmlformats.org/officeDocument/2006/relationships/image" Target="media/image101.emf"/><Relationship Id="rId133" Type="http://schemas.openxmlformats.org/officeDocument/2006/relationships/image" Target="media/image122.emf"/><Relationship Id="rId154" Type="http://schemas.openxmlformats.org/officeDocument/2006/relationships/image" Target="media/image143.emf"/><Relationship Id="rId175" Type="http://schemas.openxmlformats.org/officeDocument/2006/relationships/image" Target="media/image164.emf"/><Relationship Id="rId340" Type="http://schemas.openxmlformats.org/officeDocument/2006/relationships/image" Target="media/image329.emf"/><Relationship Id="rId361" Type="http://schemas.openxmlformats.org/officeDocument/2006/relationships/image" Target="media/image350.emf"/><Relationship Id="rId196" Type="http://schemas.openxmlformats.org/officeDocument/2006/relationships/image" Target="media/image185.emf"/><Relationship Id="rId200" Type="http://schemas.openxmlformats.org/officeDocument/2006/relationships/image" Target="media/image189.emf"/><Relationship Id="rId16" Type="http://schemas.openxmlformats.org/officeDocument/2006/relationships/image" Target="media/image6.jpeg"/><Relationship Id="rId221" Type="http://schemas.openxmlformats.org/officeDocument/2006/relationships/image" Target="media/image210.emf"/><Relationship Id="rId242" Type="http://schemas.openxmlformats.org/officeDocument/2006/relationships/image" Target="media/image231.emf"/><Relationship Id="rId263" Type="http://schemas.openxmlformats.org/officeDocument/2006/relationships/image" Target="media/image252.emf"/><Relationship Id="rId284" Type="http://schemas.openxmlformats.org/officeDocument/2006/relationships/image" Target="media/image273.emf"/><Relationship Id="rId319" Type="http://schemas.openxmlformats.org/officeDocument/2006/relationships/image" Target="media/image308.emf"/><Relationship Id="rId37" Type="http://schemas.openxmlformats.org/officeDocument/2006/relationships/image" Target="media/image26.jpeg"/><Relationship Id="rId58" Type="http://schemas.openxmlformats.org/officeDocument/2006/relationships/image" Target="media/image47.emf"/><Relationship Id="rId79" Type="http://schemas.openxmlformats.org/officeDocument/2006/relationships/image" Target="media/image68.emf"/><Relationship Id="rId102" Type="http://schemas.openxmlformats.org/officeDocument/2006/relationships/image" Target="media/image91.emf"/><Relationship Id="rId123" Type="http://schemas.openxmlformats.org/officeDocument/2006/relationships/image" Target="media/image112.emf"/><Relationship Id="rId144" Type="http://schemas.openxmlformats.org/officeDocument/2006/relationships/image" Target="media/image133.emf"/><Relationship Id="rId330" Type="http://schemas.openxmlformats.org/officeDocument/2006/relationships/image" Target="media/image319.emf"/><Relationship Id="rId90" Type="http://schemas.openxmlformats.org/officeDocument/2006/relationships/image" Target="media/image79.emf"/><Relationship Id="rId165" Type="http://schemas.openxmlformats.org/officeDocument/2006/relationships/image" Target="media/image154.emf"/><Relationship Id="rId186" Type="http://schemas.openxmlformats.org/officeDocument/2006/relationships/image" Target="media/image175.emf"/><Relationship Id="rId351" Type="http://schemas.openxmlformats.org/officeDocument/2006/relationships/image" Target="media/image340.emf"/><Relationship Id="rId211" Type="http://schemas.openxmlformats.org/officeDocument/2006/relationships/image" Target="media/image200.emf"/><Relationship Id="rId232" Type="http://schemas.openxmlformats.org/officeDocument/2006/relationships/image" Target="media/image221.emf"/><Relationship Id="rId253" Type="http://schemas.openxmlformats.org/officeDocument/2006/relationships/image" Target="media/image242.emf"/><Relationship Id="rId274" Type="http://schemas.openxmlformats.org/officeDocument/2006/relationships/image" Target="media/image263.png"/><Relationship Id="rId295" Type="http://schemas.openxmlformats.org/officeDocument/2006/relationships/image" Target="media/image284.emf"/><Relationship Id="rId309" Type="http://schemas.openxmlformats.org/officeDocument/2006/relationships/image" Target="media/image298.emf"/><Relationship Id="rId27" Type="http://schemas.openxmlformats.org/officeDocument/2006/relationships/image" Target="media/image16.emf"/><Relationship Id="rId48" Type="http://schemas.openxmlformats.org/officeDocument/2006/relationships/image" Target="media/image37.emf"/><Relationship Id="rId69" Type="http://schemas.openxmlformats.org/officeDocument/2006/relationships/image" Target="media/image58.emf"/><Relationship Id="rId113" Type="http://schemas.openxmlformats.org/officeDocument/2006/relationships/image" Target="media/image102.emf"/><Relationship Id="rId134" Type="http://schemas.openxmlformats.org/officeDocument/2006/relationships/image" Target="media/image123.emf"/><Relationship Id="rId320" Type="http://schemas.openxmlformats.org/officeDocument/2006/relationships/image" Target="media/image309.emf"/><Relationship Id="rId80" Type="http://schemas.openxmlformats.org/officeDocument/2006/relationships/image" Target="media/image69.emf"/><Relationship Id="rId155" Type="http://schemas.openxmlformats.org/officeDocument/2006/relationships/image" Target="media/image144.emf"/><Relationship Id="rId176" Type="http://schemas.openxmlformats.org/officeDocument/2006/relationships/image" Target="media/image165.emf"/><Relationship Id="rId197" Type="http://schemas.openxmlformats.org/officeDocument/2006/relationships/image" Target="media/image186.png"/><Relationship Id="rId341" Type="http://schemas.openxmlformats.org/officeDocument/2006/relationships/image" Target="media/image330.emf"/><Relationship Id="rId362" Type="http://schemas.openxmlformats.org/officeDocument/2006/relationships/image" Target="media/image351.emf"/><Relationship Id="rId201" Type="http://schemas.openxmlformats.org/officeDocument/2006/relationships/image" Target="media/image190.emf"/><Relationship Id="rId222" Type="http://schemas.openxmlformats.org/officeDocument/2006/relationships/image" Target="media/image211.emf"/><Relationship Id="rId243" Type="http://schemas.openxmlformats.org/officeDocument/2006/relationships/image" Target="media/image232.emf"/><Relationship Id="rId264" Type="http://schemas.openxmlformats.org/officeDocument/2006/relationships/image" Target="media/image253.emf"/><Relationship Id="rId285" Type="http://schemas.openxmlformats.org/officeDocument/2006/relationships/image" Target="media/image274.emf"/><Relationship Id="rId17" Type="http://schemas.openxmlformats.org/officeDocument/2006/relationships/footer" Target="footer2.xml"/><Relationship Id="rId38" Type="http://schemas.openxmlformats.org/officeDocument/2006/relationships/image" Target="media/image27.emf"/><Relationship Id="rId59" Type="http://schemas.openxmlformats.org/officeDocument/2006/relationships/image" Target="media/image48.emf"/><Relationship Id="rId103" Type="http://schemas.openxmlformats.org/officeDocument/2006/relationships/image" Target="media/image92.emf"/><Relationship Id="rId124" Type="http://schemas.openxmlformats.org/officeDocument/2006/relationships/image" Target="media/image113.emf"/><Relationship Id="rId310" Type="http://schemas.openxmlformats.org/officeDocument/2006/relationships/image" Target="media/image299.emf"/><Relationship Id="rId70" Type="http://schemas.openxmlformats.org/officeDocument/2006/relationships/image" Target="media/image59.emf"/><Relationship Id="rId91" Type="http://schemas.openxmlformats.org/officeDocument/2006/relationships/image" Target="media/image80.emf"/><Relationship Id="rId145" Type="http://schemas.openxmlformats.org/officeDocument/2006/relationships/image" Target="media/image134.emf"/><Relationship Id="rId166" Type="http://schemas.openxmlformats.org/officeDocument/2006/relationships/image" Target="media/image155.emf"/><Relationship Id="rId187" Type="http://schemas.openxmlformats.org/officeDocument/2006/relationships/image" Target="media/image176.emf"/><Relationship Id="rId331" Type="http://schemas.openxmlformats.org/officeDocument/2006/relationships/image" Target="media/image320.emf"/><Relationship Id="rId352" Type="http://schemas.openxmlformats.org/officeDocument/2006/relationships/image" Target="media/image341.emf"/><Relationship Id="rId1" Type="http://schemas.openxmlformats.org/officeDocument/2006/relationships/customXml" Target="../customXml/item1.xml"/><Relationship Id="rId212" Type="http://schemas.openxmlformats.org/officeDocument/2006/relationships/image" Target="media/image201.emf"/><Relationship Id="rId233" Type="http://schemas.openxmlformats.org/officeDocument/2006/relationships/image" Target="media/image222.emf"/><Relationship Id="rId254" Type="http://schemas.openxmlformats.org/officeDocument/2006/relationships/image" Target="media/image243.emf"/><Relationship Id="rId28" Type="http://schemas.openxmlformats.org/officeDocument/2006/relationships/image" Target="media/image17.emf"/><Relationship Id="rId49" Type="http://schemas.openxmlformats.org/officeDocument/2006/relationships/image" Target="media/image38.emf"/><Relationship Id="rId114" Type="http://schemas.openxmlformats.org/officeDocument/2006/relationships/image" Target="media/image103.emf"/><Relationship Id="rId275" Type="http://schemas.openxmlformats.org/officeDocument/2006/relationships/image" Target="media/image264.emf"/><Relationship Id="rId296" Type="http://schemas.openxmlformats.org/officeDocument/2006/relationships/image" Target="media/image285.emf"/><Relationship Id="rId300" Type="http://schemas.openxmlformats.org/officeDocument/2006/relationships/image" Target="media/image289.emf"/><Relationship Id="rId60" Type="http://schemas.openxmlformats.org/officeDocument/2006/relationships/image" Target="media/image49.emf"/><Relationship Id="rId81" Type="http://schemas.openxmlformats.org/officeDocument/2006/relationships/image" Target="media/image70.emf"/><Relationship Id="rId135" Type="http://schemas.openxmlformats.org/officeDocument/2006/relationships/image" Target="media/image124.emf"/><Relationship Id="rId156" Type="http://schemas.openxmlformats.org/officeDocument/2006/relationships/image" Target="media/image145.emf"/><Relationship Id="rId177" Type="http://schemas.openxmlformats.org/officeDocument/2006/relationships/image" Target="media/image166.emf"/><Relationship Id="rId198" Type="http://schemas.openxmlformats.org/officeDocument/2006/relationships/image" Target="media/image187.emf"/><Relationship Id="rId321" Type="http://schemas.openxmlformats.org/officeDocument/2006/relationships/image" Target="media/image310.emf"/><Relationship Id="rId342" Type="http://schemas.openxmlformats.org/officeDocument/2006/relationships/image" Target="media/image331.emf"/><Relationship Id="rId363" Type="http://schemas.openxmlformats.org/officeDocument/2006/relationships/image" Target="media/image352.emf"/><Relationship Id="rId202" Type="http://schemas.openxmlformats.org/officeDocument/2006/relationships/image" Target="media/image191.emf"/><Relationship Id="rId223" Type="http://schemas.openxmlformats.org/officeDocument/2006/relationships/image" Target="media/image212.emf"/><Relationship Id="rId244" Type="http://schemas.openxmlformats.org/officeDocument/2006/relationships/image" Target="media/image233.emf"/><Relationship Id="rId18" Type="http://schemas.openxmlformats.org/officeDocument/2006/relationships/image" Target="media/image7.emf"/><Relationship Id="rId39" Type="http://schemas.openxmlformats.org/officeDocument/2006/relationships/image" Target="media/image28.emf"/><Relationship Id="rId265" Type="http://schemas.openxmlformats.org/officeDocument/2006/relationships/image" Target="media/image254.emf"/><Relationship Id="rId286" Type="http://schemas.openxmlformats.org/officeDocument/2006/relationships/image" Target="media/image275.emf"/><Relationship Id="rId50" Type="http://schemas.openxmlformats.org/officeDocument/2006/relationships/image" Target="media/image39.emf"/><Relationship Id="rId104" Type="http://schemas.openxmlformats.org/officeDocument/2006/relationships/image" Target="media/image93.emf"/><Relationship Id="rId125" Type="http://schemas.openxmlformats.org/officeDocument/2006/relationships/image" Target="media/image114.png"/><Relationship Id="rId146" Type="http://schemas.openxmlformats.org/officeDocument/2006/relationships/image" Target="media/image135.emf"/><Relationship Id="rId167" Type="http://schemas.openxmlformats.org/officeDocument/2006/relationships/image" Target="media/image156.emf"/><Relationship Id="rId188" Type="http://schemas.openxmlformats.org/officeDocument/2006/relationships/image" Target="media/image177.emf"/><Relationship Id="rId311" Type="http://schemas.openxmlformats.org/officeDocument/2006/relationships/image" Target="media/image300.emf"/><Relationship Id="rId332" Type="http://schemas.openxmlformats.org/officeDocument/2006/relationships/image" Target="media/image321.emf"/><Relationship Id="rId353" Type="http://schemas.openxmlformats.org/officeDocument/2006/relationships/image" Target="media/image342.emf"/><Relationship Id="rId71" Type="http://schemas.openxmlformats.org/officeDocument/2006/relationships/image" Target="media/image60.emf"/><Relationship Id="rId92" Type="http://schemas.openxmlformats.org/officeDocument/2006/relationships/image" Target="media/image81.emf"/><Relationship Id="rId213" Type="http://schemas.openxmlformats.org/officeDocument/2006/relationships/image" Target="media/image202.emf"/><Relationship Id="rId234" Type="http://schemas.openxmlformats.org/officeDocument/2006/relationships/image" Target="media/image223.emf"/><Relationship Id="rId2" Type="http://schemas.openxmlformats.org/officeDocument/2006/relationships/numbering" Target="numbering.xml"/><Relationship Id="rId29" Type="http://schemas.openxmlformats.org/officeDocument/2006/relationships/image" Target="media/image18.emf"/><Relationship Id="rId255" Type="http://schemas.openxmlformats.org/officeDocument/2006/relationships/image" Target="media/image244.emf"/><Relationship Id="rId276" Type="http://schemas.openxmlformats.org/officeDocument/2006/relationships/image" Target="media/image265.emf"/><Relationship Id="rId297" Type="http://schemas.openxmlformats.org/officeDocument/2006/relationships/image" Target="media/image286.emf"/><Relationship Id="rId40" Type="http://schemas.openxmlformats.org/officeDocument/2006/relationships/image" Target="media/image29.emf"/><Relationship Id="rId115" Type="http://schemas.openxmlformats.org/officeDocument/2006/relationships/image" Target="media/image104.emf"/><Relationship Id="rId136" Type="http://schemas.openxmlformats.org/officeDocument/2006/relationships/image" Target="media/image125.emf"/><Relationship Id="rId157" Type="http://schemas.openxmlformats.org/officeDocument/2006/relationships/image" Target="media/image146.emf"/><Relationship Id="rId178" Type="http://schemas.openxmlformats.org/officeDocument/2006/relationships/image" Target="media/image167.emf"/><Relationship Id="rId301" Type="http://schemas.openxmlformats.org/officeDocument/2006/relationships/image" Target="media/image290.emf"/><Relationship Id="rId322" Type="http://schemas.openxmlformats.org/officeDocument/2006/relationships/image" Target="media/image311.emf"/><Relationship Id="rId343" Type="http://schemas.openxmlformats.org/officeDocument/2006/relationships/image" Target="media/image332.emf"/><Relationship Id="rId364" Type="http://schemas.openxmlformats.org/officeDocument/2006/relationships/image" Target="media/image353.emf"/><Relationship Id="rId61" Type="http://schemas.openxmlformats.org/officeDocument/2006/relationships/image" Target="media/image50.emf"/><Relationship Id="rId82" Type="http://schemas.openxmlformats.org/officeDocument/2006/relationships/image" Target="media/image71.emf"/><Relationship Id="rId199" Type="http://schemas.openxmlformats.org/officeDocument/2006/relationships/image" Target="media/image188.emf"/><Relationship Id="rId203" Type="http://schemas.openxmlformats.org/officeDocument/2006/relationships/image" Target="media/image192.emf"/><Relationship Id="rId19" Type="http://schemas.openxmlformats.org/officeDocument/2006/relationships/image" Target="media/image8.emf"/><Relationship Id="rId224" Type="http://schemas.openxmlformats.org/officeDocument/2006/relationships/image" Target="media/image213.emf"/><Relationship Id="rId245" Type="http://schemas.openxmlformats.org/officeDocument/2006/relationships/image" Target="media/image234.emf"/><Relationship Id="rId266" Type="http://schemas.openxmlformats.org/officeDocument/2006/relationships/image" Target="media/image255.emf"/><Relationship Id="rId287" Type="http://schemas.openxmlformats.org/officeDocument/2006/relationships/image" Target="media/image276.emf"/><Relationship Id="rId30" Type="http://schemas.openxmlformats.org/officeDocument/2006/relationships/image" Target="media/image19.emf"/><Relationship Id="rId105" Type="http://schemas.openxmlformats.org/officeDocument/2006/relationships/image" Target="media/image94.emf"/><Relationship Id="rId126" Type="http://schemas.openxmlformats.org/officeDocument/2006/relationships/image" Target="media/image115.emf"/><Relationship Id="rId147" Type="http://schemas.openxmlformats.org/officeDocument/2006/relationships/image" Target="media/image136.emf"/><Relationship Id="rId168" Type="http://schemas.openxmlformats.org/officeDocument/2006/relationships/image" Target="media/image157.emf"/><Relationship Id="rId312" Type="http://schemas.openxmlformats.org/officeDocument/2006/relationships/image" Target="media/image301.emf"/><Relationship Id="rId333" Type="http://schemas.openxmlformats.org/officeDocument/2006/relationships/image" Target="media/image322.emf"/><Relationship Id="rId354" Type="http://schemas.openxmlformats.org/officeDocument/2006/relationships/image" Target="media/image343.emf"/><Relationship Id="rId51" Type="http://schemas.openxmlformats.org/officeDocument/2006/relationships/image" Target="media/image40.emf"/><Relationship Id="rId72" Type="http://schemas.openxmlformats.org/officeDocument/2006/relationships/image" Target="media/image61.emf"/><Relationship Id="rId93" Type="http://schemas.openxmlformats.org/officeDocument/2006/relationships/image" Target="media/image82.emf"/><Relationship Id="rId189" Type="http://schemas.openxmlformats.org/officeDocument/2006/relationships/image" Target="media/image178.emf"/><Relationship Id="rId3" Type="http://schemas.openxmlformats.org/officeDocument/2006/relationships/styles" Target="styles.xml"/><Relationship Id="rId214" Type="http://schemas.openxmlformats.org/officeDocument/2006/relationships/image" Target="media/image203.emf"/><Relationship Id="rId235" Type="http://schemas.openxmlformats.org/officeDocument/2006/relationships/image" Target="media/image224.emf"/><Relationship Id="rId256" Type="http://schemas.openxmlformats.org/officeDocument/2006/relationships/image" Target="media/image245.png"/><Relationship Id="rId277" Type="http://schemas.openxmlformats.org/officeDocument/2006/relationships/image" Target="media/image266.png"/><Relationship Id="rId298" Type="http://schemas.openxmlformats.org/officeDocument/2006/relationships/image" Target="media/image287.emf"/><Relationship Id="rId116" Type="http://schemas.openxmlformats.org/officeDocument/2006/relationships/image" Target="media/image105.emf"/><Relationship Id="rId137" Type="http://schemas.openxmlformats.org/officeDocument/2006/relationships/image" Target="media/image126.emf"/><Relationship Id="rId158" Type="http://schemas.openxmlformats.org/officeDocument/2006/relationships/image" Target="media/image147.emf"/><Relationship Id="rId302" Type="http://schemas.openxmlformats.org/officeDocument/2006/relationships/image" Target="media/image291.emf"/><Relationship Id="rId323" Type="http://schemas.openxmlformats.org/officeDocument/2006/relationships/image" Target="media/image312.emf"/><Relationship Id="rId344" Type="http://schemas.openxmlformats.org/officeDocument/2006/relationships/image" Target="media/image333.emf"/><Relationship Id="rId20" Type="http://schemas.openxmlformats.org/officeDocument/2006/relationships/image" Target="media/image9.emf"/><Relationship Id="rId41" Type="http://schemas.openxmlformats.org/officeDocument/2006/relationships/image" Target="media/image30.emf"/><Relationship Id="rId62" Type="http://schemas.openxmlformats.org/officeDocument/2006/relationships/image" Target="media/image51.emf"/><Relationship Id="rId83" Type="http://schemas.openxmlformats.org/officeDocument/2006/relationships/image" Target="media/image72.emf"/><Relationship Id="rId179" Type="http://schemas.openxmlformats.org/officeDocument/2006/relationships/image" Target="media/image168.png"/><Relationship Id="rId365" Type="http://schemas.openxmlformats.org/officeDocument/2006/relationships/image" Target="media/image354.emf"/><Relationship Id="rId190" Type="http://schemas.openxmlformats.org/officeDocument/2006/relationships/image" Target="media/image179.emf"/><Relationship Id="rId204" Type="http://schemas.openxmlformats.org/officeDocument/2006/relationships/image" Target="media/image193.emf"/><Relationship Id="rId225" Type="http://schemas.openxmlformats.org/officeDocument/2006/relationships/image" Target="media/image214.emf"/><Relationship Id="rId246" Type="http://schemas.openxmlformats.org/officeDocument/2006/relationships/image" Target="media/image235.png"/><Relationship Id="rId267" Type="http://schemas.openxmlformats.org/officeDocument/2006/relationships/image" Target="media/image256.emf"/><Relationship Id="rId288" Type="http://schemas.openxmlformats.org/officeDocument/2006/relationships/image" Target="media/image277.emf"/><Relationship Id="rId106" Type="http://schemas.openxmlformats.org/officeDocument/2006/relationships/image" Target="media/image95.emf"/><Relationship Id="rId127" Type="http://schemas.openxmlformats.org/officeDocument/2006/relationships/image" Target="media/image116.emf"/><Relationship Id="rId313" Type="http://schemas.openxmlformats.org/officeDocument/2006/relationships/image" Target="media/image302.emf"/></Relationships>
</file>

<file path=word/_rels/footnotes.xml.rels><?xml version="1.0" encoding="UTF-8" standalone="yes"?>
<Relationships xmlns="http://schemas.openxmlformats.org/package/2006/relationships"><Relationship Id="rId1" Type="http://schemas.openxmlformats.org/officeDocument/2006/relationships/hyperlink" Target="http://www.fao.org/docrep/x5557e/x5557e04.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1A53C5-AA09-4491-9C00-022E316C1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245</Pages>
  <Words>47270</Words>
  <Characters>259990</Characters>
  <Application>Microsoft Office Word</Application>
  <DocSecurity>0</DocSecurity>
  <Lines>2166</Lines>
  <Paragraphs>613</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306647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Tiral</dc:creator>
  <cp:lastModifiedBy>ISTEEBU</cp:lastModifiedBy>
  <cp:revision>2</cp:revision>
  <cp:lastPrinted>2012-11-21T15:11:00Z</cp:lastPrinted>
  <dcterms:created xsi:type="dcterms:W3CDTF">2020-05-12T12:37:00Z</dcterms:created>
  <dcterms:modified xsi:type="dcterms:W3CDTF">2020-05-12T12:37:00Z</dcterms:modified>
</cp:coreProperties>
</file>